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A-37 — Déplacer par un vecteur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translation et l'échelonner, en sachant que la transformation ne consomme pas l'original.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Appliquer une translation et l'échelonner, en sachant que la transformation ne consomme pas l'original.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rangée d'entretoises est répartie sur la hauteur d'un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L'entretoise de base vous est fournie. Remontez-la de 120 mm, puis produisez cinq entretoises supplémentaires échelonnées tous les 24 mm au-dessus d'elle, sans employer de composant de réseau.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internalisé dans le plan XY.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entretoises espacées de 24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6 cercles espacés de 24 mm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348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348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Series avec Start = 0, Step = 24, Count = 6.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Unit Z et brancher la série sur son entrée Factor.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Move : cercle sur G, liste de vecteurs sur 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composant produit 6 cercles : une liste de vecteurs génère une liste de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Croire que la translation déplace l'original et compter cinq entretoises au lieu de six. La transformation produit une copie ; l'original reste dans le flux.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un seul vecteur et attendre plusieurs copies.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géométrie d'origine reste visible en plus des copies.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Move, Unit Z, Multiplication, Vector 2Pt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selon un vecteur oblique.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le rayon en même temps que la hauteur.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A-37 — Déplacer par un vecteur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