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after="0"/>
      </w:pPr>
      <w:r>
        <w:rPr>
          <w:rFonts w:ascii="Calibri" w:hAnsi="Calibri"/>
          <w:b/>
          <w:color w:val="2E5C8A"/>
          <w:sz w:val="40"/>
        </w:rPr>
        <w:t>A-44 — Opérations booléennes</w:t>
      </w:r>
    </w:p>
    <w:p>
      <w:pPr>
        <w:spacing w:after="200"/>
      </w:pPr>
      <w:r>
        <w:rPr>
          <w:rFonts w:ascii="Calibri" w:hAnsi="Calibri"/>
          <w:i/>
          <w:color w:val="444A52"/>
          <w:sz w:val="20"/>
        </w:rPr>
        <w:t>Fiche d'exercice Magpie  ·  Lot A — Découverte des composants natifs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4649"/>
        <w:gridCol w:w="4649"/>
      </w:tblGrid>
      <w:tr>
        <w:tc>
          <w:tcPr>
            <w:tcW w:type="dxa" w:w="2948"/>
            <w:shd w:val="clear" w:fill="EDF1F5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/>
                <w:sz w:val="19"/>
              </w:rPr>
              <w:t>Thématique</w:t>
            </w:r>
          </w:p>
        </w:tc>
        <w:tc>
          <w:tcPr>
            <w:tcW w:type="dxa" w:w="6350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sz w:val="19"/>
              </w:rPr>
              <w:t>A10 · Surfaces et solides</w:t>
            </w:r>
          </w:p>
        </w:tc>
      </w:tr>
      <w:tr>
        <w:tc>
          <w:tcPr>
            <w:tcW w:type="dxa" w:w="2948"/>
            <w:shd w:val="clear" w:fill="EDF1F5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/>
                <w:sz w:val="19"/>
              </w:rPr>
              <w:t>Référence au référentiel</w:t>
            </w:r>
          </w:p>
        </w:tc>
        <w:tc>
          <w:tcPr>
            <w:tcW w:type="dxa" w:w="6350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sz w:val="19"/>
              </w:rPr>
              <w:t>REF-071</w:t>
            </w:r>
          </w:p>
        </w:tc>
      </w:tr>
      <w:tr>
        <w:tc>
          <w:tcPr>
            <w:tcW w:type="dxa" w:w="2948"/>
            <w:shd w:val="clear" w:fill="EDF1F5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/>
                <w:sz w:val="19"/>
              </w:rPr>
              <w:t>Compétence visée</w:t>
            </w:r>
          </w:p>
        </w:tc>
        <w:tc>
          <w:tcPr>
            <w:tcW w:type="dxa" w:w="6350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sz w:val="19"/>
              </w:rPr>
              <w:t>Combiner des solides par soustraction et quantifier la matière retirée.</w:t>
            </w:r>
          </w:p>
        </w:tc>
      </w:tr>
      <w:tr>
        <w:tc>
          <w:tcPr>
            <w:tcW w:type="dxa" w:w="2948"/>
            <w:shd w:val="clear" w:fill="EDF1F5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/>
                <w:sz w:val="19"/>
              </w:rPr>
              <w:t>Case Bloom (révisée)</w:t>
            </w:r>
          </w:p>
        </w:tc>
        <w:tc>
          <w:tcPr>
            <w:tcW w:type="dxa" w:w="6350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sz w:val="19"/>
              </w:rPr>
              <w:t>Appliquer × procédurale</w:t>
            </w:r>
          </w:p>
        </w:tc>
      </w:tr>
      <w:tr>
        <w:tc>
          <w:tcPr>
            <w:tcW w:type="dxa" w:w="2948"/>
            <w:shd w:val="clear" w:fill="EDF1F5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/>
                <w:sz w:val="19"/>
              </w:rPr>
              <w:t>Niveau</w:t>
            </w:r>
          </w:p>
        </w:tc>
        <w:tc>
          <w:tcPr>
            <w:tcW w:type="dxa" w:w="6350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sz w:val="19"/>
              </w:rPr>
              <w:t>Débutant</w:t>
            </w:r>
          </w:p>
        </w:tc>
      </w:tr>
      <w:tr>
        <w:tc>
          <w:tcPr>
            <w:tcW w:type="dxa" w:w="2948"/>
            <w:shd w:val="clear" w:fill="EDF1F5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/>
                <w:sz w:val="19"/>
              </w:rPr>
              <w:t>Durée cible</w:t>
            </w:r>
          </w:p>
        </w:tc>
        <w:tc>
          <w:tcPr>
            <w:tcW w:type="dxa" w:w="6350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sz w:val="19"/>
              </w:rPr>
              <w:t>8 minutes</w:t>
            </w:r>
          </w:p>
        </w:tc>
      </w:tr>
      <w:tr>
        <w:tc>
          <w:tcPr>
            <w:tcW w:type="dxa" w:w="2948"/>
            <w:shd w:val="clear" w:fill="EDF1F5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/>
                <w:sz w:val="19"/>
              </w:rPr>
              <w:t>Prérequis</w:t>
            </w:r>
          </w:p>
        </w:tc>
        <w:tc>
          <w:tcPr>
            <w:tcW w:type="dxa" w:w="6350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sz w:val="19"/>
              </w:rPr>
              <w:t>A-43</w:t>
            </w:r>
          </w:p>
        </w:tc>
      </w:tr>
      <w:tr>
        <w:tc>
          <w:tcPr>
            <w:tcW w:type="dxa" w:w="2948"/>
            <w:shd w:val="clear" w:fill="EDF1F5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/>
                <w:sz w:val="19"/>
              </w:rPr>
              <w:t>Mode de validation</w:t>
            </w:r>
          </w:p>
        </w:tc>
        <w:tc>
          <w:tcPr>
            <w:tcW w:type="dxa" w:w="6350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sz w:val="19"/>
              </w:rPr>
              <w:t>NumericTolerance — tolérance 1 %</w:t>
            </w:r>
          </w:p>
        </w:tc>
      </w:tr>
      <w:tr>
        <w:tc>
          <w:tcPr>
            <w:tcW w:type="dxa" w:w="2948"/>
            <w:shd w:val="clear" w:fill="EDF1F5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/>
                <w:sz w:val="19"/>
              </w:rPr>
              <w:t>Solution de référence</w:t>
            </w:r>
          </w:p>
        </w:tc>
        <w:tc>
          <w:tcPr>
            <w:tcW w:type="dxa" w:w="6350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sz w:val="19"/>
              </w:rPr>
              <w:t>6 composants</w:t>
            </w:r>
          </w:p>
        </w:tc>
      </w:tr>
      <w:tr>
        <w:tc>
          <w:tcPr>
            <w:tcW w:type="dxa" w:w="2948"/>
            <w:shd w:val="clear" w:fill="EDF1F5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/>
                <w:sz w:val="19"/>
              </w:rPr>
              <w:t>Version</w:t>
            </w:r>
          </w:p>
        </w:tc>
        <w:tc>
          <w:tcPr>
            <w:tcW w:type="dxa" w:w="6350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sz w:val="19"/>
              </w:rPr>
              <w:t>v0.3-260826 — Ind. B — 26/08/2026</w:t>
            </w:r>
          </w:p>
        </w:tc>
      </w:tr>
      <w:tr>
        <w:tc>
          <w:tcPr>
            <w:tcW w:type="dxa" w:w="2948"/>
            <w:shd w:val="clear" w:fill="EDF1F5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/>
                <w:sz w:val="19"/>
              </w:rPr>
              <w:t>Conception</w:t>
            </w:r>
          </w:p>
        </w:tc>
        <w:tc>
          <w:tcPr>
            <w:tcW w:type="dxa" w:w="6350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sz w:val="19"/>
              </w:rPr>
              <w:t>magpie-conception-exercices v2.3</w:t>
            </w:r>
          </w:p>
        </w:tc>
      </w:tr>
    </w:tbl>
    <w:p>
      <w:pPr>
        <w:spacing w:after="0"/>
      </w:pPr>
    </w:p>
    <w:p>
      <w:pPr>
        <w:spacing w:before="280" w:after="120"/>
        <w:pBdr>
          <w:bottom w:val="single" w:sz="8" w:space="3" w:color="2E5C8A"/>
        </w:pBdr>
      </w:pPr>
      <w:r>
        <w:rPr>
          <w:rFonts w:ascii="Calibri" w:hAnsi="Calibri"/>
          <w:b/>
          <w:color w:val="2E5C8A"/>
          <w:sz w:val="28"/>
        </w:rPr>
        <w:t>SUJET</w:t>
      </w:r>
    </w:p>
    <w:p>
      <w:pPr>
        <w:spacing w:before="200" w:after="60"/>
      </w:pPr>
      <w:r>
        <w:rPr>
          <w:rFonts w:ascii="Calibri" w:hAnsi="Calibri"/>
          <w:b/>
          <w:color w:val="444A52"/>
          <w:sz w:val="22"/>
        </w:rPr>
        <w:t>Compétence visée</w:t>
      </w:r>
    </w:p>
    <w:p>
      <w:pPr>
        <w:spacing w:before="0" w:after="80"/>
      </w:pPr>
      <w:r>
        <w:rPr>
          <w:rFonts w:ascii="Calibri" w:hAnsi="Calibri"/>
          <w:b w:val="0"/>
          <w:i w:val="0"/>
          <w:sz w:val="21"/>
        </w:rPr>
        <w:t>Combiner des solides par soustraction et quantifier la matière retirée.</w:t>
      </w:r>
    </w:p>
    <w:p>
      <w:pPr>
        <w:spacing w:before="200" w:after="60"/>
      </w:pPr>
      <w:r>
        <w:rPr>
          <w:rFonts w:ascii="Calibri" w:hAnsi="Calibri"/>
          <w:b/>
          <w:color w:val="444A52"/>
          <w:sz w:val="22"/>
        </w:rPr>
        <w:t>Contexte</w:t>
      </w:r>
    </w:p>
    <w:p>
      <w:pPr>
        <w:spacing w:before="0" w:after="80"/>
      </w:pPr>
      <w:r>
        <w:rPr>
          <w:rFonts w:ascii="Calibri" w:hAnsi="Calibri"/>
          <w:b w:val="0"/>
          <w:i w:val="0"/>
          <w:sz w:val="21"/>
        </w:rPr>
        <w:t>Une platine d'assemblage est percée pour le passage des boulons ; le poids retiré entre dans le bilan de charge.</w:t>
      </w:r>
    </w:p>
    <w:p>
      <w:pPr>
        <w:spacing w:before="200" w:after="60"/>
      </w:pPr>
      <w:r>
        <w:rPr>
          <w:rFonts w:ascii="Calibri" w:hAnsi="Calibri"/>
          <w:b/>
          <w:color w:val="444A52"/>
          <w:sz w:val="22"/>
        </w:rPr>
        <w:t>Énoncé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298"/>
      </w:tblGrid>
      <w:tr>
        <w:tc>
          <w:tcPr>
            <w:tcW w:type="dxa" w:w="9298"/>
            <w:shd w:val="clear" w:fill="EAF1F8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120" w:after="120"/>
            </w:pPr>
            <w:r>
              <w:rPr>
                <w:rFonts w:ascii="Calibri" w:hAnsi="Calibri"/>
                <w:sz w:val="22"/>
              </w:rPr>
              <w:t>La platine vous est fournie. Percez-la de quatre trous traversants de 20 mm de diamètre, puis donnez le volume de matière retirée.</w:t>
            </w:r>
          </w:p>
        </w:tc>
      </w:tr>
    </w:tbl>
    <w:p>
      <w:pPr>
        <w:spacing w:after="0"/>
      </w:pPr>
    </w:p>
    <w:p>
      <w:pPr>
        <w:spacing w:before="80" w:after="40"/>
        <w:jc w:val="center"/>
      </w:pPr>
      <w:r>
        <w:drawing>
          <wp:inline xmlns:a="http://schemas.openxmlformats.org/drawingml/2006/main" xmlns:pic="http://schemas.openxmlformats.org/drawingml/2006/picture">
            <wp:extent cx="5903999" cy="2799927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-44_canvas_sujet.png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903999" cy="279992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160"/>
        <w:jc w:val="center"/>
      </w:pPr>
      <w:r>
        <w:rPr>
          <w:rFonts w:ascii="Calibri" w:hAnsi="Calibri"/>
          <w:i/>
          <w:color w:val="444A52"/>
          <w:sz w:val="18"/>
        </w:rPr>
        <w:t>Le canvas à l'ouverture de A-44_sujet.gh : les données fournies et le paramètre REPONSE.</w:t>
      </w:r>
    </w:p>
    <w:p>
      <w:pPr>
        <w:spacing w:before="200" w:after="60"/>
      </w:pPr>
      <w:r>
        <w:rPr>
          <w:rFonts w:ascii="Calibri" w:hAnsi="Calibri"/>
          <w:b/>
          <w:color w:val="444A52"/>
          <w:sz w:val="22"/>
        </w:rPr>
        <w:t>Ce qui vous est fourni</w:t>
      </w:r>
    </w:p>
    <w:p>
      <w:pPr>
        <w:spacing w:before="0" w:after="80"/>
      </w:pPr>
      <w:r>
        <w:rPr>
          <w:rFonts w:ascii="Calibri" w:hAnsi="Calibri"/>
          <w:b w:val="0"/>
          <w:i w:val="0"/>
          <w:sz w:val="21"/>
        </w:rPr>
        <w:t>Un bloc et quatre cylindres internalisés.</w:t>
      </w:r>
    </w:p>
    <w:p>
      <w:pPr>
        <w:spacing w:before="200" w:after="60"/>
      </w:pPr>
      <w:r>
        <w:rPr>
          <w:rFonts w:ascii="Calibri" w:hAnsi="Calibri"/>
          <w:b/>
          <w:color w:val="444A52"/>
          <w:sz w:val="22"/>
        </w:rPr>
        <w:t>Ce qui est attendu</w:t>
      </w:r>
    </w:p>
    <w:p>
      <w:pPr>
        <w:spacing w:before="0" w:after="80"/>
      </w:pPr>
      <w:r>
        <w:rPr>
          <w:rFonts w:ascii="Calibri" w:hAnsi="Calibri"/>
          <w:b w:val="0"/>
          <w:i w:val="0"/>
          <w:sz w:val="21"/>
        </w:rPr>
        <w:t>La platine percée et le volume retiré.</w:t>
      </w:r>
    </w:p>
    <w:p>
      <w:pPr>
        <w:spacing w:before="0" w:after="80"/>
      </w:pPr>
      <w:r>
        <w:rPr>
          <w:rFonts w:ascii="Calibri" w:hAnsi="Calibri"/>
          <w:b w:val="0"/>
          <w:i/>
          <w:sz w:val="21"/>
        </w:rPr>
        <w:t>Branchez votre résultat sur le paramètre REPONSE. La correction compare cette sortie en mode NumericTolerance, avec une tolérance de 1 %.</w:t>
      </w:r>
    </w:p>
    <w:p>
      <w:pPr>
        <w:spacing w:before="0" w:after="80"/>
      </w:pPr>
      <w:r>
        <w:rPr>
          <w:rFonts w:ascii="Calibri" w:hAnsi="Calibri"/>
          <w:b w:val="0"/>
          <w:i/>
          <w:sz w:val="19"/>
        </w:rPr>
        <w:t>La consigne ne nomme aucun composant, et c'est délibéré : nommer l'outil reviendrait à donner la réponse. Ce lot n'autorise que des composants natifs de Grasshopper pour Rhino 8 — aucun plugin tiers n'est nécessaire.</w:t>
      </w:r>
    </w:p>
    <w:p>
      <w:pPr>
        <w:spacing w:before="200" w:after="60"/>
      </w:pPr>
      <w:r>
        <w:rPr>
          <w:rFonts w:ascii="Calibri" w:hAnsi="Calibri"/>
          <w:b/>
          <w:color w:val="444A52"/>
          <w:sz w:val="22"/>
        </w:rPr>
        <w:t>Barème</w:t>
      </w:r>
    </w:p>
    <w:p>
      <w:pPr>
        <w:spacing w:before="0" w:after="80"/>
      </w:pPr>
      <w:r>
        <w:rPr>
          <w:rFonts w:ascii="Calibri" w:hAnsi="Calibri"/>
          <w:b w:val="0"/>
          <w:i w:val="0"/>
          <w:sz w:val="21"/>
        </w:rPr>
        <w:t>1 point pour le perçage, 1 point pour le volume.</w:t>
      </w:r>
    </w:p>
    <w:p>
      <w:pPr>
        <w:spacing w:before="200" w:after="80"/>
      </w:pPr>
      <w:r>
        <w:rPr>
          <w:rFonts w:ascii="Calibri" w:hAnsi="Calibri"/>
          <w:b w:val="0"/>
          <w:i/>
          <w:sz w:val="21"/>
        </w:rPr>
        <w:t>Le corrigé fait l'objet d'une fiche distincte, remise après validation ou en fin de séance.</w:t>
      </w:r>
    </w:p>
    <w:sectPr w:rsidR="00FC693F" w:rsidRPr="0006063C" w:rsidSect="00034616">
      <w:footerReference w:type="default" r:id="rId9"/>
      <w:pgSz w:w="11906" w:h="16838"/>
      <w:pgMar w:top="1020" w:right="1304" w:bottom="1020" w:left="1304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rFonts w:ascii="Calibri" w:hAnsi="Calibri"/>
        <w:color w:val="444A52"/>
        <w:sz w:val="16"/>
      </w:rPr>
      <w:t>Magpie · A-44 — Opérations booléennes · v0.3-260826 Ind. B</w:t>
    </w:r>
  </w:p>
</w:ft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footer" Target="footer1.xml"/><Relationship Id="rId10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