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IA-11 — Un cahier des charges qui devient des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REF-133, REF-134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de prescription les valeurs exploitables par une définition, et les contrôler.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de prescription les valeurs exploitables par une définition, et les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article de CCTP décrit un garde-corps en toutes lettres ; la définition attend des nombres.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L'article de CCTP vous est fourni. Faites-en extraire les valeurs dimensionnelles par un modèle de langage, puis donnez le nombre de montants nécessaires pour la longueur prescrite.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0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texte de l'article, internalisé dans la définition, et l'accès à un modèle de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montants, entracte maximal respecté.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montants est juste et si chaque valeur extraite est justifiée par sa phrase source.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IA-11 — Un cahier des charges qui devient des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