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IA-13 — Ce qui quitte le poste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IA7 · Vérification, licences et limites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REF-140, REF-141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projet est couvert par un accord de confidentialité et l'équipe emploie un assistant en ligne.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Vous collez dans un assistant en ligne un extrait de définition pour le faire corriger. Que faut-il considérer comme transmis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Rien : le code n'est pas une donnée de projet.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Le code seul, sans les valeurs qu'il contient.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Tout ce qui est collé, valeurs internalisées, noms de calques et commentaires compris. ← réponse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Rien tant qu'on ne coche pas une case de partage.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(b) est la représentation la plus répandue et la plus risquée — les cotes, les repères et les noms de projet voyagent avec le code, souvent sans qu'on y pense. Poser la question avant la première utilisation coûte quelques minutes ; la poser après une fuite ne sert plus à rien.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IA-13_complet.gh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2410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13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241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IA-13 — Ce qui quitte le poste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