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CC6DB3"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CC6DB3"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CC6DB3"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CC6DB3"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CC6DB3"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CC6DB3"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CC6DB3"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 xml:space="preserve">6.2. </w:t>
      </w:r>
      <w:bookmarkStart w:id="0" w:name="_GoBack"/>
      <w:r w:rsidRPr="0018694D">
        <w:rPr>
          <w:rStyle w:val="Strong"/>
          <w:b/>
          <w:bCs/>
          <w:sz w:val="24"/>
          <w:szCs w:val="24"/>
        </w:rPr>
        <w:t>Create a Python Callable for API Extraction</w:t>
      </w:r>
      <w:bookmarkEnd w:id="0"/>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15567EAC" w14:textId="77777777" w:rsidR="002D0984" w:rsidRPr="006A163D" w:rsidRDefault="002D0984" w:rsidP="009B4D78">
      <w:pPr>
        <w:pStyle w:val="NormalWeb"/>
      </w:pPr>
    </w:p>
    <w:sectPr w:rsidR="002D0984"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C6DB3"/>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203</cp:revision>
  <dcterms:created xsi:type="dcterms:W3CDTF">2025-07-02T02:01:00Z</dcterms:created>
  <dcterms:modified xsi:type="dcterms:W3CDTF">2025-07-29T01:20:00Z</dcterms:modified>
</cp:coreProperties>
</file>