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20" w:lineRule="auto"/>
        <w:rPr/>
      </w:pPr>
      <w:r>
        <w:t>MÓDULO DE APRENDIZAJE</w:t>
      </w:r>
    </w:p>
    <w:p w:rsidR="00000000" w:rsidDel="00000000" w:rsidP="00000000" w:rsidRDefault="00000000" w:rsidRPr="00000000" w14:paraId="00000002">
      <w:pPr>
        <w:pStyle w:val="Title"/>
        <w:pBdr>
          <w:bottom w:color="000000" w:space="0" w:sz="0" w:val="none"/>
        </w:pBdr>
        <w:spacing w:after="80" w:line="300" w:lineRule="auto"/>
        <w:rPr>
          <w:rFonts w:ascii="Calibri" w:cs="Calibri" w:eastAsia="Calibri" w:hAnsi="Calibri"/>
          <w:color w:val="10145b"/>
          <w:sz w:val="40"/>
          <w:szCs w:val="40"/>
        </w:rPr>
      </w:pPr>
      <w:r>
        <w:t>Unidad 1. Competencias digitales, información y producción académica</w:t>
      </w:r>
    </w:p>
    <w:p w:rsidR="00000000" w:rsidDel="00000000" w:rsidP="00000000" w:rsidRDefault="00000000" w:rsidRPr="00000000" w14:paraId="00000003">
      <w:pPr>
        <w:pStyle w:val="Heading2"/>
        <w:numPr>
          <w:ilvl w:val="0"/>
          <w:numId w:val="4"/>
        </w:numPr>
        <w:spacing w:after="140" w:before="280" w:line="300" w:lineRule="auto"/>
        <w:ind w:left="360" w:hanging="360"/>
        <w:rPr>
          <w:rFonts w:ascii="Calibri" w:cs="Calibri" w:eastAsia="Calibri" w:hAnsi="Calibri"/>
          <w:color w:val="10145b"/>
        </w:rPr>
      </w:pPr>
      <w:r w:rsidDel="00000000" w:rsidR="00000000" w:rsidRPr="00000000">
        <w:rPr>
          <w:rFonts w:ascii="Calibri" w:cs="Calibri" w:eastAsia="Calibri" w:hAnsi="Calibri"/>
          <w:color w:val="10145b"/>
          <w:rtl w:val="0"/>
        </w:rPr>
        <w:t xml:space="preserve">Finalidad</w:t>
      </w:r>
    </w:p>
    <w:p>
      <w:pPr/>
      <w:r>
        <w:t>Este módulo orienta el estudio de los contenidos correspondientes a semanas 1 a 5 del curso Informática I. Su finalidad es desarrollar competencias digitales, comunicativas, investigativas y éticas que permitan al estudiante avanzar en la implementación de un flujo de trabajo digital para la gestión de información en salud.</w:t>
      </w:r>
    </w:p>
    <w:p>
      <w:pPr/>
      <w:r>
        <w:t>El contenido se presenta de manera progresiva y contextualizada para favorecer el aprendizaje autónomo, la comprensión conceptual y la transferencia a situaciones propias de la administración de servicios de salud.</w:t>
      </w:r>
    </w:p>
    <w:tbl>
      <w:tblPr>
        <w:tblStyle w:val="Table1"/>
        <w:tblW w:w="9360.0" w:type="dxa"/>
        <w:jc w:val="left"/>
        <w:tblBorders>
          <w:top w:color="169ed0" w:space="0" w:sz="6" w:val="single"/>
          <w:left w:color="169ed0" w:space="0" w:sz="6" w:val="single"/>
          <w:bottom w:color="169ed0" w:space="0" w:sz="6" w:val="single"/>
          <w:right w:color="169ed0" w:space="0" w:sz="6" w:val="single"/>
          <w:insideH w:color="169ed0" w:space="0" w:sz="6" w:val="single"/>
          <w:insideV w:color="169ed0" w:space="0" w:sz="6" w:val="single"/>
        </w:tblBorders>
        <w:tblLayout w:type="fixed"/>
        <w:tblLook w:val="0400"/>
      </w:tblPr>
      <w:tblGrid>
        <w:gridCol w:w="9360"/>
        <w:tblGridChange w:id="0">
          <w:tblGrid>
            <w:gridCol w:w="9360"/>
          </w:tblGrid>
        </w:tblGridChange>
      </w:tblGrid>
      <w:tr>
        <w:trPr>
          <w:cantSplit w:val="0"/>
          <w:tblHeader w:val="0"/>
        </w:trPr>
        <w:tc>
          <w:tcPr>
            <w:shd w:fill="eaf7fc" w:val="clear"/>
            <w:vAlign w:val="center"/>
          </w:tcPr>
          <w:p>
            <w:r>
              <w:t>USO DE ESTE MÓDULO</w:t>
              <w:br/>
              <w:t>Este recurso constituye la lectura principal de estudio autónomo para la unidad. Debe revisarse antes de los encuentros sincrónicos y retomarse durante la elaboración de evidencias y avances del Trabajo Colaborativo Contextualizado.</w:t>
            </w:r>
          </w:p>
        </w:tc>
      </w:tr>
    </w:tbl>
    <w:p w:rsidR="00000000" w:rsidDel="00000000" w:rsidP="00000000" w:rsidRDefault="00000000" w:rsidRPr="00000000" w14:paraId="00000009">
      <w:pPr>
        <w:pStyle w:val="Heading2"/>
        <w:numPr>
          <w:ilvl w:val="0"/>
          <w:numId w:val="4"/>
        </w:numPr>
        <w:spacing w:after="140" w:before="280" w:line="300" w:lineRule="auto"/>
        <w:ind w:left="360" w:hanging="360"/>
        <w:rPr>
          <w:rFonts w:ascii="Calibri" w:cs="Calibri" w:eastAsia="Calibri" w:hAnsi="Calibri"/>
          <w:color w:val="10145b"/>
        </w:rPr>
      </w:pPr>
      <w:r w:rsidDel="00000000" w:rsidR="00000000" w:rsidRPr="00000000">
        <w:rPr>
          <w:rFonts w:ascii="Calibri" w:cs="Calibri" w:eastAsia="Calibri" w:hAnsi="Calibri"/>
          <w:color w:val="10145b"/>
          <w:rtl w:val="0"/>
        </w:rPr>
        <w:t xml:space="preserve">Consideraciones generales</w:t>
      </w:r>
    </w:p>
    <w:p>
      <w:pPr/>
      <w:r>
        <w:t>El módulo corresponde exclusivamente a semanas 1 a 5 y se articula con el proyecto docente aprobado.</w:t>
      </w:r>
    </w:p>
    <w:p>
      <w:pPr/>
      <w:r>
        <w:t>El desarrollo se centra en el resultado de aprendizaje del curso: Implementa un flujo de trabajo digital para organizar, analizar y comunicar datos del área de la gestión en salud, utilizando herramientas ofimáticas, colaborativas y de inteligencia artificial, con criterios de calidad, seguridad, ética, accesibilidad y sostenibilidad, para sustentar decisiones y acciones de mejora continua.</w:t>
      </w:r>
    </w:p>
    <w:p>
      <w:pPr/>
      <w:r>
        <w:t>El estudiante debe abordar la lectura de manera autónoma, relacionar los conceptos con su contexto profesional y conservar evidencias organizadas para el Trabajo Colaborativo Contextualizado.</w:t>
      </w:r>
    </w:p>
    <w:p w:rsidR="00000000" w:rsidDel="00000000" w:rsidP="00000000" w:rsidRDefault="00000000" w:rsidRPr="00000000" w14:paraId="00000015">
      <w:pPr>
        <w:pStyle w:val="Heading2"/>
        <w:numPr>
          <w:ilvl w:val="0"/>
          <w:numId w:val="4"/>
        </w:numPr>
        <w:spacing w:after="140" w:before="280" w:line="300" w:lineRule="auto"/>
        <w:ind w:left="360" w:hanging="360"/>
        <w:rPr>
          <w:rFonts w:ascii="Calibri" w:cs="Calibri" w:eastAsia="Calibri" w:hAnsi="Calibri"/>
          <w:color w:val="10145b"/>
        </w:rPr>
      </w:pPr>
      <w:r w:rsidDel="00000000" w:rsidR="00000000" w:rsidRPr="00000000">
        <w:rPr>
          <w:rFonts w:ascii="Calibri" w:cs="Calibri" w:eastAsia="Calibri" w:hAnsi="Calibri"/>
          <w:color w:val="10145b"/>
          <w:rtl w:val="0"/>
        </w:rPr>
        <w:t xml:space="preserve">Estructura del módulo</w:t>
      </w:r>
    </w:p>
    <w:p>
      <w:pPr/>
      <w:r>
        <w:t>El módulo conserva la estructura institucional: identificación, introducción y contextualización, objetivos y competencias, desarrollo temático, ejemplos aplicados, reflexión para el aprendizaje autónomo, cierre y referencias.</w:t>
      </w:r>
    </w:p>
    <w:p w:rsidR="00000000" w:rsidDel="00000000" w:rsidP="00000000" w:rsidRDefault="00000000" w:rsidRPr="00000000" w14:paraId="00000017">
      <w:pPr>
        <w:pStyle w:val="Heading3"/>
        <w:numPr>
          <w:ilvl w:val="1"/>
          <w:numId w:val="4"/>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Identificación</w:t>
      </w:r>
    </w:p>
    <w:tbl>
      <w:tblPr>
        <w:tblStyle w:val="Table2"/>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e8eef5" w:val="clear"/>
            <w:tcMar>
              <w:top w:w="100.0" w:type="dxa"/>
              <w:left w:w="120.0" w:type="dxa"/>
              <w:bottom w:w="100.0" w:type="dxa"/>
              <w:right w:w="120.0" w:type="dxa"/>
            </w:tcMar>
            <w:vAlign w:val="center"/>
          </w:tcPr>
          <w:p>
            <w:r>
              <w:t>ORIENTACIÓN</w:t>
              <w:br/>
              <w:t>El módulo presenta los contenidos de forma progresiva, contextualizada y articulada con el resultado de aprendizaje del curso y con el perfil del Programa Administración de Servicios de Salud.</w:t>
            </w:r>
          </w:p>
        </w:tc>
      </w:tr>
    </w:tbl>
    <w:p w:rsidR="00000000" w:rsidDel="00000000" w:rsidP="00000000" w:rsidRDefault="00000000" w:rsidRPr="00000000" w14:paraId="0000001A">
      <w:pPr>
        <w:spacing w:after="40" w:line="72" w:lineRule="auto"/>
        <w:rPr/>
      </w:pPr>
      <w:r w:rsidDel="00000000" w:rsidR="00000000" w:rsidRPr="00000000">
        <w:rPr>
          <w:rtl w:val="0"/>
        </w:rPr>
      </w:r>
    </w:p>
    <w:p w:rsidR="00000000" w:rsidDel="00000000" w:rsidP="00000000" w:rsidRDefault="00000000" w:rsidRPr="00000000" w14:paraId="0000001B">
      <w:pPr>
        <w:spacing w:after="40" w:line="72" w:lineRule="auto"/>
        <w:rPr/>
      </w:pPr>
      <w:r w:rsidDel="00000000" w:rsidR="00000000" w:rsidRPr="00000000">
        <w:rPr>
          <w:rtl w:val="0"/>
        </w:rPr>
      </w:r>
    </w:p>
    <w:tbl>
      <w:tblPr>
        <w:tblStyle w:val="Table3"/>
        <w:tblW w:w="9360.0" w:type="dxa"/>
        <w:jc w:val="left"/>
        <w:tblBorders>
          <w:top w:color="d7dce5" w:space="0" w:sz="4" w:val="single"/>
          <w:left w:color="d7dce5" w:space="0" w:sz="4" w:val="single"/>
          <w:bottom w:color="d7dce5" w:space="0" w:sz="4" w:val="single"/>
          <w:right w:color="d7dce5" w:space="0" w:sz="4" w:val="single"/>
          <w:insideH w:color="d7dce5" w:space="0" w:sz="4" w:val="single"/>
          <w:insideV w:color="d7dce5" w:space="0" w:sz="4" w:val="single"/>
        </w:tblBorders>
        <w:tblLayout w:type="fixed"/>
        <w:tblLook w:val="0400"/>
      </w:tblPr>
      <w:tblGrid>
        <w:gridCol w:w="1275"/>
        <w:gridCol w:w="2553"/>
        <w:gridCol w:w="1559"/>
        <w:gridCol w:w="3973"/>
        <w:tblGridChange w:id="0">
          <w:tblGrid>
            <w:gridCol w:w="1275"/>
            <w:gridCol w:w="2553"/>
            <w:gridCol w:w="1559"/>
            <w:gridCol w:w="3973"/>
          </w:tblGrid>
        </w:tblGridChange>
      </w:tblGrid>
      <w:tr>
        <w:trPr>
          <w:cantSplit w:val="0"/>
          <w:tblHeader w:val="1"/>
        </w:trPr>
        <w:tc>
          <w:tcPr>
            <w:shd w:fill="f1eafd" w:val="clear"/>
            <w:vAlign w:val="center"/>
          </w:tcPr>
          <w:p w:rsidR="00000000" w:rsidDel="00000000" w:rsidP="00000000" w:rsidRDefault="00000000" w:rsidRPr="00000000" w14:paraId="0000001C">
            <w:pPr>
              <w:spacing w:after="30" w:line="259" w:lineRule="auto"/>
              <w:rPr/>
            </w:pPr>
            <w:r w:rsidDel="00000000" w:rsidR="00000000" w:rsidRPr="00000000">
              <w:rPr>
                <w:b w:val="1"/>
                <w:bCs w:val="1"/>
                <w:color w:val="10145b"/>
                <w:sz w:val="18"/>
                <w:szCs w:val="18"/>
                <w:rtl w:val="0"/>
              </w:rPr>
              <w:t xml:space="preserve">Curso / asignatura</w:t>
            </w:r>
            <w:r w:rsidDel="00000000" w:rsidR="00000000" w:rsidRPr="00000000">
              <w:rPr>
                <w:rtl w:val="0"/>
              </w:rPr>
            </w:r>
          </w:p>
        </w:tc>
        <w:tc>
          <w:tcPr>
            <w:vAlign w:val="center"/>
          </w:tcPr>
          <w:p>
            <w:r>
              <w:t>Informática I</w:t>
            </w:r>
          </w:p>
        </w:tc>
        <w:tc>
          <w:tcPr>
            <w:shd w:fill="f1eafd" w:val="clear"/>
            <w:vAlign w:val="center"/>
          </w:tcPr>
          <w:p w:rsidR="00000000" w:rsidDel="00000000" w:rsidP="00000000" w:rsidRDefault="00000000" w:rsidRPr="00000000" w14:paraId="0000001E">
            <w:pPr>
              <w:spacing w:after="30" w:line="259" w:lineRule="auto"/>
              <w:rPr/>
            </w:pPr>
            <w:r w:rsidDel="00000000" w:rsidR="00000000" w:rsidRPr="00000000">
              <w:rPr>
                <w:b w:val="1"/>
                <w:bCs w:val="1"/>
                <w:color w:val="10145b"/>
                <w:sz w:val="18"/>
                <w:szCs w:val="18"/>
                <w:rtl w:val="0"/>
              </w:rPr>
              <w:t xml:space="preserve">Programa</w:t>
            </w:r>
            <w:r w:rsidDel="00000000" w:rsidR="00000000" w:rsidRPr="00000000">
              <w:rPr>
                <w:rtl w:val="0"/>
              </w:rPr>
            </w:r>
          </w:p>
        </w:tc>
        <w:tc>
          <w:tcPr>
            <w:vAlign w:val="center"/>
          </w:tcPr>
          <w:p>
            <w:r>
              <w:t>Administración de Servicios de Salud</w:t>
            </w:r>
          </w:p>
        </w:tc>
      </w:tr>
      <w:tr>
        <w:trPr>
          <w:cantSplit w:val="0"/>
          <w:tblHeader w:val="0"/>
        </w:trPr>
        <w:tc>
          <w:tcPr>
            <w:shd w:fill="f1eafd" w:val="clear"/>
            <w:vAlign w:val="center"/>
          </w:tcPr>
          <w:p w:rsidR="00000000" w:rsidDel="00000000" w:rsidP="00000000" w:rsidRDefault="00000000" w:rsidRPr="00000000" w14:paraId="00000020">
            <w:pPr>
              <w:spacing w:after="30" w:line="259" w:lineRule="auto"/>
              <w:rPr/>
            </w:pPr>
            <w:r w:rsidDel="00000000" w:rsidR="00000000" w:rsidRPr="00000000">
              <w:rPr>
                <w:b w:val="1"/>
                <w:bCs w:val="1"/>
                <w:color w:val="10145b"/>
                <w:sz w:val="17"/>
                <w:szCs w:val="17"/>
                <w:rtl w:val="0"/>
              </w:rPr>
              <w:t xml:space="preserve">Unidad de aprendizaje</w:t>
            </w:r>
            <w:r w:rsidDel="00000000" w:rsidR="00000000" w:rsidRPr="00000000">
              <w:rPr>
                <w:rtl w:val="0"/>
              </w:rPr>
            </w:r>
          </w:p>
        </w:tc>
        <w:tc>
          <w:tcPr>
            <w:vAlign w:val="center"/>
          </w:tcPr>
          <w:p>
            <w:r>
              <w:t>Unidad 1</w:t>
            </w:r>
          </w:p>
        </w:tc>
        <w:tc>
          <w:tcPr>
            <w:shd w:fill="f1eafd" w:val="clear"/>
            <w:vAlign w:val="center"/>
          </w:tcPr>
          <w:p w:rsidR="00000000" w:rsidDel="00000000" w:rsidP="00000000" w:rsidRDefault="00000000" w:rsidRPr="00000000" w14:paraId="00000022">
            <w:pPr>
              <w:spacing w:after="30" w:line="259" w:lineRule="auto"/>
              <w:rPr/>
            </w:pPr>
            <w:r w:rsidDel="00000000" w:rsidR="00000000" w:rsidRPr="00000000">
              <w:rPr>
                <w:b w:val="1"/>
                <w:bCs w:val="1"/>
                <w:color w:val="10145b"/>
                <w:sz w:val="17"/>
                <w:szCs w:val="17"/>
                <w:rtl w:val="0"/>
              </w:rPr>
              <w:t xml:space="preserve">Nombre del módulo</w:t>
            </w:r>
            <w:r w:rsidDel="00000000" w:rsidR="00000000" w:rsidRPr="00000000">
              <w:rPr>
                <w:rtl w:val="0"/>
              </w:rPr>
            </w:r>
          </w:p>
        </w:tc>
        <w:tc>
          <w:tcPr>
            <w:vAlign w:val="center"/>
          </w:tcPr>
          <w:p>
            <w:r>
              <w:t>Competencias digitales, información y producción académica</w:t>
            </w:r>
          </w:p>
        </w:tc>
      </w:tr>
      <w:tr>
        <w:trPr>
          <w:cantSplit w:val="0"/>
          <w:tblHeader w:val="1"/>
        </w:trPr>
        <w:tc>
          <w:tcPr>
            <w:shd w:fill="f1eafd" w:val="clear"/>
            <w:vAlign w:val="center"/>
          </w:tcPr>
          <w:p w:rsidR="00000000" w:rsidDel="00000000" w:rsidP="00000000" w:rsidRDefault="00000000" w:rsidRPr="00000000" w14:paraId="00000024">
            <w:pPr>
              <w:spacing w:after="30" w:line="259" w:lineRule="auto"/>
              <w:rPr/>
            </w:pPr>
            <w:r w:rsidDel="00000000" w:rsidR="00000000" w:rsidRPr="00000000">
              <w:rPr>
                <w:b w:val="1"/>
                <w:bCs w:val="1"/>
                <w:color w:val="10145b"/>
                <w:sz w:val="18"/>
                <w:szCs w:val="18"/>
                <w:rtl w:val="0"/>
              </w:rPr>
              <w:t xml:space="preserve">Semanas asociadas</w:t>
            </w:r>
            <w:r w:rsidDel="00000000" w:rsidR="00000000" w:rsidRPr="00000000">
              <w:rPr>
                <w:rtl w:val="0"/>
              </w:rPr>
            </w:r>
          </w:p>
        </w:tc>
        <w:tc>
          <w:tcPr>
            <w:vAlign w:val="center"/>
          </w:tcPr>
          <w:p>
            <w:r>
              <w:t>Semanas 1 a 5</w:t>
            </w:r>
          </w:p>
        </w:tc>
        <w:tc>
          <w:tcPr>
            <w:shd w:fill="f1eafd" w:val="clear"/>
            <w:vAlign w:val="center"/>
          </w:tcPr>
          <w:p w:rsidR="00000000" w:rsidDel="00000000" w:rsidP="00000000" w:rsidRDefault="00000000" w:rsidRPr="00000000" w14:paraId="00000026">
            <w:pPr>
              <w:spacing w:after="30" w:line="259" w:lineRule="auto"/>
              <w:rPr/>
            </w:pPr>
            <w:r w:rsidDel="00000000" w:rsidR="00000000" w:rsidRPr="00000000">
              <w:rPr>
                <w:b w:val="1"/>
                <w:bCs w:val="1"/>
                <w:color w:val="10145b"/>
                <w:sz w:val="18"/>
                <w:szCs w:val="18"/>
                <w:rtl w:val="0"/>
              </w:rPr>
              <w:t xml:space="preserve">Lectura principal articuladora</w:t>
            </w:r>
            <w:r w:rsidDel="00000000" w:rsidR="00000000" w:rsidRPr="00000000">
              <w:rPr>
                <w:rtl w:val="0"/>
              </w:rPr>
            </w:r>
          </w:p>
        </w:tc>
        <w:tc>
          <w:tcPr>
            <w:vAlign w:val="center"/>
          </w:tcPr>
          <w:p>
            <w:r>
              <w:t>Introducción a la computación; Ofimática; Sistema operativo, búsqueda de la información; Aplicaciones web.</w:t>
            </w:r>
          </w:p>
        </w:tc>
      </w:tr>
    </w:tbl>
    <w:p w:rsidR="00000000" w:rsidDel="00000000" w:rsidP="00000000" w:rsidRDefault="00000000" w:rsidRPr="00000000" w14:paraId="00000028">
      <w:pPr>
        <w:spacing w:after="40" w:line="72" w:lineRule="auto"/>
        <w:rPr/>
      </w:pPr>
      <w:r w:rsidDel="00000000" w:rsidR="00000000" w:rsidRPr="00000000">
        <w:rPr>
          <w:rtl w:val="0"/>
        </w:rPr>
      </w:r>
    </w:p>
    <w:p w:rsidR="00000000" w:rsidDel="00000000" w:rsidP="00000000" w:rsidRDefault="00000000" w:rsidRPr="00000000" w14:paraId="00000029">
      <w:pPr>
        <w:pStyle w:val="Heading3"/>
        <w:numPr>
          <w:ilvl w:val="1"/>
          <w:numId w:val="4"/>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Introducción y contextualización</w:t>
      </w:r>
    </w:p>
    <w:p>
      <w:pPr/>
      <w:r>
        <w:t>En esta unidad el estudiante inicia su recorrido por el curso mediante el reconocimiento del ecosistema digital institucional y de las prácticas que sostienen el aprendizaje autónomo en modalidad a distancia. Aprenderá a ubicarse en el Campus SIMA, organizar sus archivos académicos, trabajar de manera colaborativa en la nube, buscar información confiable y producir documentos profesionales y accesibles.</w:t>
      </w:r>
    </w:p>
    <w:p>
      <w:pPr/>
      <w:r>
        <w:t>La unidad es importante porque la gestión de información digital es una competencia transversal para el desempeño académico y profesional en el área de la gestión en salud. Un estudiante que organiza evidencias, evalúa fuentes y comunica información con claridad puede participar con mayor solvencia en procesos administrativos, académicos y de mejora continua.</w:t>
      </w:r>
    </w:p>
    <w:p>
      <w:pPr/>
      <w:r>
        <w:t>Estos aprendizajes se articulan con el RAC del curso porque constituyen la base del flujo de trabajo digital: antes de analizar datos, es necesario saber dónde se almacenan, cómo se documentan, qué fuentes los respaldan y cómo se comunican. Pregunta problematizadora: ¿cómo puede una adecuada organización y comunicación de la información digital mejorar la calidad de una decisión en una organización de salud?</w:t>
      </w:r>
    </w:p>
    <w:tbl>
      <w:tblPr>
        <w:tblStyle w:val="Table4"/>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f2f4f7" w:val="clear"/>
            <w:tcMar>
              <w:top w:w="100.0" w:type="dxa"/>
              <w:left w:w="120.0" w:type="dxa"/>
              <w:bottom w:w="100.0" w:type="dxa"/>
              <w:right w:w="120.0" w:type="dxa"/>
            </w:tcMar>
            <w:vAlign w:val="center"/>
          </w:tcPr>
          <w:p>
            <w:r>
              <w:t>EXTENSIÓN DEL MÓDULO</w:t>
              <w:br/>
              <w:t>El desarrollo se ajusta a las semanas asignadas y ofrece una lectura articuladora para orientar el aprendizaje autónomo, sin reemplazar la guía de actividades.</w:t>
            </w:r>
          </w:p>
        </w:tc>
      </w:tr>
    </w:tbl>
    <w:p w:rsidR="00000000" w:rsidDel="00000000" w:rsidP="00000000" w:rsidRDefault="00000000" w:rsidRPr="00000000" w14:paraId="00000033">
      <w:pPr>
        <w:pStyle w:val="Heading3"/>
        <w:numPr>
          <w:ilvl w:val="1"/>
          <w:numId w:val="4"/>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Objetivos y competencias de aprendizaje</w:t>
      </w:r>
    </w:p>
    <w:p>
      <w:pPr/>
      <w:r>
        <w:t>Objetivos de aprendizaje:</w:t>
      </w:r>
    </w:p>
    <w:p>
      <w:pPr/>
      <w:r>
        <w:t>• Reconocer el ecosistema digital institucional y su relación con el aprendizaje autónomo en modalidad a distancia.</w:t>
      </w:r>
    </w:p>
    <w:p>
      <w:pPr/>
      <w:r>
        <w:t>• Organizar archivos y evidencias académicas mediante criterios de nomenclatura, trazabilidad, colaboración y seguridad básica.</w:t>
      </w:r>
    </w:p>
    <w:p>
      <w:pPr/>
      <w:r>
        <w:t>• Evaluar fuentes digitales e integrar referencias verificables en documentos académicos y profesionales.</w:t>
      </w:r>
    </w:p>
    <w:p>
      <w:pPr/>
      <w:r>
        <w:t>• Producir documentos digitales claros, estructurados y accesibles para contextos de gestión en salud.</w:t>
      </w:r>
    </w:p>
    <w:p>
      <w:pPr/>
      <w:r>
        <w:t>Competencias transversales fortalecidas:</w:t>
      </w:r>
    </w:p>
    <w:p>
      <w:pPr/>
      <w:r>
        <w:t>• Competencias comunicativas: comprensión y producción de textos académicos y expresión escrita en lengua española.</w:t>
      </w:r>
    </w:p>
    <w:p>
      <w:pPr/>
      <w:r>
        <w:t>• Competencias digitales y tecnológicas: alfabetización digital avanzada, colaboración en la nube y manejo responsable de herramientas digitales.</w:t>
      </w:r>
    </w:p>
    <w:p>
      <w:pPr/>
      <w:r>
        <w:t>• Competencias cognitivas e investigativas: pensamiento crítico, análisis de información y selección de fuentes confiables.</w:t>
      </w:r>
    </w:p>
    <w:p>
      <w:pPr/>
      <w:r>
        <w:t>• Competencias para la sostenibilidad: aprendizaje autónomo, adaptabilidad y responsabilidad social en el uso de la información.</w:t>
      </w:r>
    </w:p>
    <w:p w:rsidR="00000000" w:rsidDel="00000000" w:rsidP="00000000" w:rsidRDefault="00000000" w:rsidRPr="00000000" w14:paraId="0000003C">
      <w:pPr>
        <w:pStyle w:val="Heading3"/>
        <w:numPr>
          <w:ilvl w:val="1"/>
          <w:numId w:val="4"/>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Desarrollo temático</w:t>
      </w:r>
    </w:p>
    <w:p>
      <w:pPr>
        <w:pStyle w:val="Heading4"/>
      </w:pPr>
      <w:r>
        <w:t>Inducción, acuerdo pedagógico y diagnóstico de competencias digitales</w:t>
      </w:r>
    </w:p>
    <w:p>
      <w:pPr/>
      <w:r/>
      <w:r>
        <w:rPr>
          <w:rFonts w:ascii="Arial" w:hAnsi="Arial"/>
          <w:sz w:val="20"/>
        </w:rPr>
        <w:t>Para iniciar, reconozca la ruta de aprendizaje, los acuerdos de interacción y su nivel inicial de competencias digitales. Este diagnóstico no se concibe como una calificación, sino como una herramienta para identificar fortalezas, necesidades de apoyo y hábitos de estudio que pueden incidir en su desempeño en el aula virtual. La alfabetización digital exige comprender tanto el funcionamiento básico de los sistemas como su uso responsable en contextos académicos y profesionales (Vasconcelos Santillán, 2018).</w:t>
      </w:r>
    </w:p>
    <w:p>
      <w:pPr/>
      <w:r/>
      <w:r>
        <w:rPr>
          <w:rFonts w:ascii="Arial" w:hAnsi="Arial"/>
          <w:sz w:val="20"/>
        </w:rPr>
        <w:t>Luego, ubique los recursos de la unidad, revise las fechas de entrega, identifique los canales de comunicación y confirme qué productos debe elaborar. Esta ruta de trabajo autónomo le permite avanzar con mayor seguridad: primero comprende las instrucciones, después organiza sus evidencias y finalmente verifica que sus entregas respondan a los criterios indicados. En ambientes digitales, la autonomía requiere planificación, consulta responsable y seguimiento permanente de la información disponible (Ladrón de Guevara, 2018).</w:t>
      </w:r>
    </w:p>
    <w:p>
      <w:pPr/>
      <w:r/>
      <w:r>
        <w:rPr>
          <w:rFonts w:ascii="Arial" w:hAnsi="Arial"/>
          <w:sz w:val="20"/>
        </w:rPr>
        <w:t>En el contexto profesional, esta competencia se relaciona con la adaptación a sistemas institucionales de información, plataformas de gestión documental y canales formales de comunicación. Por tanto, antes de actuar, revise las orientaciones; durante el desarrollo, conserve evidencias organizadas; y al finalizar, compruebe que la información pueda ser localizada, comprendida y respaldada por otras personas del equipo.</w:t>
      </w:r>
    </w:p>
    <w:p>
      <w:pPr>
        <w:pStyle w:val="Heading4"/>
      </w:pPr>
      <w:r>
        <w:t>Ecosistema digital institucional y sistemas de información en salud</w:t>
      </w:r>
    </w:p>
    <w:p>
      <w:pPr/>
      <w:r/>
      <w:r>
        <w:rPr>
          <w:rFonts w:ascii="Arial" w:hAnsi="Arial"/>
          <w:sz w:val="20"/>
        </w:rPr>
        <w:t>Para continuar, identifique el ecosistema digital institucional: plataformas, servicios, repositorios, canales de comunicación y normas de uso que facilitan el aprendizaje. En el área de salud, el uso de sistemas de información exige responsabilidad, precisión y trazabilidad, porque los datos apoyan procesos de registro, seguimiento, control y toma de decisiones (Zofío Jiménez, 2013).</w:t>
      </w:r>
    </w:p>
    <w:p>
      <w:pPr/>
      <w:r/>
      <w:r>
        <w:rPr>
          <w:rFonts w:ascii="Arial" w:hAnsi="Arial"/>
          <w:sz w:val="20"/>
        </w:rPr>
        <w:t>Después, diferencie las herramientas según su función: unas sirven para aprender, otras para comunicarse y otras para gestionar información. No todas ofrecen el mismo nivel de trazabilidad. Por ello, como estudiante, verifique la finalidad de cada recurso antes de usarlo y seleccione el canal adecuado según la tarea que va a realizar.</w:t>
      </w:r>
    </w:p>
    <w:p>
      <w:pPr/>
      <w:r>
        <w:t>En la gestión de servicios de salud, la información digital sostiene procesos como registro, seguimiento, control y toma de decisiones. Una limitación frecuente es asumir que toda plataforma funciona igual; por eso se recomienda leer las instrucciones de cada sistema y verificar que los archivos compartidos sean accesibles para las personas autorizadas.</w:t>
      </w:r>
    </w:p>
    <w:p>
      <w:pPr>
        <w:pStyle w:val="Heading4"/>
      </w:pPr>
      <w:r>
        <w:t>Gestión de archivos, nube y colaboración segura</w:t>
      </w:r>
    </w:p>
    <w:p>
      <w:pPr/>
      <w:r/>
      <w:r>
        <w:rPr>
          <w:rFonts w:ascii="Arial" w:hAnsi="Arial"/>
          <w:sz w:val="20"/>
        </w:rPr>
        <w:t>Gestionar archivos no consiste solo en guardar documentos. Implica nombrarlos de manera comprensible, ubicarlos en carpetas coherentes, controlar versiones y compartirlos con permisos adecuados. La nube facilita el acceso y el trabajo colaborativo, pero exige cuidado en la configuración de permisos y en la conservación de versiones, especialmente cuando se trabaja con evidencias académicas o información relacionada con procesos de salud (Ladrón de Guevara, 2018; Zofío Jiménez, 2013).</w:t>
      </w:r>
    </w:p>
    <w:p>
      <w:pPr/>
      <w:r>
        <w:t>Una estructura de carpetas para el curso puede incluir unidades, evidencias, fuentes consultadas y avances del TCC. Esta organización favorece la trazabilidad del aprendizaje y evita pérdidas de información. Además, cuando se trabaja en CIPAS, permite que todos los integrantes conozcan la versión vigente y las responsabilidades asumidas.</w:t>
      </w:r>
    </w:p>
    <w:p>
      <w:pPr/>
      <w:r>
        <w:t>La recomendación práctica es usar nombres de archivo breves y descriptivos, evitar duplicados innecesarios y revisar los permisos antes de compartir. En contextos de salud, compartir información sin control puede comprometer la confidencialidad y afectar la confianza institucional.</w:t>
      </w:r>
    </w:p>
    <w:p>
      <w:pPr>
        <w:pStyle w:val="Heading4"/>
      </w:pPr>
      <w:r>
        <w:t>Alfabetización informacional y producción documental</w:t>
      </w:r>
    </w:p>
    <w:p>
      <w:pPr/>
      <w:r/>
      <w:r>
        <w:rPr>
          <w:rFonts w:ascii="Arial" w:hAnsi="Arial"/>
          <w:sz w:val="20"/>
        </w:rPr>
        <w:t>A continuación, fortalezca la alfabetización informacional. Buscar información no significa tomar el primer resultado disponible; implica evaluar autoría, actualidad, pertinencia, propósito, respaldo institucional y posibilidad de verificación. Una fuente confiable permite sustentar decisiones académicas y profesionales con mayor rigor (Ladrón de Guevara, 2018).</w:t>
      </w:r>
    </w:p>
    <w:p>
      <w:pPr/>
      <w:r/>
      <w:r>
        <w:rPr>
          <w:rFonts w:ascii="Arial" w:hAnsi="Arial"/>
          <w:sz w:val="20"/>
        </w:rPr>
        <w:t>Posteriormente, integre la información en documentos claros, organizados y respetuosos de los derechos de autor. Citar dentro del texto y registrar las referencias no es un requisito formal aislado: es una práctica académica que reconoce el origen de las ideas, facilita la verificación y evita el uso indebido de contenidos ajenos. En la producción ofimática, la estructura del documento, el uso de estilos, la legibilidad y la citación fortalecen la calidad comunicativa del producto (Rosado Alcántara, 2015).</w:t>
      </w:r>
    </w:p>
    <w:p>
      <w:pPr/>
      <w:r/>
      <w:r>
        <w:rPr>
          <w:rFonts w:ascii="Arial" w:hAnsi="Arial"/>
          <w:sz w:val="20"/>
        </w:rPr>
        <w:t>Finalmente, revise si el documento cumple su propósito comunicativo. En la gestión en salud, un documento profesional debe ser comprensible, accesible y útil para apoyar decisiones. Por ello, emplee títulos jerárquicos, tablas cuando aporten claridad, lenguaje preciso, referencias verificables y formatos que faciliten la lectura en pantalla y la consulta posterior (Rosado Alcántara, 2015).</w:t>
      </w:r>
    </w:p>
    <w:tbl>
      <w:tblPr>
        <w:tblStyle w:val="Table5"/>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f2f4f7" w:val="clear"/>
            <w:tcMar>
              <w:top w:w="100.0" w:type="dxa"/>
              <w:left w:w="120.0" w:type="dxa"/>
              <w:bottom w:w="100.0" w:type="dxa"/>
              <w:right w:w="120.0" w:type="dxa"/>
            </w:tcMar>
            <w:vAlign w:val="center"/>
          </w:tcPr>
          <w:p>
            <w:r>
              <w:t>CRITERIO DE DESARROLLO</w:t>
              <w:br/>
              <w:t>Cada tema se aborda desde su sentido conceptual, aplicación práctica, recomendaciones, limitaciones y relación con el contexto profesional de la gestión en salud.</w:t>
            </w:r>
          </w:p>
        </w:tc>
      </w:tr>
    </w:tbl>
    <w:p w:rsidR="00000000" w:rsidDel="00000000" w:rsidP="00000000" w:rsidRDefault="00000000" w:rsidRPr="00000000" w14:paraId="00000048">
      <w:pPr>
        <w:pStyle w:val="Heading3"/>
        <w:numPr>
          <w:ilvl w:val="1"/>
          <w:numId w:val="4"/>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Ejemplos aplicados</w:t>
      </w:r>
    </w:p>
    <w:p>
      <w:pPr/>
      <w:r>
        <w:t>• Un CIPAS crea una carpeta compartida con subcarpetas por unidad, fuentes y evidencias. Cada archivo usa fecha, tema y versión, lo que permite identificar el avance más reciente del trabajo.</w:t>
      </w:r>
    </w:p>
    <w:p>
      <w:pPr/>
      <w:r>
        <w:t>• Un estudiante compara dos fuentes sobre sistemas de información en salud. Selecciona la fuente institucional porque tiene autoría clara, fecha reciente, propósito académico y relación directa con el tema.</w:t>
      </w:r>
    </w:p>
    <w:p>
      <w:pPr/>
      <w:r>
        <w:t>• Para presentar un informe breve, el estudiante estructura portada, introducción, subtítulos, tabla de síntesis y referencias, cuidando que el documento pueda leerse en pantalla y conservar trazabilidad.</w:t>
      </w:r>
    </w:p>
    <w:p>
      <w:pPr>
        <w:pStyle w:val="Heading2"/>
      </w:pPr>
      <w:r/>
      <w:r>
        <w:rPr>
          <w:rFonts w:ascii="Arial" w:hAnsi="Arial"/>
          <w:sz w:val="20"/>
        </w:rPr>
        <w:t>Ruta sugerida para el trabajo autónomo</w:t>
      </w:r>
    </w:p>
    <w:p>
      <w:r/>
      <w:r>
        <w:rPr>
          <w:rFonts w:ascii="Arial" w:hAnsi="Arial"/>
          <w:sz w:val="20"/>
        </w:rPr>
        <w:t>Primero, lea la finalidad de la unidad y revise qué se espera de usted en las semanas 1 a 5. Esta lectura inicial le ayuda a comprender la relación entre el aula virtual, los recursos institucionales y las evidencias que debe construir.</w:t>
      </w:r>
    </w:p>
    <w:p>
      <w:r/>
      <w:r>
        <w:rPr>
          <w:rFonts w:ascii="Arial" w:hAnsi="Arial"/>
          <w:sz w:val="20"/>
        </w:rPr>
        <w:t>Después, organice su espacio digital de trabajo. Cree carpetas por unidad, nombre los archivos de forma clara y conserve las fuentes consultadas. Esta práctica facilitará la trazabilidad de sus avances y la construcción posterior del Trabajo Colaborativo Contextualizado.</w:t>
      </w:r>
    </w:p>
    <w:p>
      <w:r/>
      <w:r>
        <w:rPr>
          <w:rFonts w:ascii="Arial" w:hAnsi="Arial"/>
          <w:sz w:val="20"/>
        </w:rPr>
        <w:t>A continuación, estudie cada tema con una pregunta guía: qué herramienta o concepto debo comprender, para qué me sirve en la gestión en salud y qué evidencia puedo producir para demostrarlo. Esta secuencia mantiene separados el estudio autónomo, la práctica y las actividades evaluativas.</w:t>
      </w:r>
    </w:p>
    <w:p>
      <w:r/>
      <w:r>
        <w:rPr>
          <w:rFonts w:ascii="Arial" w:hAnsi="Arial"/>
          <w:sz w:val="20"/>
        </w:rPr>
        <w:t>Finalmente, antes de entregar una evidencia, revise la claridad del documento, la accesibilidad, la citación dentro del texto y la lista de referencias. Si usó una idea de otra fuente, incluya la cita correspondiente y asegúrese de que la referencia completa aparezca al final del módulo o del producto académico.</w:t>
      </w:r>
    </w:p>
    <w:p w:rsidR="00000000" w:rsidDel="00000000" w:rsidP="00000000" w:rsidRDefault="00000000" w:rsidRPr="00000000" w14:paraId="0000004F">
      <w:pPr>
        <w:pStyle w:val="Heading3"/>
        <w:numPr>
          <w:ilvl w:val="1"/>
          <w:numId w:val="4"/>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Reflexión para el aprendizaje autónomo</w:t>
      </w:r>
    </w:p>
    <w:p>
      <w:pPr/>
      <w:r>
        <w:t>Las siguientes preguntas orientan la autoevaluación del estudiante. No corresponden a actividades calificables, sino a ejercicios de comprensión, análisis y transferencia:</w:t>
      </w:r>
    </w:p>
    <w:p>
      <w:pPr/>
      <w:r>
        <w:t>• Revise su carpeta digital del curso: ¿otra persona podría entender la organización sin que usted la explique?</w:t>
      </w:r>
    </w:p>
    <w:p>
      <w:pPr/>
      <w:r>
        <w:t>• Seleccione una fuente consultada y valore su confiabilidad a partir de autoría, actualidad, pertinencia y respaldo institucional.</w:t>
      </w:r>
    </w:p>
    <w:p>
      <w:pPr/>
      <w:r>
        <w:t>• Identifique un documento académico propio y mejore un aspecto de accesibilidad, estructura o citación.</w:t>
      </w:r>
    </w:p>
    <w:p w:rsidR="00000000" w:rsidDel="00000000" w:rsidP="00000000" w:rsidRDefault="00000000" w:rsidRPr="00000000" w14:paraId="00000055">
      <w:pPr>
        <w:pStyle w:val="Heading3"/>
        <w:numPr>
          <w:ilvl w:val="1"/>
          <w:numId w:val="4"/>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Cierre y síntesis</w:t>
      </w:r>
    </w:p>
    <w:p>
      <w:pPr/>
      <w:r>
        <w:t>Esta unidad permitió reconocer que la competencia digital no se limita al uso instrumental de herramientas, sino que implica organizar, seleccionar, proteger y comunicar información con sentido académico y profesional. El estudiante avanzó desde la identificación del ecosistema institucional hasta la producción de documentos sustentados en fuentes confiables.</w:t>
      </w:r>
    </w:p>
    <w:p>
      <w:pPr/>
      <w:r>
        <w:t>La siguiente unidad retoma esta base para profundizar en privacidad, ciberseguridad, ciudadanía digital, inteligencia artificial y diseño inicial de datos. Lo aprendido aquí será necesario para que el flujo de trabajo digital del curso conserve orden, evidencia y trazabilidad.</w:t>
      </w:r>
    </w:p>
    <w:p w:rsidR="00000000" w:rsidDel="00000000" w:rsidP="00000000" w:rsidRDefault="00000000" w:rsidRPr="00000000" w14:paraId="0000005C">
      <w:pPr>
        <w:pStyle w:val="Heading3"/>
        <w:numPr>
          <w:ilvl w:val="1"/>
          <w:numId w:val="4"/>
        </w:numPr>
        <w:spacing w:after="100" w:before="200" w:line="300" w:lineRule="auto"/>
        <w:ind w:left="792" w:hanging="432"/>
        <w:rPr>
          <w:rFonts w:ascii="Calibri" w:cs="Calibri" w:eastAsia="Calibri" w:hAnsi="Calibri"/>
          <w:color w:val="169ed0"/>
          <w:sz w:val="24"/>
          <w:szCs w:val="24"/>
        </w:rPr>
      </w:pPr>
      <w:r w:rsidDel="00000000" w:rsidR="00000000" w:rsidRPr="00000000">
        <w:rPr>
          <w:rFonts w:ascii="Calibri" w:cs="Calibri" w:eastAsia="Calibri" w:hAnsi="Calibri"/>
          <w:color w:val="169ed0"/>
          <w:sz w:val="24"/>
          <w:szCs w:val="24"/>
          <w:rtl w:val="0"/>
        </w:rPr>
        <w:t xml:space="preserve">Referencias</w:t>
      </w:r>
    </w:p>
    <w:p>
      <w:pPr/>
      <w:r>
        <w:t>• Vasconcelos Santillán, J. (2018). Introducción a la computación. Grupo Editorial Patria. https://elibro.unicartagenaproxy.elogim.com/es/ereader/unicartagena/98314?page=1</w:t>
      </w:r>
    </w:p>
    <w:p>
      <w:pPr/>
      <w:r>
        <w:t>• Rosado Alcántara, F. (2015). Ofimática (2.ª ed.). RA-MA Editorial. https://elibro.unicartagenaproxy.elogim.com/es/ereader/unicartagena/106459?page=70</w:t>
      </w:r>
    </w:p>
    <w:p>
      <w:pPr/>
      <w:r>
        <w:t>• Ladrón de Guevara, M. A. (2018). Sistema operativo, búsqueda de la información: internet/intranet y correo electrónico UF0319 (2.ª ed.). Editorial Tutor Formación. https://elibro.unicartagenaproxy.elogim.com/es/ereader/unicartagena/44263?page=33</w:t>
      </w:r>
    </w:p>
    <w:p>
      <w:pPr/>
      <w:r>
        <w:t>• Zofío Jiménez, J. J. (2013). Aplicaciones web. Macmillan Iberia. https://elibro.unicartagenaproxy.elogim.com/es/ereader/unicartagena/43262?page=84</w:t>
      </w:r>
    </w:p>
    <w:p w:rsidR="00000000" w:rsidDel="00000000" w:rsidP="00000000" w:rsidRDefault="00000000" w:rsidRPr="00000000" w14:paraId="00000068">
      <w:pPr>
        <w:pStyle w:val="Heading2"/>
        <w:numPr>
          <w:ilvl w:val="0"/>
          <w:numId w:val="4"/>
        </w:numPr>
        <w:spacing w:after="140" w:before="280" w:line="300" w:lineRule="auto"/>
        <w:ind w:left="360" w:hanging="360"/>
        <w:rPr>
          <w:rFonts w:ascii="Calibri" w:cs="Calibri" w:eastAsia="Calibri" w:hAnsi="Calibri"/>
          <w:color w:val="10145b"/>
        </w:rPr>
      </w:pPr>
      <w:r w:rsidDel="00000000" w:rsidR="00000000" w:rsidRPr="00000000">
        <w:rPr>
          <w:rFonts w:ascii="Calibri" w:cs="Calibri" w:eastAsia="Calibri" w:hAnsi="Calibri"/>
          <w:color w:val="10145b"/>
          <w:rtl w:val="0"/>
        </w:rPr>
        <w:t xml:space="preserve">Lista de verificación antes de entregar</w:t>
      </w:r>
    </w:p>
    <w:tbl>
      <w:tblPr>
        <w:tblStyle w:val="Table6"/>
        <w:tblW w:w="9360.0" w:type="dxa"/>
        <w:jc w:val="left"/>
        <w:tblBorders>
          <w:top w:color="d7dce5" w:space="0" w:sz="4" w:val="single"/>
          <w:left w:color="d7dce5" w:space="0" w:sz="4" w:val="single"/>
          <w:bottom w:color="d7dce5" w:space="0" w:sz="4" w:val="single"/>
          <w:right w:color="d7dce5" w:space="0" w:sz="4" w:val="single"/>
          <w:insideH w:color="d7dce5" w:space="0" w:sz="4" w:val="single"/>
          <w:insideV w:color="d7dce5" w:space="0" w:sz="4" w:val="single"/>
        </w:tblBorders>
        <w:tblLayout w:type="fixed"/>
        <w:tblLook w:val="0400"/>
      </w:tblPr>
      <w:tblGrid>
        <w:gridCol w:w="7500"/>
        <w:gridCol w:w="1860"/>
        <w:tblGridChange w:id="0">
          <w:tblGrid>
            <w:gridCol w:w="7500"/>
            <w:gridCol w:w="1860"/>
          </w:tblGrid>
        </w:tblGridChange>
      </w:tblGrid>
      <w:tr>
        <w:trPr>
          <w:cantSplit w:val="0"/>
          <w:tblHeader w:val="1"/>
        </w:trPr>
        <w:tc>
          <w:tcPr>
            <w:shd w:fill="7d2ae8" w:val="clear"/>
            <w:vAlign w:val="center"/>
          </w:tcPr>
          <w:p w:rsidR="00000000" w:rsidDel="00000000" w:rsidP="00000000" w:rsidRDefault="00000000" w:rsidRPr="00000000" w14:paraId="00000069">
            <w:pPr>
              <w:spacing w:after="0" w:line="252.00000000000003" w:lineRule="auto"/>
              <w:jc w:val="center"/>
              <w:rPr/>
            </w:pPr>
            <w:r w:rsidDel="00000000" w:rsidR="00000000" w:rsidRPr="00000000">
              <w:rPr>
                <w:b w:val="1"/>
                <w:bCs w:val="1"/>
                <w:color w:val="ffffff"/>
                <w:sz w:val="17"/>
                <w:szCs w:val="17"/>
                <w:rtl w:val="0"/>
              </w:rPr>
              <w:t xml:space="preserve">Criterio</w:t>
            </w:r>
            <w:r w:rsidDel="00000000" w:rsidR="00000000" w:rsidRPr="00000000">
              <w:rPr>
                <w:rtl w:val="0"/>
              </w:rPr>
            </w:r>
          </w:p>
        </w:tc>
        <w:tc>
          <w:tcPr>
            <w:shd w:fill="7d2ae8" w:val="clear"/>
            <w:vAlign w:val="center"/>
          </w:tcPr>
          <w:p w:rsidR="00000000" w:rsidDel="00000000" w:rsidP="00000000" w:rsidRDefault="00000000" w:rsidRPr="00000000" w14:paraId="0000006A">
            <w:pPr>
              <w:spacing w:after="0" w:line="252.00000000000003" w:lineRule="auto"/>
              <w:jc w:val="center"/>
              <w:rPr/>
            </w:pPr>
            <w:r w:rsidDel="00000000" w:rsidR="00000000" w:rsidRPr="00000000">
              <w:rPr>
                <w:b w:val="1"/>
                <w:bCs w:val="1"/>
                <w:color w:val="ffffff"/>
                <w:sz w:val="17"/>
                <w:szCs w:val="17"/>
                <w:rtl w:val="0"/>
              </w:rPr>
              <w:t xml:space="preserve">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spacing w:after="0" w:line="252.00000000000003" w:lineRule="auto"/>
              <w:rPr/>
            </w:pPr>
            <w:r w:rsidDel="00000000" w:rsidR="00000000" w:rsidRPr="00000000">
              <w:rPr>
                <w:sz w:val="17"/>
                <w:szCs w:val="17"/>
                <w:rtl w:val="0"/>
              </w:rPr>
              <w:t xml:space="preserve">Existe coherencia entre los resultados de aprendizaje y el contenido.</w:t>
            </w:r>
            <w:r w:rsidDel="00000000" w:rsidR="00000000" w:rsidRPr="00000000">
              <w:rPr>
                <w:rtl w:val="0"/>
              </w:rPr>
            </w:r>
          </w:p>
        </w:tc>
        <w:tc>
          <w:tcPr>
            <w:vAlign w:val="center"/>
          </w:tcPr>
          <w:p>
            <w:r>
              <w:t>☐ Pendiente | ☒ Verificado</w:t>
            </w:r>
          </w:p>
        </w:tc>
      </w:tr>
      <w:tr>
        <w:trPr>
          <w:cantSplit w:val="0"/>
          <w:tblHeader w:val="0"/>
        </w:trPr>
        <w:tc>
          <w:tcPr>
            <w:vAlign w:val="center"/>
          </w:tcPr>
          <w:p w:rsidR="00000000" w:rsidDel="00000000" w:rsidP="00000000" w:rsidRDefault="00000000" w:rsidRPr="00000000" w14:paraId="0000006D">
            <w:pPr>
              <w:spacing w:after="0" w:line="252.00000000000003" w:lineRule="auto"/>
              <w:rPr/>
            </w:pPr>
            <w:r w:rsidDel="00000000" w:rsidR="00000000" w:rsidRPr="00000000">
              <w:rPr>
                <w:sz w:val="17"/>
                <w:szCs w:val="17"/>
                <w:rtl w:val="0"/>
              </w:rPr>
              <w:t xml:space="preserve">Los conceptos se desarrollan de manera progresiva y comprensible.</w:t>
            </w:r>
            <w:r w:rsidDel="00000000" w:rsidR="00000000" w:rsidRPr="00000000">
              <w:rPr>
                <w:rtl w:val="0"/>
              </w:rPr>
            </w:r>
          </w:p>
        </w:tc>
        <w:tc>
          <w:tcPr>
            <w:vAlign w:val="center"/>
          </w:tcPr>
          <w:p>
            <w:r>
              <w:t>☐ Pendiente | ☒ Verificado</w:t>
            </w:r>
          </w:p>
        </w:tc>
      </w:tr>
      <w:tr>
        <w:trPr>
          <w:cantSplit w:val="0"/>
          <w:tblHeader w:val="0"/>
        </w:trPr>
        <w:tc>
          <w:tcPr>
            <w:vAlign w:val="center"/>
          </w:tcPr>
          <w:p w:rsidR="00000000" w:rsidDel="00000000" w:rsidP="00000000" w:rsidRDefault="00000000" w:rsidRPr="00000000" w14:paraId="0000006F">
            <w:pPr>
              <w:spacing w:after="0" w:line="252.00000000000003" w:lineRule="auto"/>
              <w:rPr/>
            </w:pPr>
            <w:r w:rsidDel="00000000" w:rsidR="00000000" w:rsidRPr="00000000">
              <w:rPr>
                <w:sz w:val="17"/>
                <w:szCs w:val="17"/>
                <w:rtl w:val="0"/>
              </w:rPr>
              <w:t xml:space="preserve">Cada tema incluye explicación, ejemplos y aplicaciones pertinentes.</w:t>
            </w:r>
            <w:r w:rsidDel="00000000" w:rsidR="00000000" w:rsidRPr="00000000">
              <w:rPr>
                <w:rtl w:val="0"/>
              </w:rPr>
            </w:r>
          </w:p>
        </w:tc>
        <w:tc>
          <w:tcPr>
            <w:vAlign w:val="center"/>
          </w:tcPr>
          <w:p>
            <w:r>
              <w:t>☐ Pendiente | ☒ Verificado</w:t>
            </w:r>
          </w:p>
        </w:tc>
      </w:tr>
      <w:tr>
        <w:trPr>
          <w:cantSplit w:val="0"/>
          <w:tblHeader w:val="0"/>
        </w:trPr>
        <w:tc>
          <w:tcPr>
            <w:vAlign w:val="center"/>
          </w:tcPr>
          <w:p w:rsidR="00000000" w:rsidDel="00000000" w:rsidP="00000000" w:rsidRDefault="00000000" w:rsidRPr="00000000" w14:paraId="00000071">
            <w:pPr>
              <w:spacing w:after="0" w:line="252.00000000000003" w:lineRule="auto"/>
              <w:rPr/>
            </w:pPr>
            <w:r w:rsidDel="00000000" w:rsidR="00000000" w:rsidRPr="00000000">
              <w:rPr>
                <w:sz w:val="17"/>
                <w:szCs w:val="17"/>
                <w:rtl w:val="0"/>
              </w:rPr>
              <w:t xml:space="preserve">La reflexión autónoma está claramente diferenciada de las actividades evaluativas.</w:t>
            </w:r>
            <w:r w:rsidDel="00000000" w:rsidR="00000000" w:rsidRPr="00000000">
              <w:rPr>
                <w:rtl w:val="0"/>
              </w:rPr>
            </w:r>
          </w:p>
        </w:tc>
        <w:tc>
          <w:tcPr>
            <w:vAlign w:val="center"/>
          </w:tcPr>
          <w:p>
            <w:r>
              <w:t>☐ Pendiente | ☒ Verificado</w:t>
            </w:r>
          </w:p>
        </w:tc>
      </w:tr>
      <w:tr>
        <w:trPr>
          <w:cantSplit w:val="0"/>
          <w:tblHeader w:val="0"/>
        </w:trPr>
        <w:tc>
          <w:tcPr>
            <w:vAlign w:val="center"/>
          </w:tcPr>
          <w:p w:rsidR="00000000" w:rsidDel="00000000" w:rsidP="00000000" w:rsidRDefault="00000000" w:rsidRPr="00000000" w14:paraId="00000073">
            <w:pPr>
              <w:spacing w:after="0" w:line="252.00000000000003" w:lineRule="auto"/>
              <w:rPr/>
            </w:pPr>
            <w:r w:rsidDel="00000000" w:rsidR="00000000" w:rsidRPr="00000000">
              <w:rPr>
                <w:sz w:val="17"/>
                <w:szCs w:val="17"/>
                <w:rtl w:val="0"/>
              </w:rPr>
              <w:t xml:space="preserve">Las referencias son verificables y se presentan con la norma APA vigente.</w:t>
            </w:r>
            <w:r w:rsidDel="00000000" w:rsidR="00000000" w:rsidRPr="00000000">
              <w:rPr>
                <w:rtl w:val="0"/>
              </w:rPr>
            </w:r>
          </w:p>
        </w:tc>
        <w:tc>
          <w:tcPr>
            <w:vAlign w:val="center"/>
          </w:tcPr>
          <w:p>
            <w:r>
              <w:t>☐ Pendiente | ☒ Verificado</w:t>
            </w:r>
          </w:p>
        </w:tc>
      </w:tr>
      <w:tr>
        <w:trPr>
          <w:cantSplit w:val="0"/>
          <w:tblHeader w:val="0"/>
        </w:trPr>
        <w:tc>
          <w:tcPr>
            <w:vAlign w:val="center"/>
          </w:tcPr>
          <w:p w:rsidR="00000000" w:rsidDel="00000000" w:rsidP="00000000" w:rsidRDefault="00000000" w:rsidRPr="00000000" w14:paraId="00000075">
            <w:pPr>
              <w:spacing w:after="0" w:line="252.00000000000003" w:lineRule="auto"/>
              <w:rPr/>
            </w:pPr>
            <w:r w:rsidDel="00000000" w:rsidR="00000000" w:rsidRPr="00000000">
              <w:rPr>
                <w:sz w:val="17"/>
                <w:szCs w:val="17"/>
                <w:rtl w:val="0"/>
              </w:rPr>
              <w:t xml:space="preserve">Las citas, paráfrasis y recursos respetan los derechos de autor.</w:t>
            </w:r>
            <w:r w:rsidDel="00000000" w:rsidR="00000000" w:rsidRPr="00000000">
              <w:rPr>
                <w:rtl w:val="0"/>
              </w:rPr>
            </w:r>
          </w:p>
        </w:tc>
        <w:tc>
          <w:tcPr>
            <w:vAlign w:val="center"/>
          </w:tcPr>
          <w:p>
            <w:r>
              <w:t>Cumple. El desarrollo temático incorpora citas dentro del texto y referencias finales en APA 7.</w:t>
            </w:r>
          </w:p>
        </w:tc>
      </w:tr>
      <w:tr>
        <w:trPr>
          <w:cantSplit w:val="0"/>
          <w:tblHeader w:val="0"/>
        </w:trPr>
        <w:tc>
          <w:tcPr>
            <w:vAlign w:val="center"/>
          </w:tcPr>
          <w:p w:rsidR="00000000" w:rsidDel="00000000" w:rsidP="00000000" w:rsidRDefault="00000000" w:rsidRPr="00000000" w14:paraId="00000077">
            <w:pPr>
              <w:spacing w:after="0" w:line="252.00000000000003" w:lineRule="auto"/>
              <w:rPr>
                <w:sz w:val="17"/>
                <w:szCs w:val="17"/>
              </w:rPr>
            </w:pPr>
            <w:r w:rsidDel="00000000" w:rsidR="00000000" w:rsidRPr="00000000">
              <w:rPr>
                <w:sz w:val="17"/>
                <w:szCs w:val="17"/>
                <w:rtl w:val="0"/>
              </w:rPr>
              <w:t xml:space="preserve">No existen errores ortográficos, gramaticales ni de coherencia.</w:t>
            </w:r>
          </w:p>
        </w:tc>
        <w:tc>
          <w:tcPr>
            <w:vAlign w:val="center"/>
          </w:tcPr>
          <w:p>
            <w:r>
              <w:t>☐ Pendiente | ☒ Verificado</w:t>
            </w:r>
          </w:p>
        </w:tc>
      </w:tr>
    </w:tbl>
    <w:p w:rsidR="00000000" w:rsidDel="00000000" w:rsidP="00000000" w:rsidRDefault="00000000" w:rsidRPr="00000000" w14:paraId="00000079">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 w:right="0" w:hanging="144"/>
        <w:jc w:val="left"/>
        <w:rPr>
          <w:rFonts w:ascii="Aptos" w:cs="Aptos" w:eastAsia="Aptos" w:hAnsi="Aptos"/>
          <w:b w:val="0"/>
          <w:bCs w:val="0"/>
          <w:i w:val="0"/>
          <w:iCs w:val="0"/>
          <w:smallCaps w:val="0"/>
          <w:strike w:val="0"/>
          <w:color w:val="27313b"/>
          <w:sz w:val="20"/>
          <w:szCs w:val="20"/>
          <w:u w:val="none"/>
          <w:shd w:fill="auto" w:val="clear"/>
          <w:vertAlign w:val="baseline"/>
        </w:rPr>
      </w:pPr>
      <w:r w:rsidDel="00000000" w:rsidR="00000000" w:rsidRPr="00000000">
        <w:rPr>
          <w:rtl w:val="0"/>
        </w:rPr>
      </w:r>
    </w:p>
    <w:tbl>
      <w:tblPr>
        <w:tblStyle w:val="Table7"/>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0" w:val="nil"/>
              <w:left w:color="1f5a94" w:space="0" w:sz="20" w:val="single"/>
              <w:bottom w:color="000000" w:space="0" w:sz="0" w:val="nil"/>
              <w:right w:color="000000" w:space="0" w:sz="0" w:val="nil"/>
            </w:tcBorders>
            <w:shd w:fill="e8eef5" w:val="clear"/>
            <w:tcMar>
              <w:top w:w="100.0" w:type="dxa"/>
              <w:left w:w="120.0" w:type="dxa"/>
              <w:bottom w:w="100.0" w:type="dxa"/>
              <w:right w:w="120.0" w:type="dxa"/>
            </w:tcMar>
            <w:vAlign w:val="center"/>
          </w:tcPr>
          <w:p>
            <w:r>
              <w:t>ENTREGA</w:t>
              <w:br/>
              <w:t>Archivo diligenciado en formato .docx, con campos completos, referencias verificables y estructura institucional conservada.</w:t>
            </w:r>
          </w:p>
        </w:tc>
      </w:tr>
    </w:tbl>
    <w:p w:rsidR="00000000" w:rsidDel="00000000" w:rsidP="00000000" w:rsidRDefault="00000000" w:rsidRPr="00000000" w14:paraId="0000007C">
      <w:pPr>
        <w:spacing w:after="40" w:line="72" w:lineRule="auto"/>
        <w:rPr/>
      </w:pPr>
      <w:r w:rsidDel="00000000" w:rsidR="00000000" w:rsidRPr="00000000">
        <w:rPr>
          <w:rtl w:val="0"/>
        </w:rPr>
      </w:r>
    </w:p>
    <w:p w:rsidR="00000000" w:rsidDel="00000000" w:rsidP="00000000" w:rsidRDefault="00000000" w:rsidRPr="00000000" w14:paraId="0000007D">
      <w:pPr>
        <w:spacing w:after="40" w:lineRule="auto"/>
        <w:rPr/>
      </w:pP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Control de revisión y aprobación</w:t>
      </w:r>
    </w:p>
    <w:tbl>
      <w:tblPr>
        <w:tblStyle w:val="Table8"/>
        <w:tblW w:w="9360.0" w:type="dxa"/>
        <w:jc w:val="left"/>
        <w:tblBorders>
          <w:top w:color="d7dce5" w:space="0" w:sz="4" w:val="single"/>
          <w:left w:color="d7dce5" w:space="0" w:sz="4" w:val="single"/>
          <w:bottom w:color="d7dce5" w:space="0" w:sz="4" w:val="single"/>
          <w:right w:color="d7dce5" w:space="0" w:sz="4" w:val="single"/>
          <w:insideH w:color="d7dce5" w:space="0" w:sz="4" w:val="single"/>
          <w:insideV w:color="d7dce5" w:space="0" w:sz="4" w:val="single"/>
        </w:tblBorders>
        <w:tblLayout w:type="fixed"/>
        <w:tblLook w:val="0400"/>
      </w:tblPr>
      <w:tblGrid>
        <w:gridCol w:w="2700"/>
        <w:gridCol w:w="3300"/>
        <w:gridCol w:w="1500"/>
        <w:gridCol w:w="1860"/>
        <w:tblGridChange w:id="0">
          <w:tblGrid>
            <w:gridCol w:w="2700"/>
            <w:gridCol w:w="3300"/>
            <w:gridCol w:w="1500"/>
            <w:gridCol w:w="1860"/>
          </w:tblGrid>
        </w:tblGridChange>
      </w:tblGrid>
      <w:tr>
        <w:trPr>
          <w:cantSplit w:val="0"/>
          <w:tblHeader w:val="1"/>
        </w:trPr>
        <w:tc>
          <w:tcPr>
            <w:shd w:fill="10145b" w:val="clear"/>
            <w:vAlign w:val="center"/>
          </w:tcPr>
          <w:p w:rsidR="00000000" w:rsidDel="00000000" w:rsidP="00000000" w:rsidRDefault="00000000" w:rsidRPr="00000000" w14:paraId="0000007F">
            <w:pPr>
              <w:spacing w:after="0" w:line="252.00000000000003" w:lineRule="auto"/>
              <w:jc w:val="center"/>
              <w:rPr/>
            </w:pPr>
            <w:r w:rsidDel="00000000" w:rsidR="00000000" w:rsidRPr="00000000">
              <w:rPr>
                <w:b w:val="1"/>
                <w:bCs w:val="1"/>
                <w:color w:val="ffffff"/>
                <w:sz w:val="17"/>
                <w:szCs w:val="17"/>
                <w:rtl w:val="0"/>
              </w:rPr>
              <w:t xml:space="preserve">Rol</w:t>
            </w:r>
            <w:r w:rsidDel="00000000" w:rsidR="00000000" w:rsidRPr="00000000">
              <w:rPr>
                <w:rtl w:val="0"/>
              </w:rPr>
            </w:r>
          </w:p>
        </w:tc>
        <w:tc>
          <w:tcPr>
            <w:shd w:fill="10145b" w:val="clear"/>
            <w:vAlign w:val="center"/>
          </w:tcPr>
          <w:p w:rsidR="00000000" w:rsidDel="00000000" w:rsidP="00000000" w:rsidRDefault="00000000" w:rsidRPr="00000000" w14:paraId="00000080">
            <w:pPr>
              <w:spacing w:after="0" w:line="252.00000000000003" w:lineRule="auto"/>
              <w:jc w:val="center"/>
              <w:rPr/>
            </w:pPr>
            <w:r w:rsidDel="00000000" w:rsidR="00000000" w:rsidRPr="00000000">
              <w:rPr>
                <w:b w:val="1"/>
                <w:bCs w:val="1"/>
                <w:color w:val="ffffff"/>
                <w:sz w:val="17"/>
                <w:szCs w:val="17"/>
                <w:rtl w:val="0"/>
              </w:rPr>
              <w:t xml:space="preserve">Nombre y firma</w:t>
            </w:r>
            <w:r w:rsidDel="00000000" w:rsidR="00000000" w:rsidRPr="00000000">
              <w:rPr>
                <w:rtl w:val="0"/>
              </w:rPr>
            </w:r>
          </w:p>
        </w:tc>
        <w:tc>
          <w:tcPr>
            <w:shd w:fill="10145b" w:val="clear"/>
            <w:vAlign w:val="center"/>
          </w:tcPr>
          <w:p w:rsidR="00000000" w:rsidDel="00000000" w:rsidP="00000000" w:rsidRDefault="00000000" w:rsidRPr="00000000" w14:paraId="00000081">
            <w:pPr>
              <w:spacing w:after="0" w:line="252.00000000000003" w:lineRule="auto"/>
              <w:jc w:val="center"/>
              <w:rPr/>
            </w:pPr>
            <w:r w:rsidDel="00000000" w:rsidR="00000000" w:rsidRPr="00000000">
              <w:rPr>
                <w:b w:val="1"/>
                <w:bCs w:val="1"/>
                <w:color w:val="ffffff"/>
                <w:sz w:val="17"/>
                <w:szCs w:val="17"/>
                <w:rtl w:val="0"/>
              </w:rPr>
              <w:t xml:space="preserve">Fecha</w:t>
            </w:r>
            <w:r w:rsidDel="00000000" w:rsidR="00000000" w:rsidRPr="00000000">
              <w:rPr>
                <w:rtl w:val="0"/>
              </w:rPr>
            </w:r>
          </w:p>
        </w:tc>
        <w:tc>
          <w:tcPr>
            <w:shd w:fill="10145b" w:val="clear"/>
            <w:vAlign w:val="center"/>
          </w:tcPr>
          <w:p w:rsidR="00000000" w:rsidDel="00000000" w:rsidP="00000000" w:rsidRDefault="00000000" w:rsidRPr="00000000" w14:paraId="00000082">
            <w:pPr>
              <w:spacing w:after="0" w:line="252.00000000000003" w:lineRule="auto"/>
              <w:jc w:val="center"/>
              <w:rPr/>
            </w:pPr>
            <w:r w:rsidDel="00000000" w:rsidR="00000000" w:rsidRPr="00000000">
              <w:rPr>
                <w:b w:val="1"/>
                <w:bCs w:val="1"/>
                <w:color w:val="ffffff"/>
                <w:sz w:val="17"/>
                <w:szCs w:val="17"/>
                <w:rtl w:val="0"/>
              </w:rPr>
              <w:t xml:space="preserve">Estado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spacing w:after="0" w:line="252.00000000000003" w:lineRule="auto"/>
              <w:rPr/>
            </w:pPr>
            <w:r w:rsidDel="00000000" w:rsidR="00000000" w:rsidRPr="00000000">
              <w:rPr>
                <w:sz w:val="16"/>
                <w:szCs w:val="16"/>
                <w:rtl w:val="0"/>
              </w:rPr>
              <w:t xml:space="preserve">Docente experto temático</w:t>
            </w:r>
            <w:r w:rsidDel="00000000" w:rsidR="00000000" w:rsidRPr="00000000">
              <w:rPr>
                <w:rtl w:val="0"/>
              </w:rPr>
            </w:r>
          </w:p>
        </w:tc>
        <w:tc>
          <w:tcPr>
            <w:vAlign w:val="center"/>
          </w:tcPr>
          <w:p>
            <w:r>
              <w:t>Luis</w:t>
            </w:r>
          </w:p>
        </w:tc>
        <w:tc>
          <w:tcPr>
            <w:vAlign w:val="center"/>
          </w:tcPr>
          <w:p>
            <w:r>
              <w:t>06/10/2026</w:t>
            </w:r>
          </w:p>
        </w:tc>
        <w:tc>
          <w:tcPr>
            <w:vAlign w:val="center"/>
          </w:tcPr>
          <w:p>
            <w:r>
              <w:t>☐ Pendiente | ☒ Aprobado</w:t>
            </w:r>
          </w:p>
        </w:tc>
      </w:tr>
      <w:tr>
        <w:trPr>
          <w:cantSplit w:val="0"/>
          <w:tblHeader w:val="0"/>
        </w:trPr>
        <w:tc>
          <w:tcPr>
            <w:vAlign w:val="center"/>
          </w:tcPr>
          <w:p w:rsidR="00000000" w:rsidDel="00000000" w:rsidP="00000000" w:rsidRDefault="00000000" w:rsidRPr="00000000" w14:paraId="00000087">
            <w:pPr>
              <w:spacing w:after="0" w:line="252.00000000000003" w:lineRule="auto"/>
              <w:rPr/>
            </w:pPr>
            <w:r w:rsidDel="00000000" w:rsidR="00000000" w:rsidRPr="00000000">
              <w:rPr>
                <w:sz w:val="16"/>
                <w:szCs w:val="16"/>
                <w:rtl w:val="0"/>
              </w:rPr>
              <w:t xml:space="preserve">Asesor pedagógico CTEV</w:t>
            </w:r>
            <w:r w:rsidDel="00000000" w:rsidR="00000000" w:rsidRPr="00000000">
              <w:rPr>
                <w:rtl w:val="0"/>
              </w:rPr>
            </w:r>
          </w:p>
        </w:tc>
        <w:tc>
          <w:tcPr>
            <w:vAlign w:val="center"/>
          </w:tcPr>
          <w:p>
            <w:r>
              <w:t>Pendiente de revisión CTEV</w:t>
            </w:r>
          </w:p>
        </w:tc>
        <w:tc>
          <w:tcPr>
            <w:vAlign w:val="center"/>
          </w:tcPr>
          <w:p>
            <w:r>
              <w:t>06/10/2026</w:t>
            </w:r>
          </w:p>
        </w:tc>
        <w:tc>
          <w:tcPr>
            <w:vAlign w:val="center"/>
          </w:tcPr>
          <w:p>
            <w:r>
              <w:t>☒ Pendiente | ☐ Aprobado</w:t>
            </w:r>
          </w:p>
        </w:tc>
      </w:tr>
    </w:tbl>
    <w:p w:rsidR="00000000" w:rsidDel="00000000" w:rsidP="00000000" w:rsidRDefault="00000000" w:rsidRPr="00000000" w14:paraId="0000008B">
      <w:pPr>
        <w:rPr/>
      </w:pPr>
      <w:r w:rsidDel="00000000" w:rsidR="00000000" w:rsidRPr="00000000">
        <w:rPr>
          <w:rtl w:val="0"/>
        </w:rPr>
      </w:r>
    </w:p>
    <w:p/>
    <w:p/>
    <w:p/>
    <w:p/>
    <w:p/>
    <w:p/>
    <w:p/>
    <w:p/>
    <w:p/>
    <w:p/>
    <w:p/>
    <w:p/>
    <w:p/>
    <w:p/>
    <w:p/>
    <w:p/>
    <w:p/>
    <w:p/>
    <w:p/>
    <w:p/>
    <w:p/>
    <w:p/>
    <w:p/>
    <w:p/>
    <w:p/>
    <w:p/>
    <w:p/>
    <w:p/>
    <w:p/>
    <w:p/>
    <w:p/>
    <w:p/>
    <w:p/>
    <w:p/>
    <w:p/>
    <w:p/>
    <w:p/>
    <w:p/>
    <w:p/>
    <w:p/>
    <w:p/>
    <w:p/>
    <w:p/>
    <w:p/>
    <w:p/>
    <w:p/>
    <w:p/>
    <w:p/>
    <w:sectPr>
      <w:headerReference r:id="rId7" w:type="default"/>
      <w:headerReference r:id="rId8" w:type="first"/>
      <w:headerReference r:id="rId9" w:type="even"/>
      <w:footerReference r:id="rId10" w:type="default"/>
      <w:footerReference r:id="rId11" w:type="first"/>
      <w:footerReference r:id="rId12" w:type="even"/>
      <w:titlePg/>
      <w:pgSz w:h="15840" w:w="12240" w:orient="portrait"/>
      <w:pgMar w:bottom="1080" w:top="1123" w:left="1440" w:right="1440" w:header="403"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color="d7dce3" w:space="5" w:sz="6" w:val="single"/>
        <w:left w:space="0" w:sz="0" w:val="nil"/>
        <w:bottom w:space="0" w:sz="0" w:val="nil"/>
        <w:right w:space="0" w:sz="0" w:val="nil"/>
        <w:between w:space="0" w:sz="0" w:val="nil"/>
      </w:pBdr>
      <w:shd w:fill="auto" w:val="clear"/>
      <w:tabs>
        <w:tab w:val="center" w:leader="none" w:pos="4680"/>
        <w:tab w:val="right" w:leader="none" w:pos="9360"/>
      </w:tabs>
      <w:spacing w:after="0" w:before="80" w:line="240" w:lineRule="auto"/>
      <w:ind w:left="0" w:right="0" w:firstLine="0"/>
      <w:jc w:val="center"/>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f6b78"/>
        <w:sz w:val="17"/>
        <w:szCs w:val="17"/>
        <w:u w:val="none"/>
        <w:shd w:fill="auto" w:val="clear"/>
        <w:vertAlign w:val="baseline"/>
        <w:rtl w:val="0"/>
      </w:rPr>
      <w:t xml:space="preserve">CTEV  |  Guía institucional  |  Página </w:t>
    </w:r>
    <w:r w:rsidDel="00000000" w:rsidR="00000000" w:rsidRPr="00000000">
      <w:rPr>
        <w:rFonts w:ascii="Aptos" w:cs="Aptos" w:eastAsia="Aptos" w:hAnsi="Aptos"/>
        <w:b w:val="0"/>
        <w:bCs w:val="0"/>
        <w:i w:val="0"/>
        <w:iCs w:val="0"/>
        <w:smallCaps w:val="0"/>
        <w:strike w:val="0"/>
        <w:color w:val="5f6b78"/>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bookmarkStart w:colFirst="0" w:colLast="0" w:name="_heading=h.y8jsi6jkexra" w:id="1"/>
    <w:bookmarkEnd w:id="1"/>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-1638299</wp:posOffset>
          </wp:positionH>
          <wp:positionV relativeFrom="paragraph">
            <wp:posOffset>200025</wp:posOffset>
          </wp:positionV>
          <wp:extent cx="8639175" cy="11071225"/>
          <wp:effectExtent b="0" l="0" r="0" t="0"/>
          <wp:wrapNone/>
          <wp:docPr descr="Encabezado institucional de la Universidad de Cartagena y el CTEV." id="1" name="image1.png"/>
          <a:graphic>
            <a:graphicData uri="http://schemas.openxmlformats.org/drawingml/2006/picture">
              <pic:pic>
                <pic:nvPicPr>
                  <pic:cNvPr descr="Encabezado institucional de la Universidad de Cartagena y el CTEV." id="0" name="image1.png"/>
                  <pic:cNvPicPr preferRelativeResize="0"/>
                </pic:nvPicPr>
                <pic:blipFill>
                  <a:blip r:embed="rId1"/>
                  <a:srcRect b="0" l="0" r="0" t="0"/>
                  <a:stretch>
                    <a:fillRect/>
                  </a:stretch>
                </pic:blipFill>
                <pic:spPr>
                  <a:xfrm>
                    <a:off x="0" y="0"/>
                    <a:ext cx="8639175" cy="1107122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270"/>
      </w:pPr>
      <w:rPr>
        <w:rFonts w:ascii="Aptos" w:cs="Aptos" w:eastAsia="Aptos" w:hAnsi="Aptos"/>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3">
    <w:lvl w:ilvl="0">
      <w:start w:val="1"/>
      <w:numFmt w:val="decimal"/>
      <w:lvlText w:val="%1."/>
      <w:lvlJc w:val="left"/>
      <w:pPr>
        <w:ind w:left="540" w:hanging="270"/>
      </w:pPr>
      <w:rPr>
        <w:rFonts w:ascii="Aptos" w:cs="Aptos" w:eastAsia="Aptos" w:hAnsi="Aptos"/>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6">
    <w:lvl w:ilvl="0">
      <w:start w:val="1"/>
      <w:numFmt w:val="decimal"/>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7">
    <w:lvl w:ilvl="0">
      <w:start w:val="1"/>
      <w:numFmt w:val="decimal"/>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8">
    <w:lvl w:ilvl="0">
      <w:start w:val="1"/>
      <w:numFmt w:val="decimal"/>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9">
    <w:lvl w:ilvl="0">
      <w:start w:val="1"/>
      <w:numFmt w:val="decimal"/>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7313b"/>
        <w:sz w:val="21"/>
        <w:szCs w:val="21"/>
        <w:lang w:val="es-CO"/>
      </w:rPr>
    </w:rPrDefault>
    <w:pPrDefault>
      <w:pPr>
        <w:spacing w:after="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360" w:lineRule="auto"/>
    </w:pPr>
    <w:rPr>
      <w:rFonts w:ascii="Calibri" w:cs="Calibri" w:eastAsia="Calibri" w:hAnsi="Calibri"/>
      <w:b w:val="1"/>
      <w:bCs w:val="1"/>
      <w:color w:val="1f5a94"/>
      <w:sz w:val="32"/>
      <w:szCs w:val="32"/>
    </w:rPr>
  </w:style>
  <w:style w:type="paragraph" w:styleId="Heading2">
    <w:name w:val="heading 2"/>
    <w:basedOn w:val="Normal"/>
    <w:next w:val="Normal"/>
    <w:pPr>
      <w:keepNext w:val="1"/>
      <w:keepLines w:val="1"/>
      <w:spacing w:before="260" w:lineRule="auto"/>
    </w:pPr>
    <w:rPr>
      <w:rFonts w:ascii="Calibri" w:cs="Calibri" w:eastAsia="Calibri" w:hAnsi="Calibri"/>
      <w:b w:val="1"/>
      <w:bCs w:val="1"/>
      <w:color w:val="1f5a94"/>
      <w:sz w:val="26"/>
      <w:szCs w:val="26"/>
    </w:rPr>
  </w:style>
  <w:style w:type="paragraph" w:styleId="Heading3">
    <w:name w:val="heading 3"/>
    <w:basedOn w:val="Normal"/>
    <w:next w:val="Normal"/>
    <w:pPr>
      <w:keepNext w:val="1"/>
      <w:keepLines w:val="1"/>
      <w:spacing w:after="80" w:before="180" w:lineRule="auto"/>
    </w:pPr>
    <w:rPr>
      <w:rFonts w:ascii="Calibri" w:cs="Calibri" w:eastAsia="Calibri" w:hAnsi="Calibri"/>
      <w:b w:val="1"/>
      <w:bCs w:val="1"/>
      <w:color w:val="173b63"/>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keepLines w:val="1"/>
      <w:pBdr>
        <w:bottom w:color="4f81bd" w:space="4" w:sz="8" w:val="single"/>
      </w:pBdr>
      <w:spacing w:line="240" w:lineRule="auto"/>
    </w:pPr>
    <w:rPr>
      <w:rFonts w:ascii="Calibri" w:cs="Calibri" w:eastAsia="Calibri" w:hAnsi="Calibri"/>
      <w:b w:val="1"/>
      <w:bCs w:val="1"/>
      <w:color w:val="173b63"/>
      <w:sz w:val="50"/>
      <w:szCs w:val="50"/>
    </w:rPr>
  </w:style>
  <w:style w:type="paragraph" w:styleId="Subtitle">
    <w:name w:val="Subtitle"/>
    <w:basedOn w:val="Normal"/>
    <w:next w:val="Normal"/>
    <w:pPr>
      <w:keepNext w:val="1"/>
      <w:keepLines w:val="1"/>
      <w:spacing w:after="360" w:lineRule="auto"/>
    </w:pPr>
    <w:rPr>
      <w:rFonts w:ascii="Calibri" w:cs="Calibri" w:eastAsia="Calibri" w:hAnsi="Calibri"/>
      <w:i w:val="1"/>
      <w:iCs w:val="1"/>
      <w:color w:val="5f6b78"/>
      <w:sz w:val="23"/>
      <w:szCs w:val="23"/>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fEKNdvMcTrXy1kPsDe4hjlps1A==">CgMxLjAyDmguMWE5Z3pnYWFlMXdnMg5oLnk4anNpNmprZXhyYTgAciExYndFcFhUeDVHYWRCRXNUUGJHVlJCb1dlYTcwZHVzUU8=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