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320" w:lineRule="auto"/>
        <w:rPr/>
      </w:pPr>
      <w:r>
        <w:t>MÓDULO DE APRENDIZAJE</w:t>
      </w:r>
    </w:p>
    <w:p w:rsidR="00000000" w:rsidDel="00000000" w:rsidP="00000000" w:rsidRDefault="00000000" w:rsidRPr="00000000" w14:paraId="00000002">
      <w:pPr>
        <w:pStyle w:val="Title"/>
        <w:pBdr>
          <w:bottom w:color="000000" w:space="0" w:sz="0" w:val="none"/>
        </w:pBdr>
        <w:spacing w:after="80" w:line="300" w:lineRule="auto"/>
        <w:rPr>
          <w:rFonts w:ascii="Calibri" w:cs="Calibri" w:eastAsia="Calibri" w:hAnsi="Calibri"/>
          <w:color w:val="10145b"/>
          <w:sz w:val="40"/>
          <w:szCs w:val="40"/>
        </w:rPr>
      </w:pPr>
      <w:r>
        <w:t>Unidad 3. Análisis, visualización y comunicación de datos</w:t>
      </w:r>
    </w:p>
    <w:p w:rsidR="00000000" w:rsidDel="00000000" w:rsidP="00000000" w:rsidRDefault="00000000" w:rsidRPr="00000000" w14:paraId="00000003">
      <w:pPr>
        <w:pStyle w:val="Heading2"/>
        <w:numPr>
          <w:ilvl w:val="0"/>
          <w:numId w:val="4"/>
        </w:numPr>
        <w:spacing w:after="140" w:before="280" w:line="300" w:lineRule="auto"/>
        <w:ind w:left="360" w:hanging="360"/>
        <w:rPr>
          <w:rFonts w:ascii="Calibri" w:cs="Calibri" w:eastAsia="Calibri" w:hAnsi="Calibri"/>
          <w:color w:val="10145b"/>
        </w:rPr>
      </w:pPr>
      <w:r>
        <w:rPr>
          <w:rFonts w:ascii="Arial" w:hAnsi="Arial"/>
        </w:rPr>
        <w:t>Versión mitigada para revisión académica y producción técnica con contenido exclusivo de la Unidad 3.</w:t>
      </w:r>
    </w:p>
    <w:p>
      <w:pPr/>
      <w:r>
        <w:t>Este módulo orienta el estudio de los contenidos correspondientes a semanas 11 a 14 del curso Informática I. Su finalidad es desarrollar competencias digitales, comunicativas, investigativas y éticas que permitan al estudiante avanzar en la implementación de un flujo de trabajo digital para la gestión de información en salud.</w:t>
      </w:r>
    </w:p>
    <w:p>
      <w:pPr/>
      <w:r>
        <w:t>El contenido se presenta de manera progresiva y contextualizada para favorecer el aprendizaje autónomo, la comprensión conceptual y la transferencia a situaciones propias de la administración de servicios de salud.</w:t>
      </w:r>
    </w:p>
    <w:tbl>
      <w:tblPr>
        <w:tblStyle w:val="Table1"/>
        <w:tblW w:w="9360.0" w:type="dxa"/>
        <w:jc w:val="left"/>
        <w:tblBorders>
          <w:top w:color="169ed0" w:space="0" w:sz="6" w:val="single"/>
          <w:left w:color="169ed0" w:space="0" w:sz="6" w:val="single"/>
          <w:bottom w:color="169ed0" w:space="0" w:sz="6" w:val="single"/>
          <w:right w:color="169ed0" w:space="0" w:sz="6" w:val="single"/>
          <w:insideH w:color="169ed0" w:space="0" w:sz="6" w:val="single"/>
          <w:insideV w:color="169ed0" w:space="0" w:sz="6" w:val="single"/>
        </w:tblBorders>
        <w:tblLayout w:type="fixed"/>
        <w:tblLook w:val="0400"/>
      </w:tblPr>
      <w:tblGrid>
        <w:gridCol w:w="9360"/>
        <w:tblGridChange w:id="0">
          <w:tblGrid>
            <w:gridCol w:w="9360"/>
          </w:tblGrid>
        </w:tblGridChange>
      </w:tblGrid>
      <w:tr>
        <w:trPr>
          <w:cantSplit w:val="0"/>
          <w:tblHeader w:val="0"/>
        </w:trPr>
        <w:tc>
          <w:tcPr>
            <w:shd w:fill="eaf7fc" w:val="clear"/>
            <w:vAlign w:val="center"/>
          </w:tcPr>
          <w:p>
            <w:r>
              <w:t>USO DE ESTE MÓDULO</w:t>
              <w:br/>
              <w:t>Este recurso constituye la lectura principal de estudio autónomo para la unidad. Debe revisarse antes de los encuentros sincrónicos y retomarse durante la elaboración de evidencias y avances del Trabajo Colaborativo Contextualizado.</w:t>
            </w:r>
          </w:p>
        </w:tc>
      </w:tr>
    </w:tbl>
    <w:p w:rsidR="00000000" w:rsidDel="00000000" w:rsidP="00000000" w:rsidRDefault="00000000" w:rsidRPr="00000000" w14:paraId="00000009">
      <w:pPr>
        <w:pStyle w:val="Heading2"/>
        <w:numPr>
          <w:ilvl w:val="0"/>
          <w:numId w:val="4"/>
        </w:numPr>
        <w:spacing w:after="140" w:before="280" w:line="300" w:lineRule="auto"/>
        <w:ind w:left="360" w:hanging="360"/>
        <w:rPr>
          <w:rFonts w:ascii="Calibri" w:cs="Calibri" w:eastAsia="Calibri" w:hAnsi="Calibri"/>
          <w:color w:val="10145b"/>
        </w:rPr>
      </w:pPr>
      <w:r w:rsidDel="00000000" w:rsidR="00000000" w:rsidRPr="00000000">
        <w:rPr>
          <w:rFonts w:ascii="Calibri" w:cs="Calibri" w:eastAsia="Calibri" w:hAnsi="Calibri"/>
          <w:color w:val="10145b"/>
          <w:rtl w:val="0"/>
        </w:rPr>
        <w:t xml:space="preserve">Consideraciones generales</w:t>
      </w:r>
    </w:p>
    <w:p>
      <w:pPr/>
      <w:r>
        <w:t>El módulo corresponde exclusivamente a semanas 11 a 14 y se articula con el proyecto docente aprobado.</w:t>
      </w:r>
    </w:p>
    <w:p>
      <w:pPr/>
      <w:r>
        <w:t>El desarrollo se centra en el resultado de aprendizaje del curso: Implementa un flujo de trabajo digital para organizar, analizar y comunicar datos del área de la gestión en salud, utilizando herramientas ofimáticas, colaborativas y de inteligencia artificial, con criterios de calidad, seguridad, ética, accesibilidad y sostenibilidad, para sustentar decisiones y acciones de mejora continua.</w:t>
      </w:r>
    </w:p>
    <w:p>
      <w:pPr/>
      <w:r>
        <w:t>El estudiante debe abordar la lectura de manera autónoma, relacionar los conceptos con su contexto profesional y conservar evidencias organizadas para el Trabajo Colaborativo Contextualizado.</w:t>
      </w:r>
    </w:p>
    <w:p w:rsidR="00000000" w:rsidDel="00000000" w:rsidP="00000000" w:rsidRDefault="00000000" w:rsidRPr="00000000" w14:paraId="00000015">
      <w:pPr>
        <w:pStyle w:val="Heading2"/>
        <w:numPr>
          <w:ilvl w:val="0"/>
          <w:numId w:val="4"/>
        </w:numPr>
        <w:spacing w:after="140" w:before="280" w:line="300" w:lineRule="auto"/>
        <w:ind w:left="360" w:hanging="360"/>
        <w:rPr>
          <w:rFonts w:ascii="Calibri" w:cs="Calibri" w:eastAsia="Calibri" w:hAnsi="Calibri"/>
          <w:color w:val="10145b"/>
        </w:rPr>
      </w:pPr>
      <w:r w:rsidDel="00000000" w:rsidR="00000000" w:rsidRPr="00000000">
        <w:rPr>
          <w:rFonts w:ascii="Calibri" w:cs="Calibri" w:eastAsia="Calibri" w:hAnsi="Calibri"/>
          <w:color w:val="10145b"/>
          <w:rtl w:val="0"/>
        </w:rPr>
        <w:t xml:space="preserve">Estructura del módulo</w:t>
      </w:r>
    </w:p>
    <w:p>
      <w:pPr/>
      <w:r>
        <w:t>El módulo conserva la estructura institucional: identificación, introducción y contextualización, objetivos y competencias, desarrollo temático, ejemplos aplicados, reflexión para el aprendizaje autónomo, cierre y referencias.</w:t>
      </w:r>
    </w:p>
    <w:p w:rsidR="00000000" w:rsidDel="00000000" w:rsidP="00000000" w:rsidRDefault="00000000" w:rsidRPr="00000000" w14:paraId="00000017">
      <w:pPr>
        <w:pStyle w:val="Heading3"/>
        <w:numPr>
          <w:ilvl w:val="1"/>
          <w:numId w:val="4"/>
        </w:numPr>
        <w:spacing w:after="100" w:before="200" w:line="300" w:lineRule="auto"/>
        <w:ind w:left="792" w:hanging="432"/>
        <w:rPr>
          <w:rFonts w:ascii="Calibri" w:cs="Calibri" w:eastAsia="Calibri" w:hAnsi="Calibri"/>
          <w:color w:val="169ed0"/>
          <w:sz w:val="24"/>
          <w:szCs w:val="24"/>
        </w:rPr>
      </w:pPr>
      <w:r w:rsidDel="00000000" w:rsidR="00000000" w:rsidRPr="00000000">
        <w:rPr>
          <w:rFonts w:ascii="Calibri" w:cs="Calibri" w:eastAsia="Calibri" w:hAnsi="Calibri"/>
          <w:color w:val="169ed0"/>
          <w:sz w:val="24"/>
          <w:szCs w:val="24"/>
          <w:rtl w:val="0"/>
        </w:rPr>
        <w:t xml:space="preserve">Identificación</w:t>
      </w:r>
    </w:p>
    <w:tbl>
      <w:tblPr>
        <w:tblStyle w:val="Table2"/>
        <w:tblW w:w="9360.0" w:type="dxa"/>
        <w:jc w:val="left"/>
        <w:tblLayout w:type="fixed"/>
        <w:tblLook w:val="0400"/>
      </w:tblPr>
      <w:tblGrid>
        <w:gridCol w:w="9360"/>
        <w:tblGridChange w:id="0">
          <w:tblGrid>
            <w:gridCol w:w="9360"/>
          </w:tblGrid>
        </w:tblGridChange>
      </w:tblGrid>
      <w:tr>
        <w:trPr>
          <w:cantSplit w:val="0"/>
          <w:tblHeader w:val="0"/>
        </w:trPr>
        <w:tc>
          <w:tcPr>
            <w:tcBorders>
              <w:top w:color="000000" w:space="0" w:sz="0" w:val="nil"/>
              <w:left w:color="1f5a94" w:space="0" w:sz="20" w:val="single"/>
              <w:bottom w:color="000000" w:space="0" w:sz="0" w:val="nil"/>
              <w:right w:color="000000" w:space="0" w:sz="0" w:val="nil"/>
            </w:tcBorders>
            <w:shd w:fill="e8eef5" w:val="clear"/>
            <w:tcMar>
              <w:top w:w="100.0" w:type="dxa"/>
              <w:left w:w="120.0" w:type="dxa"/>
              <w:bottom w:w="100.0" w:type="dxa"/>
              <w:right w:w="120.0" w:type="dxa"/>
            </w:tcMar>
            <w:vAlign w:val="center"/>
          </w:tcPr>
          <w:p>
            <w:r>
              <w:t>ORIENTACIÓN</w:t>
              <w:br/>
              <w:t>El módulo presenta los contenidos de forma progresiva, contextualizada y articulada con el resultado de aprendizaje del curso y con el perfil del Programa Administración de Servicios de Salud.</w:t>
            </w:r>
          </w:p>
        </w:tc>
      </w:tr>
    </w:tbl>
    <w:p w:rsidR="00000000" w:rsidDel="00000000" w:rsidP="00000000" w:rsidRDefault="00000000" w:rsidRPr="00000000" w14:paraId="0000001A">
      <w:pPr>
        <w:spacing w:after="40" w:line="72" w:lineRule="auto"/>
        <w:rPr/>
      </w:pPr>
      <w:r w:rsidDel="00000000" w:rsidR="00000000" w:rsidRPr="00000000">
        <w:rPr>
          <w:rtl w:val="0"/>
        </w:rPr>
      </w:r>
    </w:p>
    <w:p w:rsidR="00000000" w:rsidDel="00000000" w:rsidP="00000000" w:rsidRDefault="00000000" w:rsidRPr="00000000" w14:paraId="0000001B">
      <w:pPr>
        <w:spacing w:after="40" w:line="72" w:lineRule="auto"/>
        <w:rPr/>
      </w:pPr>
      <w:r w:rsidDel="00000000" w:rsidR="00000000" w:rsidRPr="00000000">
        <w:rPr>
          <w:rtl w:val="0"/>
        </w:rPr>
      </w:r>
    </w:p>
    <w:tbl>
      <w:tblPr>
        <w:tblStyle w:val="Table3"/>
        <w:tblW w:w="9360.0" w:type="dxa"/>
        <w:jc w:val="left"/>
        <w:tblBorders>
          <w:top w:color="d7dce5" w:space="0" w:sz="4" w:val="single"/>
          <w:left w:color="d7dce5" w:space="0" w:sz="4" w:val="single"/>
          <w:bottom w:color="d7dce5" w:space="0" w:sz="4" w:val="single"/>
          <w:right w:color="d7dce5" w:space="0" w:sz="4" w:val="single"/>
          <w:insideH w:color="d7dce5" w:space="0" w:sz="4" w:val="single"/>
          <w:insideV w:color="d7dce5" w:space="0" w:sz="4" w:val="single"/>
        </w:tblBorders>
        <w:tblLayout w:type="fixed"/>
        <w:tblLook w:val="0400"/>
      </w:tblPr>
      <w:tblGrid>
        <w:gridCol w:w="1275"/>
        <w:gridCol w:w="2553"/>
        <w:gridCol w:w="1559"/>
        <w:gridCol w:w="3973"/>
        <w:tblGridChange w:id="0">
          <w:tblGrid>
            <w:gridCol w:w="1275"/>
            <w:gridCol w:w="2553"/>
            <w:gridCol w:w="1559"/>
            <w:gridCol w:w="3973"/>
          </w:tblGrid>
        </w:tblGridChange>
      </w:tblGrid>
      <w:tr>
        <w:trPr>
          <w:cantSplit w:val="0"/>
          <w:tblHeader w:val="1"/>
        </w:trPr>
        <w:tc>
          <w:tcPr>
            <w:shd w:fill="f1eafd" w:val="clear"/>
            <w:vAlign w:val="center"/>
          </w:tcPr>
          <w:p w:rsidR="00000000" w:rsidDel="00000000" w:rsidP="00000000" w:rsidRDefault="00000000" w:rsidRPr="00000000" w14:paraId="0000001C">
            <w:pPr>
              <w:spacing w:after="30" w:line="259" w:lineRule="auto"/>
              <w:rPr/>
            </w:pPr>
            <w:r w:rsidDel="00000000" w:rsidR="00000000" w:rsidRPr="00000000">
              <w:rPr>
                <w:b w:val="1"/>
                <w:bCs w:val="1"/>
                <w:color w:val="10145b"/>
                <w:sz w:val="18"/>
                <w:szCs w:val="18"/>
                <w:rtl w:val="0"/>
              </w:rPr>
              <w:t xml:space="preserve">Curso / asignatura</w:t>
            </w:r>
            <w:r w:rsidDel="00000000" w:rsidR="00000000" w:rsidRPr="00000000">
              <w:rPr>
                <w:rtl w:val="0"/>
              </w:rPr>
            </w:r>
          </w:p>
        </w:tc>
        <w:tc>
          <w:tcPr>
            <w:vAlign w:val="center"/>
          </w:tcPr>
          <w:p>
            <w:r>
              <w:t>Informática I</w:t>
            </w:r>
          </w:p>
        </w:tc>
        <w:tc>
          <w:tcPr>
            <w:shd w:fill="f1eafd" w:val="clear"/>
            <w:vAlign w:val="center"/>
          </w:tcPr>
          <w:p w:rsidR="00000000" w:rsidDel="00000000" w:rsidP="00000000" w:rsidRDefault="00000000" w:rsidRPr="00000000" w14:paraId="0000001E">
            <w:pPr>
              <w:spacing w:after="30" w:line="259" w:lineRule="auto"/>
              <w:rPr/>
            </w:pPr>
            <w:r w:rsidDel="00000000" w:rsidR="00000000" w:rsidRPr="00000000">
              <w:rPr>
                <w:b w:val="1"/>
                <w:bCs w:val="1"/>
                <w:color w:val="10145b"/>
                <w:sz w:val="18"/>
                <w:szCs w:val="18"/>
                <w:rtl w:val="0"/>
              </w:rPr>
              <w:t xml:space="preserve">Programa</w:t>
            </w:r>
            <w:r w:rsidDel="00000000" w:rsidR="00000000" w:rsidRPr="00000000">
              <w:rPr>
                <w:rtl w:val="0"/>
              </w:rPr>
            </w:r>
          </w:p>
        </w:tc>
        <w:tc>
          <w:tcPr>
            <w:vAlign w:val="center"/>
          </w:tcPr>
          <w:p>
            <w:r>
              <w:t>Administración de Servicios de Salud</w:t>
            </w:r>
          </w:p>
        </w:tc>
      </w:tr>
      <w:tr>
        <w:trPr>
          <w:cantSplit w:val="0"/>
          <w:tblHeader w:val="0"/>
        </w:trPr>
        <w:tc>
          <w:tcPr>
            <w:shd w:fill="f1eafd" w:val="clear"/>
            <w:vAlign w:val="center"/>
          </w:tcPr>
          <w:p w:rsidR="00000000" w:rsidDel="00000000" w:rsidP="00000000" w:rsidRDefault="00000000" w:rsidRPr="00000000" w14:paraId="00000020">
            <w:pPr>
              <w:spacing w:after="30" w:line="259" w:lineRule="auto"/>
              <w:rPr/>
            </w:pPr>
            <w:r w:rsidDel="00000000" w:rsidR="00000000" w:rsidRPr="00000000">
              <w:rPr>
                <w:b w:val="1"/>
                <w:bCs w:val="1"/>
                <w:color w:val="10145b"/>
                <w:sz w:val="17"/>
                <w:szCs w:val="17"/>
                <w:rtl w:val="0"/>
              </w:rPr>
              <w:t xml:space="preserve">Unidad de aprendizaje</w:t>
            </w:r>
            <w:r w:rsidDel="00000000" w:rsidR="00000000" w:rsidRPr="00000000">
              <w:rPr>
                <w:rtl w:val="0"/>
              </w:rPr>
            </w:r>
          </w:p>
        </w:tc>
        <w:tc>
          <w:tcPr>
            <w:vAlign w:val="center"/>
          </w:tcPr>
          <w:p>
            <w:r>
              <w:t>Unidad 3</w:t>
            </w:r>
          </w:p>
        </w:tc>
        <w:tc>
          <w:tcPr>
            <w:shd w:fill="f1eafd" w:val="clear"/>
            <w:vAlign w:val="center"/>
          </w:tcPr>
          <w:p w:rsidR="00000000" w:rsidDel="00000000" w:rsidP="00000000" w:rsidRDefault="00000000" w:rsidRPr="00000000" w14:paraId="00000022">
            <w:pPr>
              <w:spacing w:after="30" w:line="259" w:lineRule="auto"/>
              <w:rPr/>
            </w:pPr>
            <w:r w:rsidDel="00000000" w:rsidR="00000000" w:rsidRPr="00000000">
              <w:rPr>
                <w:b w:val="1"/>
                <w:bCs w:val="1"/>
                <w:color w:val="10145b"/>
                <w:sz w:val="17"/>
                <w:szCs w:val="17"/>
                <w:rtl w:val="0"/>
              </w:rPr>
              <w:t xml:space="preserve">Nombre del módulo</w:t>
            </w:r>
            <w:r w:rsidDel="00000000" w:rsidR="00000000" w:rsidRPr="00000000">
              <w:rPr>
                <w:rtl w:val="0"/>
              </w:rPr>
            </w:r>
          </w:p>
        </w:tc>
        <w:tc>
          <w:tcPr>
            <w:vAlign w:val="center"/>
          </w:tcPr>
          <w:p>
            <w:r>
              <w:t>Análisis, visualización y comunicación de datos</w:t>
            </w:r>
          </w:p>
        </w:tc>
      </w:tr>
      <w:tr>
        <w:trPr>
          <w:cantSplit w:val="0"/>
          <w:tblHeader w:val="1"/>
        </w:trPr>
        <w:tc>
          <w:tcPr>
            <w:shd w:fill="f1eafd" w:val="clear"/>
            <w:vAlign w:val="center"/>
          </w:tcPr>
          <w:p w:rsidR="00000000" w:rsidDel="00000000" w:rsidP="00000000" w:rsidRDefault="00000000" w:rsidRPr="00000000" w14:paraId="00000024">
            <w:pPr>
              <w:spacing w:after="30" w:line="259" w:lineRule="auto"/>
              <w:rPr/>
            </w:pPr>
            <w:r w:rsidDel="00000000" w:rsidR="00000000" w:rsidRPr="00000000">
              <w:rPr>
                <w:b w:val="1"/>
                <w:bCs w:val="1"/>
                <w:color w:val="10145b"/>
                <w:sz w:val="18"/>
                <w:szCs w:val="18"/>
                <w:rtl w:val="0"/>
              </w:rPr>
              <w:t xml:space="preserve">Semanas asociadas</w:t>
            </w:r>
            <w:r w:rsidDel="00000000" w:rsidR="00000000" w:rsidRPr="00000000">
              <w:rPr>
                <w:rtl w:val="0"/>
              </w:rPr>
            </w:r>
          </w:p>
        </w:tc>
        <w:tc>
          <w:tcPr>
            <w:vAlign w:val="center"/>
          </w:tcPr>
          <w:p>
            <w:r>
              <w:t>Semanas 11 a 14</w:t>
            </w:r>
          </w:p>
        </w:tc>
        <w:tc>
          <w:tcPr>
            <w:shd w:fill="f1eafd" w:val="clear"/>
            <w:vAlign w:val="center"/>
          </w:tcPr>
          <w:p w:rsidR="00000000" w:rsidDel="00000000" w:rsidP="00000000" w:rsidRDefault="00000000" w:rsidRPr="00000000" w14:paraId="00000026">
            <w:pPr>
              <w:spacing w:after="30" w:line="259" w:lineRule="auto"/>
              <w:rPr/>
            </w:pPr>
            <w:r w:rsidDel="00000000" w:rsidR="00000000" w:rsidRPr="00000000">
              <w:rPr>
                <w:b w:val="1"/>
                <w:bCs w:val="1"/>
                <w:color w:val="10145b"/>
                <w:sz w:val="18"/>
                <w:szCs w:val="18"/>
                <w:rtl w:val="0"/>
              </w:rPr>
              <w:t xml:space="preserve">Lectura principal articuladora</w:t>
            </w:r>
            <w:r w:rsidDel="00000000" w:rsidR="00000000" w:rsidRPr="00000000">
              <w:rPr>
                <w:rtl w:val="0"/>
              </w:rPr>
            </w:r>
          </w:p>
        </w:tc>
        <w:tc>
          <w:tcPr>
            <w:vAlign w:val="center"/>
          </w:tcPr>
          <w:p>
            <w:r>
              <w:t>Excel 2016 avanzado; Tablas dinámicas con Excel 2016; Excel para contadores y administradores; Tratamiento básico de datos y hojas de cálculo.</w:t>
            </w:r>
          </w:p>
        </w:tc>
      </w:tr>
    </w:tbl>
    <w:p w:rsidR="00000000" w:rsidDel="00000000" w:rsidP="00000000" w:rsidRDefault="00000000" w:rsidRPr="00000000" w14:paraId="00000028">
      <w:pPr>
        <w:spacing w:after="40" w:line="72" w:lineRule="auto"/>
        <w:rPr/>
      </w:pPr>
      <w:r w:rsidDel="00000000" w:rsidR="00000000" w:rsidRPr="00000000">
        <w:rPr>
          <w:rtl w:val="0"/>
        </w:rPr>
      </w:r>
    </w:p>
    <w:p w:rsidR="00000000" w:rsidDel="00000000" w:rsidP="00000000" w:rsidRDefault="00000000" w:rsidRPr="00000000" w14:paraId="00000029">
      <w:pPr>
        <w:pStyle w:val="Heading3"/>
        <w:numPr>
          <w:ilvl w:val="1"/>
          <w:numId w:val="4"/>
        </w:numPr>
        <w:spacing w:after="100" w:before="200" w:line="300" w:lineRule="auto"/>
        <w:ind w:left="792" w:hanging="432"/>
        <w:rPr>
          <w:rFonts w:ascii="Calibri" w:cs="Calibri" w:eastAsia="Calibri" w:hAnsi="Calibri"/>
          <w:color w:val="169ed0"/>
          <w:sz w:val="24"/>
          <w:szCs w:val="24"/>
        </w:rPr>
      </w:pPr>
      <w:r w:rsidDel="00000000" w:rsidR="00000000" w:rsidRPr="00000000">
        <w:rPr>
          <w:rFonts w:ascii="Calibri" w:cs="Calibri" w:eastAsia="Calibri" w:hAnsi="Calibri"/>
          <w:color w:val="169ed0"/>
          <w:sz w:val="24"/>
          <w:szCs w:val="24"/>
          <w:rtl w:val="0"/>
        </w:rPr>
        <w:t xml:space="preserve">Introducción y contextualización</w:t>
      </w:r>
    </w:p>
    <w:p>
      <w:pPr/>
      <w:r>
        <w:t>En esta unidad el estudiante convierte datos organizados en información útil para comprender problemas de gestión en salud. Aprenderá a usar fórmulas y funciones, limpiar y preparar datos, construir indicadores, elaborar tablas de síntesis y comunicar hallazgos mediante visualizaciones claras.</w:t>
      </w:r>
    </w:p>
    <w:p>
      <w:pPr/>
      <w:r>
        <w:t>La unidad es importante porque las decisiones administrativas requieren evidencias comprensibles. Una hoja de cálculo bien diseñada permite calcular, comparar, resumir y representar información; sin embargo, el valor profesional aparece cuando el estudiante interpreta los resultados y reconoce sus límites.</w:t>
      </w:r>
    </w:p>
    <w:p>
      <w:pPr/>
      <w:r>
        <w:t>Esta unidad consolida el RAC del curso porque integra organización, análisis y comunicación de datos en un flujo de trabajo digital. Pregunta problematizadora: ¿cómo transformar un conjunto de datos en hallazgos que orienten acciones de mejora continua en una organización de salud?</w:t>
      </w:r>
    </w:p>
    <w:tbl>
      <w:tblPr>
        <w:tblStyle w:val="Table4"/>
        <w:tblW w:w="9360.0" w:type="dxa"/>
        <w:jc w:val="left"/>
        <w:tblLayout w:type="fixed"/>
        <w:tblLook w:val="0400"/>
      </w:tblPr>
      <w:tblGrid>
        <w:gridCol w:w="9360"/>
        <w:tblGridChange w:id="0">
          <w:tblGrid>
            <w:gridCol w:w="9360"/>
          </w:tblGrid>
        </w:tblGridChange>
      </w:tblGrid>
      <w:tr>
        <w:trPr>
          <w:cantSplit w:val="0"/>
          <w:tblHeader w:val="0"/>
        </w:trPr>
        <w:tc>
          <w:tcPr>
            <w:tcBorders>
              <w:top w:color="000000" w:space="0" w:sz="0" w:val="nil"/>
              <w:left w:color="1f5a94" w:space="0" w:sz="20" w:val="single"/>
              <w:bottom w:color="000000" w:space="0" w:sz="0" w:val="nil"/>
              <w:right w:color="000000" w:space="0" w:sz="0" w:val="nil"/>
            </w:tcBorders>
            <w:shd w:fill="f2f4f7" w:val="clear"/>
            <w:tcMar>
              <w:top w:w="100.0" w:type="dxa"/>
              <w:left w:w="120.0" w:type="dxa"/>
              <w:bottom w:w="100.0" w:type="dxa"/>
              <w:right w:w="120.0" w:type="dxa"/>
            </w:tcMar>
            <w:vAlign w:val="center"/>
          </w:tcPr>
          <w:p>
            <w:r>
              <w:t>EXTENSIÓN DEL MÓDULO</w:t>
              <w:br/>
              <w:t>El desarrollo se ajusta a las semanas asignadas y ofrece una lectura articuladora para orientar el aprendizaje autónomo, sin reemplazar la guía de actividades.</w:t>
            </w:r>
          </w:p>
        </w:tc>
      </w:tr>
    </w:tbl>
    <w:p w:rsidR="00000000" w:rsidDel="00000000" w:rsidP="00000000" w:rsidRDefault="00000000" w:rsidRPr="00000000" w14:paraId="00000033">
      <w:pPr>
        <w:pStyle w:val="Heading3"/>
        <w:numPr>
          <w:ilvl w:val="1"/>
          <w:numId w:val="4"/>
        </w:numPr>
        <w:spacing w:after="100" w:before="200" w:line="300" w:lineRule="auto"/>
        <w:ind w:left="792" w:hanging="432"/>
        <w:rPr>
          <w:rFonts w:ascii="Calibri" w:cs="Calibri" w:eastAsia="Calibri" w:hAnsi="Calibri"/>
          <w:color w:val="169ed0"/>
          <w:sz w:val="24"/>
          <w:szCs w:val="24"/>
        </w:rPr>
      </w:pPr>
      <w:r w:rsidDel="00000000" w:rsidR="00000000" w:rsidRPr="00000000">
        <w:rPr>
          <w:rFonts w:ascii="Calibri" w:cs="Calibri" w:eastAsia="Calibri" w:hAnsi="Calibri"/>
          <w:color w:val="169ed0"/>
          <w:sz w:val="24"/>
          <w:szCs w:val="24"/>
          <w:rtl w:val="0"/>
        </w:rPr>
        <w:t xml:space="preserve">Objetivos y competencias de aprendizaje</w:t>
      </w:r>
    </w:p>
    <w:p>
      <w:pPr/>
      <w:r>
        <w:t>Objetivos de aprendizaje:</w:t>
      </w:r>
    </w:p>
    <w:p>
      <w:pPr/>
      <w:r>
        <w:t>• Aplicar fórmulas y funciones de hoja de cálculo para resolver problemas básicos del contexto de gestión en salud.</w:t>
      </w:r>
    </w:p>
    <w:p>
      <w:pPr/>
      <w:r>
        <w:t>• Limpiar, transformar y preparar datos para mejorar su calidad antes del análisis.</w:t>
      </w:r>
    </w:p>
    <w:p>
      <w:pPr/>
      <w:r>
        <w:t>• Construir indicadores, tablas de síntesis y análisis descriptivos que respondan preguntas de gestión.</w:t>
      </w:r>
    </w:p>
    <w:p>
      <w:pPr/>
      <w:r>
        <w:t>• Comunicar hallazgos mediante visualizaciones claras, accesibles y orientadas a la toma de decisiones.</w:t>
      </w:r>
    </w:p>
    <w:p>
      <w:pPr/>
      <w:r>
        <w:t>Competencias transversales fortalecidas:</w:t>
      </w:r>
    </w:p>
    <w:p>
      <w:pPr/>
      <w:r>
        <w:t>• Competencias comunicativas: argumentación escrita, comunicación visual y presentación clara de hallazgos.</w:t>
      </w:r>
    </w:p>
    <w:p>
      <w:pPr/>
      <w:r>
        <w:t>• Competencias digitales y tecnológicas: uso estratégico de hojas de cálculo, análisis de datos y visualización.</w:t>
      </w:r>
    </w:p>
    <w:p>
      <w:pPr/>
      <w:r>
        <w:t>• Competencias cognitivas e investigativas: razonamiento cuantitativo, análisis, síntesis e interpretación de resultados.</w:t>
      </w:r>
    </w:p>
    <w:p>
      <w:pPr/>
      <w:r>
        <w:t>• Competencias para la sostenibilidad: gestión de proyectos, mejora continua y compromiso ético con el uso de datos.</w:t>
      </w:r>
    </w:p>
    <w:p w:rsidR="00000000" w:rsidDel="00000000" w:rsidP="00000000" w:rsidRDefault="00000000" w:rsidRPr="00000000" w14:paraId="0000003C">
      <w:pPr>
        <w:pStyle w:val="Heading3"/>
        <w:numPr>
          <w:ilvl w:val="1"/>
          <w:numId w:val="4"/>
        </w:numPr>
        <w:spacing w:after="100" w:before="200" w:line="300" w:lineRule="auto"/>
        <w:ind w:left="792" w:hanging="432"/>
        <w:rPr>
          <w:rFonts w:ascii="Calibri" w:cs="Calibri" w:eastAsia="Calibri" w:hAnsi="Calibri"/>
          <w:color w:val="169ed0"/>
          <w:sz w:val="24"/>
          <w:szCs w:val="24"/>
        </w:rPr>
      </w:pPr>
      <w:r w:rsidDel="00000000" w:rsidR="00000000" w:rsidRPr="00000000">
        <w:rPr>
          <w:rFonts w:ascii="Calibri" w:cs="Calibri" w:eastAsia="Calibri" w:hAnsi="Calibri"/>
          <w:color w:val="169ed0"/>
          <w:sz w:val="24"/>
          <w:szCs w:val="24"/>
          <w:rtl w:val="0"/>
        </w:rPr>
        <w:t xml:space="preserve">Desarrollo temático</w:t>
      </w:r>
    </w:p>
    <w:p>
      <w:pPr>
        <w:pStyle w:val="Heading4"/>
      </w:pPr>
      <w:r>
        <w:t>Fórmulas y funciones para resolver problemas del contexto</w:t>
      </w:r>
    </w:p>
    <w:p>
      <w:pPr/>
      <w:r/>
      <w:r>
        <w:rPr>
          <w:rFonts w:ascii="Arial" w:hAnsi="Arial"/>
          <w:sz w:val="20"/>
        </w:rPr>
        <w:t>Para iniciar, comprenda que las fórmulas y funciones permiten automatizar cálculos y responder preguntas específicas sobre un conjunto de datos. En gestión en salud pueden utilizarse para calcular totales, promedios, porcentajes, variaciones, cumplimientos y otros valores que apoyan decisiones administrativas (Gómez Gutiérrez, 2017).</w:t>
      </w:r>
    </w:p>
    <w:p>
      <w:pPr/>
      <w:r/>
      <w:r>
        <w:rPr>
          <w:rFonts w:ascii="Arial" w:hAnsi="Arial"/>
          <w:sz w:val="20"/>
        </w:rPr>
        <w:t>Luego, identifique que el valor de una función depende de la pregunta que orienta el análisis. No se trata de aplicar herramientas de manera mecánica, sino de seleccionar la operación adecuada para interpretar un proceso. Un promedio, una proporción o un conteo tienen sentido cuando se conectan con una necesidad de gestión (Martínez Santana, 2020).</w:t>
      </w:r>
    </w:p>
    <w:p>
      <w:pPr/>
      <w:r>
        <w:t>La recomendación es documentar los cálculos, verificar rangos, evitar fórmulas copiadas sin revisión y contrastar resultados con una estimación manual básica. Las funciones ayudan a reducir trabajo repetitivo, pero no reemplazan la interpretación crítica.</w:t>
      </w:r>
    </w:p>
    <w:p>
      <w:pPr>
        <w:pStyle w:val="Heading4"/>
      </w:pPr>
      <w:r>
        <w:t>Limpieza, transformación y preparación de datos</w:t>
      </w:r>
    </w:p>
    <w:p>
      <w:pPr/>
      <w:r/>
      <w:r>
        <w:rPr>
          <w:rFonts w:ascii="Arial" w:hAnsi="Arial"/>
          <w:sz w:val="20"/>
        </w:rPr>
        <w:t>A continuación, revise la calidad de los datos antes de analizarlos. La limpieza permite identificar duplicados, campos vacíos, formatos inconsistentes, errores de digitación y categorías repetidas. Preparar los datos reduce errores y mejora la confiabilidad de los indicadores (Bellido Quintero &amp; Botín Rojas, 2022).</w:t>
      </w:r>
    </w:p>
    <w:p>
      <w:pPr/>
      <w:r>
        <w:t>Un conjunto de datos con problemas puede generar indicadores equivocados. Por ejemplo, si una misma categoría aparece escrita de varias formas, la tabla de síntesis la contará como elementos diferentes. Por eso, preparar datos es una fase fundamental del flujo de trabajo digital.</w:t>
      </w:r>
    </w:p>
    <w:p>
      <w:pPr/>
      <w:r>
        <w:t>La recomendación es conservar una copia original, registrar los cambios realizados y aplicar criterios uniformes de formato. En contextos de salud, esta trazabilidad favorece la transparencia y permite explicar cómo se obtuvo un resultado.</w:t>
      </w:r>
    </w:p>
    <w:p>
      <w:pPr>
        <w:pStyle w:val="Heading4"/>
      </w:pPr>
      <w:r>
        <w:t>Indicadores, tablas de síntesis y análisis descriptivo</w:t>
      </w:r>
    </w:p>
    <w:p>
      <w:pPr/>
      <w:r/>
      <w:r>
        <w:rPr>
          <w:rFonts w:ascii="Arial" w:hAnsi="Arial"/>
          <w:sz w:val="20"/>
        </w:rPr>
        <w:t>Posteriormente, construya indicadores como medidas que resumen una dimensión relevante de un proceso. Un indicador puede expresar frecuencia, proporción, tiempo, cumplimiento o variación; su utilidad depende de que sea comprensible, pertinente y posible de calcular con los datos disponibles (Martínez Santana, 2020).</w:t>
      </w:r>
    </w:p>
    <w:p>
      <w:pPr/>
      <w:r/>
      <w:r>
        <w:rPr>
          <w:rFonts w:ascii="Arial" w:hAnsi="Arial"/>
          <w:sz w:val="20"/>
        </w:rPr>
        <w:t>Las tablas de síntesis permiten agrupar información por categorías y observar patrones. Pueden responder preguntas como cuántos registros existen por estado, cuál es el promedio por tipo de solicitud o qué proporción representa cada categoría. Las tablas dinámicas son útiles para sintetizar y explorar datos de manera flexible (Burrueco, 2016).</w:t>
      </w:r>
    </w:p>
    <w:p>
      <w:pPr/>
      <w:r>
        <w:t>La recomendación es formular primero la pregunta de gestión y luego seleccionar el indicador. Una limitación frecuente es construir muchos cálculos sin explicar su utilidad. Un buen indicador debe ser comprensible, pertinente y conectado con una posible acción.</w:t>
      </w:r>
    </w:p>
    <w:p>
      <w:pPr>
        <w:pStyle w:val="Heading4"/>
      </w:pPr>
      <w:r>
        <w:t>Visualización de datos y comunicación de hallazgos</w:t>
      </w:r>
    </w:p>
    <w:p>
      <w:pPr/>
      <w:r/>
      <w:r>
        <w:rPr>
          <w:rFonts w:ascii="Arial" w:hAnsi="Arial"/>
          <w:sz w:val="20"/>
        </w:rPr>
        <w:t>Finalmente, use la visualización de datos para facilitar la comprensión de patrones, comparaciones y tendencias. Un gráfico debe elegirse según el tipo de dato y el mensaje que se desea comunicar; además, debe acompañarse de interpretación para evitar que el lector reciba solo una imagen sin sentido analítico (Burrueco, 2016; Martínez Santana, 2020).</w:t>
      </w:r>
    </w:p>
    <w:p>
      <w:pPr/>
      <w:r>
        <w:t>Comunicar hallazgos implica explicar qué muestran los datos, por qué es importante y qué decisiones podrían apoyarse en ellos. También exige reconocer limitaciones, como datos incompletos, muestra pequeña o ausencia de variables relevantes. La claridad visual debe acompañarse de una interpretación responsable.</w:t>
      </w:r>
    </w:p>
    <w:p>
      <w:pPr/>
      <w:r>
        <w:t>La recomendación es usar títulos descriptivos, etiquetas legibles, escalas adecuadas y comentarios breves que conecten el gráfico con una conclusión. En gestión en salud, una visualización clara puede facilitar seguimiento, priorización y mejora continua.</w:t>
      </w:r>
    </w:p>
    <w:tbl>
      <w:tblPr>
        <w:tblStyle w:val="Table5"/>
        <w:tblW w:w="9360.0" w:type="dxa"/>
        <w:jc w:val="left"/>
        <w:tblLayout w:type="fixed"/>
        <w:tblLook w:val="0400"/>
      </w:tblPr>
      <w:tblGrid>
        <w:gridCol w:w="9360"/>
        <w:tblGridChange w:id="0">
          <w:tblGrid>
            <w:gridCol w:w="9360"/>
          </w:tblGrid>
        </w:tblGridChange>
      </w:tblGrid>
      <w:tr>
        <w:trPr>
          <w:cantSplit w:val="0"/>
          <w:tblHeader w:val="0"/>
        </w:trPr>
        <w:tc>
          <w:tcPr>
            <w:tcBorders>
              <w:top w:color="000000" w:space="0" w:sz="0" w:val="nil"/>
              <w:left w:color="1f5a94" w:space="0" w:sz="20" w:val="single"/>
              <w:bottom w:color="000000" w:space="0" w:sz="0" w:val="nil"/>
              <w:right w:color="000000" w:space="0" w:sz="0" w:val="nil"/>
            </w:tcBorders>
            <w:shd w:fill="f2f4f7" w:val="clear"/>
            <w:tcMar>
              <w:top w:w="100.0" w:type="dxa"/>
              <w:left w:w="120.0" w:type="dxa"/>
              <w:bottom w:w="100.0" w:type="dxa"/>
              <w:right w:w="120.0" w:type="dxa"/>
            </w:tcMar>
            <w:vAlign w:val="center"/>
          </w:tcPr>
          <w:p>
            <w:r>
              <w:t>CRITERIO DE DESARROLLO</w:t>
              <w:br/>
              <w:t>Cada tema se aborda desde su sentido conceptual, aplicación práctica, recomendaciones, limitaciones y relación con el contexto profesional de la gestión en salud.</w:t>
            </w:r>
          </w:p>
        </w:tc>
      </w:tr>
    </w:tbl>
    <w:p w:rsidR="00000000" w:rsidDel="00000000" w:rsidP="00000000" w:rsidRDefault="00000000" w:rsidRPr="00000000" w14:paraId="00000048">
      <w:pPr>
        <w:pStyle w:val="Heading3"/>
        <w:numPr>
          <w:ilvl w:val="1"/>
          <w:numId w:val="4"/>
        </w:numPr>
        <w:spacing w:after="100" w:before="200" w:line="300" w:lineRule="auto"/>
        <w:ind w:left="792" w:hanging="432"/>
        <w:rPr>
          <w:rFonts w:ascii="Calibri" w:cs="Calibri" w:eastAsia="Calibri" w:hAnsi="Calibri"/>
          <w:color w:val="169ed0"/>
          <w:sz w:val="24"/>
          <w:szCs w:val="24"/>
        </w:rPr>
      </w:pPr>
      <w:r w:rsidDel="00000000" w:rsidR="00000000" w:rsidRPr="00000000">
        <w:rPr>
          <w:rFonts w:ascii="Calibri" w:cs="Calibri" w:eastAsia="Calibri" w:hAnsi="Calibri"/>
          <w:color w:val="169ed0"/>
          <w:sz w:val="24"/>
          <w:szCs w:val="24"/>
          <w:rtl w:val="0"/>
        </w:rPr>
        <w:t xml:space="preserve">Ejemplos aplicados</w:t>
      </w:r>
    </w:p>
    <w:p>
      <w:pPr/>
      <w:r>
        <w:t>• Una base de solicitudes se analiza para calcular el porcentaje de casos cerrados, pendientes y devueltos. El resultado permite identificar dónde se concentra el retraso.</w:t>
      </w:r>
    </w:p>
    <w:p>
      <w:pPr/>
      <w:r>
        <w:t>• Antes de crear una tabla dinámica, el estudiante corrige categorías repetidas como 'Pendiente', 'pendiente' y 'PEND', para evitar conteos fragmentados.</w:t>
      </w:r>
    </w:p>
    <w:p>
      <w:pPr/>
      <w:r>
        <w:t>• Un gráfico de barras muestra la distribución de solicitudes por tipo. El hallazgo se acompaña de una recomendación para priorizar el proceso con mayor frecuencia.</w:t>
      </w:r>
    </w:p>
    <w:p>
      <w:pPr>
        <w:pStyle w:val="Heading2"/>
      </w:pPr>
      <w:r/>
      <w:r>
        <w:rPr>
          <w:rFonts w:ascii="Arial" w:hAnsi="Arial"/>
          <w:sz w:val="20"/>
        </w:rPr>
        <w:t>Ruta sugerida para el trabajo autónomo</w:t>
      </w:r>
    </w:p>
    <w:p>
      <w:r/>
      <w:r>
        <w:rPr>
          <w:rFonts w:ascii="Arial" w:hAnsi="Arial"/>
          <w:sz w:val="20"/>
        </w:rPr>
        <w:t>Primero, formule la pregunta de gestión que desea responder. Antes de aplicar fórmulas, determine qué necesita conocer, qué datos están disponibles y qué resultado sería útil para orientar una decisión.</w:t>
      </w:r>
    </w:p>
    <w:p>
      <w:r/>
      <w:r>
        <w:rPr>
          <w:rFonts w:ascii="Arial" w:hAnsi="Arial"/>
          <w:sz w:val="20"/>
        </w:rPr>
        <w:t>Después, revise la calidad de la base: duplicados, campos vacíos, formatos inconsistentes y categorías repetidas. Conserve una copia original y documente los cambios para que el análisis sea trazable.</w:t>
      </w:r>
    </w:p>
    <w:p>
      <w:r/>
      <w:r>
        <w:rPr>
          <w:rFonts w:ascii="Arial" w:hAnsi="Arial"/>
          <w:sz w:val="20"/>
        </w:rPr>
        <w:t>A continuación, calcule indicadores y elabore tablas de síntesis según la pregunta de gestión. No construya cálculos aislados; relacione cada fórmula, función o tabla con una interpretación concreta.</w:t>
      </w:r>
    </w:p>
    <w:p>
      <w:r/>
      <w:r>
        <w:rPr>
          <w:rFonts w:ascii="Arial" w:hAnsi="Arial"/>
          <w:sz w:val="20"/>
        </w:rPr>
        <w:t>Finalmente, comunique los hallazgos mediante gráficos claros, títulos descriptivos y conclusiones breves. Esta comunicación debe diferenciar el estudio autónomo de las evidencias evaluativas y preparar la sustentación del TCC.</w:t>
      </w:r>
    </w:p>
    <w:p w:rsidR="00000000" w:rsidDel="00000000" w:rsidP="00000000" w:rsidRDefault="00000000" w:rsidRPr="00000000" w14:paraId="0000004F">
      <w:pPr>
        <w:pStyle w:val="Heading3"/>
        <w:numPr>
          <w:ilvl w:val="1"/>
          <w:numId w:val="4"/>
        </w:numPr>
        <w:spacing w:after="100" w:before="200" w:line="300" w:lineRule="auto"/>
        <w:ind w:left="792" w:hanging="432"/>
        <w:rPr>
          <w:rFonts w:ascii="Calibri" w:cs="Calibri" w:eastAsia="Calibri" w:hAnsi="Calibri"/>
          <w:color w:val="169ed0"/>
          <w:sz w:val="24"/>
          <w:szCs w:val="24"/>
        </w:rPr>
      </w:pPr>
      <w:r w:rsidDel="00000000" w:rsidR="00000000" w:rsidRPr="00000000">
        <w:rPr>
          <w:rFonts w:ascii="Calibri" w:cs="Calibri" w:eastAsia="Calibri" w:hAnsi="Calibri"/>
          <w:color w:val="169ed0"/>
          <w:sz w:val="24"/>
          <w:szCs w:val="24"/>
          <w:rtl w:val="0"/>
        </w:rPr>
        <w:t xml:space="preserve">Reflexión para el aprendizaje autónomo</w:t>
      </w:r>
    </w:p>
    <w:p>
      <w:pPr/>
      <w:r>
        <w:t>Las siguientes preguntas orientan la autoevaluación del estudiante. No corresponden a actividades calificables, sino a ejercicios de comprensión, análisis y transferencia:</w:t>
      </w:r>
    </w:p>
    <w:p>
      <w:pPr/>
      <w:r>
        <w:t>• ¿Qué pregunta de gestión responde cada indicador construido?</w:t>
      </w:r>
    </w:p>
    <w:p>
      <w:pPr/>
      <w:r>
        <w:t>• ¿Qué errores podrían aparecer si se analiza una base sin limpiarla previamente?</w:t>
      </w:r>
    </w:p>
    <w:p>
      <w:pPr/>
      <w:r>
        <w:t>• Observe un gráfico propio: ¿el título, los ejes y la interpretación permiten comprender el hallazgo sin explicación adicional?</w:t>
      </w:r>
    </w:p>
    <w:p w:rsidR="00000000" w:rsidDel="00000000" w:rsidP="00000000" w:rsidRDefault="00000000" w:rsidRPr="00000000" w14:paraId="00000055">
      <w:pPr>
        <w:pStyle w:val="Heading3"/>
        <w:numPr>
          <w:ilvl w:val="1"/>
          <w:numId w:val="4"/>
        </w:numPr>
        <w:spacing w:after="100" w:before="200" w:line="300" w:lineRule="auto"/>
        <w:ind w:left="792" w:hanging="432"/>
        <w:rPr>
          <w:rFonts w:ascii="Calibri" w:cs="Calibri" w:eastAsia="Calibri" w:hAnsi="Calibri"/>
          <w:color w:val="169ed0"/>
          <w:sz w:val="24"/>
          <w:szCs w:val="24"/>
        </w:rPr>
      </w:pPr>
      <w:r w:rsidDel="00000000" w:rsidR="00000000" w:rsidRPr="00000000">
        <w:rPr>
          <w:rFonts w:ascii="Calibri" w:cs="Calibri" w:eastAsia="Calibri" w:hAnsi="Calibri"/>
          <w:color w:val="169ed0"/>
          <w:sz w:val="24"/>
          <w:szCs w:val="24"/>
          <w:rtl w:val="0"/>
        </w:rPr>
        <w:t xml:space="preserve">Cierre y síntesis</w:t>
      </w:r>
    </w:p>
    <w:p>
      <w:pPr/>
      <w:r>
        <w:t>Esta unidad integró las habilidades de análisis, visualización y comunicación de datos. El estudiante pasó de aplicar fórmulas a interpretar indicadores y representar hallazgos de manera comprensible para apoyar decisiones en contextos de gestión en salud.</w:t>
      </w:r>
    </w:p>
    <w:p>
      <w:pPr/>
      <w:r>
        <w:t>Los productos de esta unidad alimentan el Trabajo Colaborativo Contextualizado, en el que se espera articular captura, organización, validación, análisis, visualización e interpretación de datos. Así se consolida el flujo de trabajo digital planteado en el RAC del curso.</w:t>
      </w:r>
    </w:p>
    <w:p w:rsidR="00000000" w:rsidDel="00000000" w:rsidP="00000000" w:rsidRDefault="00000000" w:rsidRPr="00000000" w14:paraId="0000005C">
      <w:pPr>
        <w:pStyle w:val="Heading3"/>
        <w:numPr>
          <w:ilvl w:val="1"/>
          <w:numId w:val="4"/>
        </w:numPr>
        <w:spacing w:after="100" w:before="200" w:line="300" w:lineRule="auto"/>
        <w:ind w:left="792" w:hanging="432"/>
        <w:rPr>
          <w:rFonts w:ascii="Calibri" w:cs="Calibri" w:eastAsia="Calibri" w:hAnsi="Calibri"/>
          <w:color w:val="169ed0"/>
          <w:sz w:val="24"/>
          <w:szCs w:val="24"/>
        </w:rPr>
      </w:pPr>
      <w:r w:rsidDel="00000000" w:rsidR="00000000" w:rsidRPr="00000000">
        <w:rPr>
          <w:rFonts w:ascii="Calibri" w:cs="Calibri" w:eastAsia="Calibri" w:hAnsi="Calibri"/>
          <w:color w:val="169ed0"/>
          <w:sz w:val="24"/>
          <w:szCs w:val="24"/>
          <w:rtl w:val="0"/>
        </w:rPr>
        <w:t xml:space="preserve">Referencias</w:t>
      </w:r>
    </w:p>
    <w:p>
      <w:pPr/>
      <w:r>
        <w:t>• Gómez Gutiérrez, J. A. (2017). Excel 2016 avanzado. RA-MA Editorial. https://elibro.unicartagenaproxy.elogim.com/es/ereader/unicartagena/106498?page=159</w:t>
      </w:r>
    </w:p>
    <w:p>
      <w:pPr/>
      <w:r>
        <w:t>• Burrueco, D. (2016). Tablas dinámicas con Excel 2016. RA-MA Editorial. https://elibro.unicartagenaproxy.elogim.com/es/ereader/unicartagena/106524?page=182</w:t>
      </w:r>
    </w:p>
    <w:p>
      <w:pPr/>
      <w:r>
        <w:t>• Martínez Santana, R. (2020). Excel para contadores y administradores. Ecoe Ediciones. https://elibro.unicartagenaproxy.elogim.com/es/ereader/unicartagena/130211?page=70</w:t>
      </w:r>
    </w:p>
    <w:p>
      <w:pPr/>
      <w:r>
        <w:t>• Bellido Quintero, E., &amp; Botín Rojas, A. (2022). Tratamiento básico de datos y hojas de cálculo. ADGG0508. IC Editorial. https://elibro.unicartagenaproxy.elogim.com/es/ereader/unicartagena/227188?page=1</w:t>
      </w:r>
    </w:p>
    <w:p w:rsidR="00000000" w:rsidDel="00000000" w:rsidP="00000000" w:rsidRDefault="00000000" w:rsidRPr="00000000" w14:paraId="00000068">
      <w:pPr>
        <w:pStyle w:val="Heading2"/>
        <w:numPr>
          <w:ilvl w:val="0"/>
          <w:numId w:val="4"/>
        </w:numPr>
        <w:spacing w:after="140" w:before="280" w:line="300" w:lineRule="auto"/>
        <w:ind w:left="360" w:hanging="360"/>
        <w:rPr>
          <w:rFonts w:ascii="Calibri" w:cs="Calibri" w:eastAsia="Calibri" w:hAnsi="Calibri"/>
          <w:color w:val="10145b"/>
        </w:rPr>
      </w:pPr>
      <w:r w:rsidDel="00000000" w:rsidR="00000000" w:rsidRPr="00000000">
        <w:rPr>
          <w:rFonts w:ascii="Calibri" w:cs="Calibri" w:eastAsia="Calibri" w:hAnsi="Calibri"/>
          <w:color w:val="10145b"/>
          <w:rtl w:val="0"/>
        </w:rPr>
        <w:t xml:space="preserve">Lista de verificación antes de entregar</w:t>
      </w:r>
    </w:p>
    <w:tbl>
      <w:tblPr>
        <w:tblStyle w:val="Table6"/>
        <w:tblW w:w="9360.0" w:type="dxa"/>
        <w:jc w:val="left"/>
        <w:tblBorders>
          <w:top w:color="d7dce5" w:space="0" w:sz="4" w:val="single"/>
          <w:left w:color="d7dce5" w:space="0" w:sz="4" w:val="single"/>
          <w:bottom w:color="d7dce5" w:space="0" w:sz="4" w:val="single"/>
          <w:right w:color="d7dce5" w:space="0" w:sz="4" w:val="single"/>
          <w:insideH w:color="d7dce5" w:space="0" w:sz="4" w:val="single"/>
          <w:insideV w:color="d7dce5" w:space="0" w:sz="4" w:val="single"/>
        </w:tblBorders>
        <w:tblLayout w:type="fixed"/>
        <w:tblLook w:val="0400"/>
      </w:tblPr>
      <w:tblGrid>
        <w:gridCol w:w="7500"/>
        <w:gridCol w:w="1860"/>
        <w:tblGridChange w:id="0">
          <w:tblGrid>
            <w:gridCol w:w="7500"/>
            <w:gridCol w:w="1860"/>
          </w:tblGrid>
        </w:tblGridChange>
      </w:tblGrid>
      <w:tr>
        <w:trPr>
          <w:cantSplit w:val="0"/>
          <w:tblHeader w:val="1"/>
        </w:trPr>
        <w:tc>
          <w:tcPr>
            <w:shd w:fill="7d2ae8" w:val="clear"/>
            <w:vAlign w:val="center"/>
          </w:tcPr>
          <w:p w:rsidR="00000000" w:rsidDel="00000000" w:rsidP="00000000" w:rsidRDefault="00000000" w:rsidRPr="00000000" w14:paraId="00000069">
            <w:pPr>
              <w:spacing w:after="0" w:line="252.00000000000003" w:lineRule="auto"/>
              <w:jc w:val="center"/>
              <w:rPr/>
            </w:pPr>
            <w:r w:rsidDel="00000000" w:rsidR="00000000" w:rsidRPr="00000000">
              <w:rPr>
                <w:b w:val="1"/>
                <w:bCs w:val="1"/>
                <w:color w:val="ffffff"/>
                <w:sz w:val="17"/>
                <w:szCs w:val="17"/>
                <w:rtl w:val="0"/>
              </w:rPr>
              <w:t xml:space="preserve">Criterio</w:t>
            </w:r>
            <w:r w:rsidDel="00000000" w:rsidR="00000000" w:rsidRPr="00000000">
              <w:rPr>
                <w:rtl w:val="0"/>
              </w:rPr>
            </w:r>
          </w:p>
        </w:tc>
        <w:tc>
          <w:tcPr>
            <w:shd w:fill="7d2ae8" w:val="clear"/>
            <w:vAlign w:val="center"/>
          </w:tcPr>
          <w:p w:rsidR="00000000" w:rsidDel="00000000" w:rsidP="00000000" w:rsidRDefault="00000000" w:rsidRPr="00000000" w14:paraId="0000006A">
            <w:pPr>
              <w:spacing w:after="0" w:line="252.00000000000003" w:lineRule="auto"/>
              <w:jc w:val="center"/>
              <w:rPr/>
            </w:pPr>
            <w:r w:rsidDel="00000000" w:rsidR="00000000" w:rsidRPr="00000000">
              <w:rPr>
                <w:b w:val="1"/>
                <w:bCs w:val="1"/>
                <w:color w:val="ffffff"/>
                <w:sz w:val="17"/>
                <w:szCs w:val="17"/>
                <w:rtl w:val="0"/>
              </w:rPr>
              <w:t xml:space="preserve">Estado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spacing w:after="0" w:line="252.00000000000003" w:lineRule="auto"/>
              <w:rPr/>
            </w:pPr>
            <w:r w:rsidDel="00000000" w:rsidR="00000000" w:rsidRPr="00000000">
              <w:rPr>
                <w:sz w:val="17"/>
                <w:szCs w:val="17"/>
                <w:rtl w:val="0"/>
              </w:rPr>
              <w:t xml:space="preserve">Existe coherencia entre los resultados de aprendizaje y el contenido.</w:t>
            </w:r>
            <w:r w:rsidDel="00000000" w:rsidR="00000000" w:rsidRPr="00000000">
              <w:rPr>
                <w:rtl w:val="0"/>
              </w:rPr>
            </w:r>
          </w:p>
        </w:tc>
        <w:tc>
          <w:tcPr>
            <w:vAlign w:val="center"/>
          </w:tcPr>
          <w:p>
            <w:r>
              <w:t>☐ Pendiente | ☒ Verificado</w:t>
            </w:r>
          </w:p>
        </w:tc>
      </w:tr>
      <w:tr>
        <w:trPr>
          <w:cantSplit w:val="0"/>
          <w:tblHeader w:val="0"/>
        </w:trPr>
        <w:tc>
          <w:tcPr>
            <w:vAlign w:val="center"/>
          </w:tcPr>
          <w:p w:rsidR="00000000" w:rsidDel="00000000" w:rsidP="00000000" w:rsidRDefault="00000000" w:rsidRPr="00000000" w14:paraId="0000006D">
            <w:pPr>
              <w:spacing w:after="0" w:line="252.00000000000003" w:lineRule="auto"/>
              <w:rPr/>
            </w:pPr>
            <w:r w:rsidDel="00000000" w:rsidR="00000000" w:rsidRPr="00000000">
              <w:rPr>
                <w:sz w:val="17"/>
                <w:szCs w:val="17"/>
                <w:rtl w:val="0"/>
              </w:rPr>
              <w:t xml:space="preserve">Los conceptos se desarrollan de manera progresiva y comprensible.</w:t>
            </w:r>
            <w:r w:rsidDel="00000000" w:rsidR="00000000" w:rsidRPr="00000000">
              <w:rPr>
                <w:rtl w:val="0"/>
              </w:rPr>
            </w:r>
          </w:p>
        </w:tc>
        <w:tc>
          <w:tcPr>
            <w:vAlign w:val="center"/>
          </w:tcPr>
          <w:p>
            <w:r>
              <w:t>☐ Pendiente | ☒ Verificado</w:t>
            </w:r>
          </w:p>
        </w:tc>
      </w:tr>
      <w:tr>
        <w:trPr>
          <w:cantSplit w:val="0"/>
          <w:tblHeader w:val="0"/>
        </w:trPr>
        <w:tc>
          <w:tcPr>
            <w:vAlign w:val="center"/>
          </w:tcPr>
          <w:p w:rsidR="00000000" w:rsidDel="00000000" w:rsidP="00000000" w:rsidRDefault="00000000" w:rsidRPr="00000000" w14:paraId="0000006F">
            <w:pPr>
              <w:spacing w:after="0" w:line="252.00000000000003" w:lineRule="auto"/>
              <w:rPr/>
            </w:pPr>
            <w:r w:rsidDel="00000000" w:rsidR="00000000" w:rsidRPr="00000000">
              <w:rPr>
                <w:sz w:val="17"/>
                <w:szCs w:val="17"/>
                <w:rtl w:val="0"/>
              </w:rPr>
              <w:t xml:space="preserve">Cada tema incluye explicación, ejemplos y aplicaciones pertinentes.</w:t>
            </w:r>
            <w:r w:rsidDel="00000000" w:rsidR="00000000" w:rsidRPr="00000000">
              <w:rPr>
                <w:rtl w:val="0"/>
              </w:rPr>
            </w:r>
          </w:p>
        </w:tc>
        <w:tc>
          <w:tcPr>
            <w:vAlign w:val="center"/>
          </w:tcPr>
          <w:p>
            <w:r>
              <w:t>☐ Pendiente | ☒ Verificado</w:t>
            </w:r>
          </w:p>
        </w:tc>
      </w:tr>
      <w:tr>
        <w:trPr>
          <w:cantSplit w:val="0"/>
          <w:tblHeader w:val="0"/>
        </w:trPr>
        <w:tc>
          <w:tcPr>
            <w:vAlign w:val="center"/>
          </w:tcPr>
          <w:p w:rsidR="00000000" w:rsidDel="00000000" w:rsidP="00000000" w:rsidRDefault="00000000" w:rsidRPr="00000000" w14:paraId="00000071">
            <w:pPr>
              <w:spacing w:after="0" w:line="252.00000000000003" w:lineRule="auto"/>
              <w:rPr/>
            </w:pPr>
            <w:r w:rsidDel="00000000" w:rsidR="00000000" w:rsidRPr="00000000">
              <w:rPr>
                <w:sz w:val="17"/>
                <w:szCs w:val="17"/>
                <w:rtl w:val="0"/>
              </w:rPr>
              <w:t xml:space="preserve">La reflexión autónoma está claramente diferenciada de las actividades evaluativas.</w:t>
            </w:r>
            <w:r w:rsidDel="00000000" w:rsidR="00000000" w:rsidRPr="00000000">
              <w:rPr>
                <w:rtl w:val="0"/>
              </w:rPr>
            </w:r>
          </w:p>
        </w:tc>
        <w:tc>
          <w:tcPr>
            <w:vAlign w:val="center"/>
          </w:tcPr>
          <w:p>
            <w:r>
              <w:t>☐ Pendiente | ☒ Verificado</w:t>
            </w:r>
          </w:p>
        </w:tc>
      </w:tr>
      <w:tr>
        <w:trPr>
          <w:cantSplit w:val="0"/>
          <w:tblHeader w:val="0"/>
        </w:trPr>
        <w:tc>
          <w:tcPr>
            <w:vAlign w:val="center"/>
          </w:tcPr>
          <w:p w:rsidR="00000000" w:rsidDel="00000000" w:rsidP="00000000" w:rsidRDefault="00000000" w:rsidRPr="00000000" w14:paraId="00000073">
            <w:pPr>
              <w:spacing w:after="0" w:line="252.00000000000003" w:lineRule="auto"/>
              <w:rPr/>
            </w:pPr>
            <w:r w:rsidDel="00000000" w:rsidR="00000000" w:rsidRPr="00000000">
              <w:rPr>
                <w:sz w:val="17"/>
                <w:szCs w:val="17"/>
                <w:rtl w:val="0"/>
              </w:rPr>
              <w:t xml:space="preserve">Las referencias son verificables y se presentan con la norma APA vigente.</w:t>
            </w:r>
            <w:r w:rsidDel="00000000" w:rsidR="00000000" w:rsidRPr="00000000">
              <w:rPr>
                <w:rtl w:val="0"/>
              </w:rPr>
            </w:r>
          </w:p>
        </w:tc>
        <w:tc>
          <w:tcPr>
            <w:vAlign w:val="center"/>
          </w:tcPr>
          <w:p>
            <w:r>
              <w:t>☐ Pendiente | ☒ Verificado</w:t>
            </w:r>
          </w:p>
        </w:tc>
      </w:tr>
      <w:tr>
        <w:trPr>
          <w:cantSplit w:val="0"/>
          <w:tblHeader w:val="0"/>
        </w:trPr>
        <w:tc>
          <w:tcPr>
            <w:vAlign w:val="center"/>
          </w:tcPr>
          <w:p w:rsidR="00000000" w:rsidDel="00000000" w:rsidP="00000000" w:rsidRDefault="00000000" w:rsidRPr="00000000" w14:paraId="00000075">
            <w:pPr>
              <w:spacing w:after="0" w:line="252.00000000000003" w:lineRule="auto"/>
              <w:rPr/>
            </w:pPr>
            <w:r w:rsidDel="00000000" w:rsidR="00000000" w:rsidRPr="00000000">
              <w:rPr>
                <w:sz w:val="17"/>
                <w:szCs w:val="17"/>
                <w:rtl w:val="0"/>
              </w:rPr>
              <w:t xml:space="preserve">Las citas, paráfrasis y recursos respetan los derechos de autor.</w:t>
            </w:r>
            <w:r w:rsidDel="00000000" w:rsidR="00000000" w:rsidRPr="00000000">
              <w:rPr>
                <w:rtl w:val="0"/>
              </w:rPr>
            </w:r>
          </w:p>
        </w:tc>
        <w:tc>
          <w:tcPr>
            <w:vAlign w:val="center"/>
          </w:tcPr>
          <w:p>
            <w:r>
              <w:t>Cumple. El desarrollo temático incorpora citas dentro del texto y referencias finales en APA 7.</w:t>
            </w:r>
          </w:p>
        </w:tc>
      </w:tr>
      <w:tr>
        <w:trPr>
          <w:cantSplit w:val="0"/>
          <w:tblHeader w:val="0"/>
        </w:trPr>
        <w:tc>
          <w:tcPr>
            <w:vAlign w:val="center"/>
          </w:tcPr>
          <w:p w:rsidR="00000000" w:rsidDel="00000000" w:rsidP="00000000" w:rsidRDefault="00000000" w:rsidRPr="00000000" w14:paraId="00000077">
            <w:pPr>
              <w:spacing w:after="0" w:line="252.00000000000003" w:lineRule="auto"/>
              <w:rPr>
                <w:sz w:val="17"/>
                <w:szCs w:val="17"/>
              </w:rPr>
            </w:pPr>
            <w:r w:rsidDel="00000000" w:rsidR="00000000" w:rsidRPr="00000000">
              <w:rPr>
                <w:sz w:val="17"/>
                <w:szCs w:val="17"/>
                <w:rtl w:val="0"/>
              </w:rPr>
              <w:t xml:space="preserve">No existen errores ortográficos, gramaticales ni de coherencia.</w:t>
            </w:r>
          </w:p>
        </w:tc>
        <w:tc>
          <w:tcPr>
            <w:vAlign w:val="center"/>
          </w:tcPr>
          <w:p>
            <w:r>
              <w:t>☐ Pendiente | ☒ Verificado</w:t>
            </w:r>
          </w:p>
        </w:tc>
      </w:tr>
    </w:tbl>
    <w:p w:rsidR="00000000" w:rsidDel="00000000" w:rsidP="00000000" w:rsidRDefault="00000000" w:rsidRPr="00000000" w14:paraId="00000079">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44" w:right="0" w:hanging="144"/>
        <w:jc w:val="left"/>
        <w:rPr>
          <w:rFonts w:ascii="Aptos" w:cs="Aptos" w:eastAsia="Aptos" w:hAnsi="Aptos"/>
          <w:b w:val="0"/>
          <w:bCs w:val="0"/>
          <w:i w:val="0"/>
          <w:iCs w:val="0"/>
          <w:smallCaps w:val="0"/>
          <w:strike w:val="0"/>
          <w:color w:val="27313b"/>
          <w:sz w:val="20"/>
          <w:szCs w:val="20"/>
          <w:u w:val="none"/>
          <w:shd w:fill="auto" w:val="clear"/>
          <w:vertAlign w:val="baseline"/>
        </w:rPr>
      </w:pPr>
      <w:r w:rsidDel="00000000" w:rsidR="00000000" w:rsidRPr="00000000">
        <w:rPr>
          <w:rtl w:val="0"/>
        </w:rPr>
      </w:r>
    </w:p>
    <w:tbl>
      <w:tblPr>
        <w:tblStyle w:val="Table7"/>
        <w:tblW w:w="9360.0" w:type="dxa"/>
        <w:jc w:val="left"/>
        <w:tblLayout w:type="fixed"/>
        <w:tblLook w:val="0400"/>
      </w:tblPr>
      <w:tblGrid>
        <w:gridCol w:w="9360"/>
        <w:tblGridChange w:id="0">
          <w:tblGrid>
            <w:gridCol w:w="9360"/>
          </w:tblGrid>
        </w:tblGridChange>
      </w:tblGrid>
      <w:tr>
        <w:trPr>
          <w:cantSplit w:val="0"/>
          <w:tblHeader w:val="0"/>
        </w:trPr>
        <w:tc>
          <w:tcPr>
            <w:tcBorders>
              <w:top w:color="000000" w:space="0" w:sz="0" w:val="nil"/>
              <w:left w:color="1f5a94" w:space="0" w:sz="20" w:val="single"/>
              <w:bottom w:color="000000" w:space="0" w:sz="0" w:val="nil"/>
              <w:right w:color="000000" w:space="0" w:sz="0" w:val="nil"/>
            </w:tcBorders>
            <w:shd w:fill="e8eef5" w:val="clear"/>
            <w:tcMar>
              <w:top w:w="100.0" w:type="dxa"/>
              <w:left w:w="120.0" w:type="dxa"/>
              <w:bottom w:w="100.0" w:type="dxa"/>
              <w:right w:w="120.0" w:type="dxa"/>
            </w:tcMar>
            <w:vAlign w:val="center"/>
          </w:tcPr>
          <w:p>
            <w:r>
              <w:t>ENTREGA</w:t>
              <w:br/>
              <w:t>Archivo diligenciado en formato .docx, con campos completos, referencias verificables y estructura institucional conservada.</w:t>
            </w:r>
          </w:p>
        </w:tc>
      </w:tr>
    </w:tbl>
    <w:p w:rsidR="00000000" w:rsidDel="00000000" w:rsidP="00000000" w:rsidRDefault="00000000" w:rsidRPr="00000000" w14:paraId="0000007C">
      <w:pPr>
        <w:spacing w:after="40" w:line="72" w:lineRule="auto"/>
        <w:rPr/>
      </w:pPr>
      <w:r w:rsidDel="00000000" w:rsidR="00000000" w:rsidRPr="00000000">
        <w:rPr>
          <w:rtl w:val="0"/>
        </w:rPr>
      </w:r>
    </w:p>
    <w:p w:rsidR="00000000" w:rsidDel="00000000" w:rsidP="00000000" w:rsidRDefault="00000000" w:rsidRPr="00000000" w14:paraId="0000007D">
      <w:pPr>
        <w:spacing w:after="40" w:lineRule="auto"/>
        <w:rPr/>
      </w:pP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t xml:space="preserve">Control de revisión y aprobación</w:t>
      </w:r>
    </w:p>
    <w:tbl>
      <w:tblPr>
        <w:tblStyle w:val="Table8"/>
        <w:tblW w:w="9360.0" w:type="dxa"/>
        <w:jc w:val="left"/>
        <w:tblBorders>
          <w:top w:color="d7dce5" w:space="0" w:sz="4" w:val="single"/>
          <w:left w:color="d7dce5" w:space="0" w:sz="4" w:val="single"/>
          <w:bottom w:color="d7dce5" w:space="0" w:sz="4" w:val="single"/>
          <w:right w:color="d7dce5" w:space="0" w:sz="4" w:val="single"/>
          <w:insideH w:color="d7dce5" w:space="0" w:sz="4" w:val="single"/>
          <w:insideV w:color="d7dce5" w:space="0" w:sz="4" w:val="single"/>
        </w:tblBorders>
        <w:tblLayout w:type="fixed"/>
        <w:tblLook w:val="0400"/>
      </w:tblPr>
      <w:tblGrid>
        <w:gridCol w:w="2700"/>
        <w:gridCol w:w="3300"/>
        <w:gridCol w:w="1500"/>
        <w:gridCol w:w="1860"/>
        <w:tblGridChange w:id="0">
          <w:tblGrid>
            <w:gridCol w:w="2700"/>
            <w:gridCol w:w="3300"/>
            <w:gridCol w:w="1500"/>
            <w:gridCol w:w="1860"/>
          </w:tblGrid>
        </w:tblGridChange>
      </w:tblGrid>
      <w:tr>
        <w:trPr>
          <w:cantSplit w:val="0"/>
          <w:tblHeader w:val="1"/>
        </w:trPr>
        <w:tc>
          <w:tcPr>
            <w:shd w:fill="10145b" w:val="clear"/>
            <w:vAlign w:val="center"/>
          </w:tcPr>
          <w:p w:rsidR="00000000" w:rsidDel="00000000" w:rsidP="00000000" w:rsidRDefault="00000000" w:rsidRPr="00000000" w14:paraId="0000007F">
            <w:pPr>
              <w:spacing w:after="0" w:line="252.00000000000003" w:lineRule="auto"/>
              <w:jc w:val="center"/>
              <w:rPr/>
            </w:pPr>
            <w:r w:rsidDel="00000000" w:rsidR="00000000" w:rsidRPr="00000000">
              <w:rPr>
                <w:b w:val="1"/>
                <w:bCs w:val="1"/>
                <w:color w:val="ffffff"/>
                <w:sz w:val="17"/>
                <w:szCs w:val="17"/>
                <w:rtl w:val="0"/>
              </w:rPr>
              <w:t xml:space="preserve">Rol</w:t>
            </w:r>
            <w:r w:rsidDel="00000000" w:rsidR="00000000" w:rsidRPr="00000000">
              <w:rPr>
                <w:rtl w:val="0"/>
              </w:rPr>
            </w:r>
          </w:p>
        </w:tc>
        <w:tc>
          <w:tcPr>
            <w:shd w:fill="10145b" w:val="clear"/>
            <w:vAlign w:val="center"/>
          </w:tcPr>
          <w:p w:rsidR="00000000" w:rsidDel="00000000" w:rsidP="00000000" w:rsidRDefault="00000000" w:rsidRPr="00000000" w14:paraId="00000080">
            <w:pPr>
              <w:spacing w:after="0" w:line="252.00000000000003" w:lineRule="auto"/>
              <w:jc w:val="center"/>
              <w:rPr/>
            </w:pPr>
            <w:r w:rsidDel="00000000" w:rsidR="00000000" w:rsidRPr="00000000">
              <w:rPr>
                <w:b w:val="1"/>
                <w:bCs w:val="1"/>
                <w:color w:val="ffffff"/>
                <w:sz w:val="17"/>
                <w:szCs w:val="17"/>
                <w:rtl w:val="0"/>
              </w:rPr>
              <w:t xml:space="preserve">Nombre y firma</w:t>
            </w:r>
            <w:r w:rsidDel="00000000" w:rsidR="00000000" w:rsidRPr="00000000">
              <w:rPr>
                <w:rtl w:val="0"/>
              </w:rPr>
            </w:r>
          </w:p>
        </w:tc>
        <w:tc>
          <w:tcPr>
            <w:shd w:fill="10145b" w:val="clear"/>
            <w:vAlign w:val="center"/>
          </w:tcPr>
          <w:p w:rsidR="00000000" w:rsidDel="00000000" w:rsidP="00000000" w:rsidRDefault="00000000" w:rsidRPr="00000000" w14:paraId="00000081">
            <w:pPr>
              <w:spacing w:after="0" w:line="252.00000000000003" w:lineRule="auto"/>
              <w:jc w:val="center"/>
              <w:rPr/>
            </w:pPr>
            <w:r w:rsidDel="00000000" w:rsidR="00000000" w:rsidRPr="00000000">
              <w:rPr>
                <w:b w:val="1"/>
                <w:bCs w:val="1"/>
                <w:color w:val="ffffff"/>
                <w:sz w:val="17"/>
                <w:szCs w:val="17"/>
                <w:rtl w:val="0"/>
              </w:rPr>
              <w:t xml:space="preserve">Fecha</w:t>
            </w:r>
            <w:r w:rsidDel="00000000" w:rsidR="00000000" w:rsidRPr="00000000">
              <w:rPr>
                <w:rtl w:val="0"/>
              </w:rPr>
            </w:r>
          </w:p>
        </w:tc>
        <w:tc>
          <w:tcPr>
            <w:shd w:fill="10145b" w:val="clear"/>
            <w:vAlign w:val="center"/>
          </w:tcPr>
          <w:p w:rsidR="00000000" w:rsidDel="00000000" w:rsidP="00000000" w:rsidRDefault="00000000" w:rsidRPr="00000000" w14:paraId="00000082">
            <w:pPr>
              <w:spacing w:after="0" w:line="252.00000000000003" w:lineRule="auto"/>
              <w:jc w:val="center"/>
              <w:rPr/>
            </w:pPr>
            <w:r w:rsidDel="00000000" w:rsidR="00000000" w:rsidRPr="00000000">
              <w:rPr>
                <w:b w:val="1"/>
                <w:bCs w:val="1"/>
                <w:color w:val="ffffff"/>
                <w:sz w:val="17"/>
                <w:szCs w:val="17"/>
                <w:rtl w:val="0"/>
              </w:rPr>
              <w:t xml:space="preserve">Estado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spacing w:after="0" w:line="252.00000000000003" w:lineRule="auto"/>
              <w:rPr/>
            </w:pPr>
            <w:r w:rsidDel="00000000" w:rsidR="00000000" w:rsidRPr="00000000">
              <w:rPr>
                <w:sz w:val="16"/>
                <w:szCs w:val="16"/>
                <w:rtl w:val="0"/>
              </w:rPr>
              <w:t xml:space="preserve">Docente experto temático</w:t>
            </w:r>
            <w:r w:rsidDel="00000000" w:rsidR="00000000" w:rsidRPr="00000000">
              <w:rPr>
                <w:rtl w:val="0"/>
              </w:rPr>
            </w:r>
          </w:p>
        </w:tc>
        <w:tc>
          <w:tcPr>
            <w:vAlign w:val="center"/>
          </w:tcPr>
          <w:p>
            <w:r>
              <w:t>Luis</w:t>
            </w:r>
          </w:p>
        </w:tc>
        <w:tc>
          <w:tcPr>
            <w:vAlign w:val="center"/>
          </w:tcPr>
          <w:p>
            <w:r>
              <w:t>06/10/2026</w:t>
            </w:r>
          </w:p>
        </w:tc>
        <w:tc>
          <w:tcPr>
            <w:vAlign w:val="center"/>
          </w:tcPr>
          <w:p>
            <w:r>
              <w:t>☐ Pendiente | ☒ Aprobado</w:t>
            </w:r>
          </w:p>
        </w:tc>
      </w:tr>
      <w:tr>
        <w:trPr>
          <w:cantSplit w:val="0"/>
          <w:tblHeader w:val="0"/>
        </w:trPr>
        <w:tc>
          <w:tcPr>
            <w:vAlign w:val="center"/>
          </w:tcPr>
          <w:p w:rsidR="00000000" w:rsidDel="00000000" w:rsidP="00000000" w:rsidRDefault="00000000" w:rsidRPr="00000000" w14:paraId="00000087">
            <w:pPr>
              <w:spacing w:after="0" w:line="252.00000000000003" w:lineRule="auto"/>
              <w:rPr/>
            </w:pPr>
            <w:r w:rsidDel="00000000" w:rsidR="00000000" w:rsidRPr="00000000">
              <w:rPr>
                <w:sz w:val="16"/>
                <w:szCs w:val="16"/>
                <w:rtl w:val="0"/>
              </w:rPr>
              <w:t xml:space="preserve">Asesor pedagógico CTEV</w:t>
            </w:r>
            <w:r w:rsidDel="00000000" w:rsidR="00000000" w:rsidRPr="00000000">
              <w:rPr>
                <w:rtl w:val="0"/>
              </w:rPr>
            </w:r>
          </w:p>
        </w:tc>
        <w:tc>
          <w:tcPr>
            <w:vAlign w:val="center"/>
          </w:tcPr>
          <w:p>
            <w:r>
              <w:t>Pendiente de revisión CTEV</w:t>
            </w:r>
          </w:p>
        </w:tc>
        <w:tc>
          <w:tcPr>
            <w:vAlign w:val="center"/>
          </w:tcPr>
          <w:p>
            <w:r>
              <w:t>06/10/2026</w:t>
            </w:r>
          </w:p>
        </w:tc>
        <w:tc>
          <w:tcPr>
            <w:vAlign w:val="center"/>
          </w:tcPr>
          <w:p>
            <w:r>
              <w:t>☒ Pendiente | ☐ Aprobado</w:t>
            </w:r>
          </w:p>
        </w:tc>
      </w:tr>
    </w:tbl>
    <w:p w:rsidR="00000000" w:rsidDel="00000000" w:rsidP="00000000" w:rsidRDefault="00000000" w:rsidRPr="00000000" w14:paraId="0000008B">
      <w:pPr>
        <w:rPr/>
      </w:pPr>
      <w:r w:rsidDel="00000000" w:rsidR="00000000" w:rsidRPr="00000000">
        <w:rPr>
          <w:rtl w:val="0"/>
        </w:rPr>
      </w:r>
    </w:p>
    <w:p/>
    <w:p/>
    <w:p/>
    <w:p/>
    <w:p/>
    <w:p/>
    <w:p/>
    <w:p/>
    <w:p/>
    <w:p/>
    <w:p/>
    <w:p/>
    <w:p/>
    <w:p/>
    <w:p/>
    <w:p/>
    <w:p/>
    <w:p/>
    <w:p/>
    <w:p/>
    <w:p/>
    <w:p/>
    <w:p/>
    <w:p/>
    <w:p/>
    <w:p/>
    <w:p/>
    <w:p/>
    <w:p/>
    <w:p/>
    <w:p/>
    <w:p/>
    <w:p/>
    <w:p/>
    <w:p/>
    <w:p/>
    <w:p/>
    <w:p/>
    <w:p/>
    <w:p/>
    <w:p/>
    <w:p/>
    <w:p/>
    <w:p/>
    <w:p/>
    <w:p/>
    <w:p/>
    <w:p/>
    <w:sectPr>
      <w:headerReference r:id="rId7" w:type="default"/>
      <w:headerReference r:id="rId8" w:type="first"/>
      <w:headerReference r:id="rId9" w:type="even"/>
      <w:footerReference r:id="rId10" w:type="default"/>
      <w:footerReference r:id="rId11" w:type="first"/>
      <w:footerReference r:id="rId12" w:type="even"/>
      <w:titlePg/>
      <w:pgSz w:h="15840" w:w="12240" w:orient="portrait"/>
      <w:pgMar w:bottom="1080" w:top="1123" w:left="1440" w:right="1440" w:header="403"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7313b"/>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1"/>
      <w:pBdr>
        <w:top w:color="d7dce3" w:space="5" w:sz="6" w:val="single"/>
        <w:left w:space="0" w:sz="0" w:val="nil"/>
        <w:bottom w:space="0" w:sz="0" w:val="nil"/>
        <w:right w:space="0" w:sz="0" w:val="nil"/>
        <w:between w:space="0" w:sz="0" w:val="nil"/>
      </w:pBdr>
      <w:shd w:fill="auto" w:val="clear"/>
      <w:tabs>
        <w:tab w:val="center" w:leader="none" w:pos="4680"/>
        <w:tab w:val="right" w:leader="none" w:pos="9360"/>
      </w:tabs>
      <w:spacing w:after="0" w:before="80" w:line="240" w:lineRule="auto"/>
      <w:ind w:left="0" w:right="0" w:firstLine="0"/>
      <w:jc w:val="center"/>
      <w:rPr>
        <w:rFonts w:ascii="Aptos" w:cs="Aptos" w:eastAsia="Aptos" w:hAnsi="Aptos"/>
        <w:b w:val="0"/>
        <w:bCs w:val="0"/>
        <w:i w:val="0"/>
        <w:iCs w:val="0"/>
        <w:smallCaps w:val="0"/>
        <w:strike w:val="0"/>
        <w:color w:val="27313b"/>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f6b78"/>
        <w:sz w:val="17"/>
        <w:szCs w:val="17"/>
        <w:u w:val="none"/>
        <w:shd w:fill="auto" w:val="clear"/>
        <w:vertAlign w:val="baseline"/>
        <w:rtl w:val="0"/>
      </w:rPr>
      <w:t xml:space="preserve">CTEV  |  Guía institucional  |  Página </w:t>
    </w:r>
    <w:r w:rsidDel="00000000" w:rsidR="00000000" w:rsidRPr="00000000">
      <w:rPr>
        <w:rFonts w:ascii="Aptos" w:cs="Aptos" w:eastAsia="Aptos" w:hAnsi="Aptos"/>
        <w:b w:val="0"/>
        <w:bCs w:val="0"/>
        <w:i w:val="0"/>
        <w:iCs w:val="0"/>
        <w:smallCaps w:val="0"/>
        <w:strike w:val="0"/>
        <w:color w:val="5f6b78"/>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7313b"/>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7313b"/>
        <w:sz w:val="21"/>
        <w:szCs w:val="21"/>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bookmarkStart w:colFirst="0" w:colLast="0" w:name="_heading=h.y8jsi6jkexra" w:id="1"/>
    <w:bookmarkEnd w:id="1"/>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-1638299</wp:posOffset>
          </wp:positionH>
          <wp:positionV relativeFrom="paragraph">
            <wp:posOffset>200025</wp:posOffset>
          </wp:positionV>
          <wp:extent cx="8639175" cy="11071225"/>
          <wp:effectExtent b="0" l="0" r="0" t="0"/>
          <wp:wrapNone/>
          <wp:docPr descr="Encabezado institucional de la Universidad de Cartagena y el CTEV." id="1" name="image1.png"/>
          <a:graphic>
            <a:graphicData uri="http://schemas.openxmlformats.org/drawingml/2006/picture">
              <pic:pic>
                <pic:nvPicPr>
                  <pic:cNvPr descr="Encabezado institucional de la Universidad de Cartagena y el CTEV." id="0" name="image1.png"/>
                  <pic:cNvPicPr preferRelativeResize="0"/>
                </pic:nvPicPr>
                <pic:blipFill>
                  <a:blip r:embed="rId1"/>
                  <a:srcRect b="0" l="0" r="0" t="0"/>
                  <a:stretch>
                    <a:fillRect/>
                  </a:stretch>
                </pic:blipFill>
                <pic:spPr>
                  <a:xfrm>
                    <a:off x="0" y="0"/>
                    <a:ext cx="8639175" cy="1107122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7313b"/>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270"/>
      </w:pPr>
      <w:rPr>
        <w:rFonts w:ascii="Aptos" w:cs="Aptos" w:eastAsia="Aptos" w:hAnsi="Aptos"/>
        <w:color w:val="00000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630" w:hanging="360"/>
      </w:pPr>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3">
    <w:lvl w:ilvl="0">
      <w:start w:val="1"/>
      <w:numFmt w:val="decimal"/>
      <w:lvlText w:val="%1."/>
      <w:lvlJc w:val="left"/>
      <w:pPr>
        <w:ind w:left="540" w:hanging="270"/>
      </w:pPr>
      <w:rPr>
        <w:rFonts w:ascii="Aptos" w:cs="Aptos" w:eastAsia="Aptos" w:hAnsi="Aptos"/>
        <w:color w:val="00000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decimal"/>
      <w:lvlText w:val="%1."/>
      <w:lvlJc w:val="left"/>
      <w:pPr>
        <w:ind w:left="900" w:hanging="360"/>
      </w:pPr>
      <w:rPr/>
    </w:lvl>
    <w:lvl w:ilvl="1">
      <w:start w:val="1"/>
      <w:numFmt w:val="lowerLetter"/>
      <w:lvlText w:val="%2."/>
      <w:lvlJc w:val="left"/>
      <w:pPr>
        <w:ind w:left="1620" w:hanging="360"/>
      </w:pPr>
      <w:rPr/>
    </w:lvl>
    <w:lvl w:ilvl="2">
      <w:start w:val="1"/>
      <w:numFmt w:val="lowerRoman"/>
      <w:lvlText w:val="%3."/>
      <w:lvlJc w:val="right"/>
      <w:pPr>
        <w:ind w:left="2340" w:hanging="180"/>
      </w:pPr>
      <w:rPr/>
    </w:lvl>
    <w:lvl w:ilvl="3">
      <w:start w:val="1"/>
      <w:numFmt w:val="decimal"/>
      <w:lvlText w:val="%4."/>
      <w:lvlJc w:val="left"/>
      <w:pPr>
        <w:ind w:left="306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abstractNum w:abstractNumId="6">
    <w:lvl w:ilvl="0">
      <w:start w:val="1"/>
      <w:numFmt w:val="decimal"/>
      <w:lvlText w:val="%1."/>
      <w:lvlJc w:val="left"/>
      <w:pPr>
        <w:ind w:left="630" w:hanging="360"/>
      </w:pPr>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7">
    <w:lvl w:ilvl="0">
      <w:start w:val="1"/>
      <w:numFmt w:val="decimal"/>
      <w:lvlText w:val="%1."/>
      <w:lvlJc w:val="left"/>
      <w:pPr>
        <w:ind w:left="630" w:hanging="360"/>
      </w:pPr>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8">
    <w:lvl w:ilvl="0">
      <w:start w:val="1"/>
      <w:numFmt w:val="decimal"/>
      <w:lvlText w:val="%1."/>
      <w:lvlJc w:val="left"/>
      <w:pPr>
        <w:ind w:left="630" w:hanging="360"/>
      </w:pPr>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9">
    <w:lvl w:ilvl="0">
      <w:start w:val="1"/>
      <w:numFmt w:val="decimal"/>
      <w:lvlText w:val="%1."/>
      <w:lvlJc w:val="left"/>
      <w:pPr>
        <w:ind w:left="630" w:hanging="360"/>
      </w:pPr>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7313b"/>
        <w:sz w:val="21"/>
        <w:szCs w:val="21"/>
        <w:lang w:val="es-CO"/>
      </w:rPr>
    </w:rPrDefault>
    <w:pPrDefault>
      <w:pPr>
        <w:spacing w:after="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80" w:before="360" w:lineRule="auto"/>
    </w:pPr>
    <w:rPr>
      <w:rFonts w:ascii="Calibri" w:cs="Calibri" w:eastAsia="Calibri" w:hAnsi="Calibri"/>
      <w:b w:val="1"/>
      <w:bCs w:val="1"/>
      <w:color w:val="1f5a94"/>
      <w:sz w:val="32"/>
      <w:szCs w:val="32"/>
    </w:rPr>
  </w:style>
  <w:style w:type="paragraph" w:styleId="Heading2">
    <w:name w:val="heading 2"/>
    <w:basedOn w:val="Normal"/>
    <w:next w:val="Normal"/>
    <w:pPr>
      <w:keepNext w:val="1"/>
      <w:keepLines w:val="1"/>
      <w:spacing w:before="260" w:lineRule="auto"/>
    </w:pPr>
    <w:rPr>
      <w:rFonts w:ascii="Calibri" w:cs="Calibri" w:eastAsia="Calibri" w:hAnsi="Calibri"/>
      <w:b w:val="1"/>
      <w:bCs w:val="1"/>
      <w:color w:val="1f5a94"/>
      <w:sz w:val="26"/>
      <w:szCs w:val="26"/>
    </w:rPr>
  </w:style>
  <w:style w:type="paragraph" w:styleId="Heading3">
    <w:name w:val="heading 3"/>
    <w:basedOn w:val="Normal"/>
    <w:next w:val="Normal"/>
    <w:pPr>
      <w:keepNext w:val="1"/>
      <w:keepLines w:val="1"/>
      <w:spacing w:after="80" w:before="180" w:lineRule="auto"/>
    </w:pPr>
    <w:rPr>
      <w:rFonts w:ascii="Calibri" w:cs="Calibri" w:eastAsia="Calibri" w:hAnsi="Calibri"/>
      <w:b w:val="1"/>
      <w:bCs w:val="1"/>
      <w:color w:val="173b63"/>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keepLines w:val="1"/>
      <w:pBdr>
        <w:bottom w:color="4f81bd" w:space="4" w:sz="8" w:val="single"/>
      </w:pBdr>
      <w:spacing w:line="240" w:lineRule="auto"/>
    </w:pPr>
    <w:rPr>
      <w:rFonts w:ascii="Calibri" w:cs="Calibri" w:eastAsia="Calibri" w:hAnsi="Calibri"/>
      <w:b w:val="1"/>
      <w:bCs w:val="1"/>
      <w:color w:val="173b63"/>
      <w:sz w:val="50"/>
      <w:szCs w:val="50"/>
    </w:rPr>
  </w:style>
  <w:style w:type="paragraph" w:styleId="Subtitle">
    <w:name w:val="Subtitle"/>
    <w:basedOn w:val="Normal"/>
    <w:next w:val="Normal"/>
    <w:pPr>
      <w:keepNext w:val="1"/>
      <w:keepLines w:val="1"/>
      <w:spacing w:after="360" w:lineRule="auto"/>
    </w:pPr>
    <w:rPr>
      <w:rFonts w:ascii="Calibri" w:cs="Calibri" w:eastAsia="Calibri" w:hAnsi="Calibri"/>
      <w:i w:val="1"/>
      <w:iCs w:val="1"/>
      <w:color w:val="5f6b78"/>
      <w:sz w:val="23"/>
      <w:szCs w:val="23"/>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80.0" w:type="dxa"/>
        <w:left w:w="120.0" w:type="dxa"/>
        <w:bottom w:w="80.0" w:type="dxa"/>
        <w:right w:w="12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fEKNdvMcTrXy1kPsDe4hjlps1A==">CgMxLjAyDmguMWE5Z3pnYWFlMXdnMg5oLnk4anNpNmprZXhyYTgAciExYndFcFhUeDVHYWRCRXNUUGJHVlJCb1dlYTcwZHVzUU8=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BORRADOR - NO EVALUAR - Módulo Unidad 3 - Informática I 2027 - MITIGADO</dc:title>
  <cp:lastModifiedBy>python-docx</cp:lastModifiedBy>
  <cp:revision>1</cp:revision>
  <dcterms:modified xsi:type="dcterms:W3CDTF">2026-10-16T18:33:34Z</dcterms:modified>
  <dc:subject>Unidad 3 de Informática I ajustada para producción técnica</dc:subject>
  <dc:description>Borrador mitigado con contenido exclusivo de la Unidad 3.</dc:description>
</cp:coreProperties>
</file>