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20" w:lineRule="auto"/>
        <w:rPr/>
      </w:pPr>
      <w:r w:rsidDel="00000000" w:rsidR="00000000" w:rsidRPr="00000000">
        <w:rPr>
          <w:b w:val="1"/>
          <w:bCs w:val="1"/>
          <w:color w:val="5b2c83"/>
          <w:sz w:val="18"/>
          <w:szCs w:val="18"/>
          <w:rtl w:val="0"/>
        </w:rPr>
        <w:t xml:space="preserve">ORIENTACIÓN PARA DOCENTES EXPERTOS</w:t>
      </w:r>
      <w:r w:rsidDel="00000000" w:rsidR="00000000" w:rsidRPr="00000000">
        <w:rPr>
          <w:rtl w:val="0"/>
        </w:rPr>
      </w:r>
    </w:p>
    <w:p w:rsidR="00000000" w:rsidDel="00000000" w:rsidP="00000000" w:rsidRDefault="00000000" w:rsidRPr="00000000" w14:paraId="00000002">
      <w:pPr>
        <w:pStyle w:val="Title"/>
        <w:pBdr>
          <w:bottom w:color="000000" w:space="0" w:sz="0" w:val="none"/>
        </w:pBdr>
        <w:spacing w:after="80" w:line="300" w:lineRule="auto"/>
        <w:rPr>
          <w:color w:val="10145b"/>
          <w:sz w:val="40"/>
          <w:szCs w:val="40"/>
        </w:rPr>
      </w:pPr>
      <w:r w:rsidDel="00000000" w:rsidR="00000000" w:rsidRPr="00000000">
        <w:rPr>
          <w:color w:val="10145b"/>
          <w:sz w:val="40"/>
          <w:szCs w:val="40"/>
          <w:rtl w:val="0"/>
        </w:rPr>
        <w:t xml:space="preserve">Guía para la Redacción del Módulo</w:t>
      </w:r>
    </w:p>
    <w:p w:rsidR="00000000" w:rsidDel="00000000" w:rsidP="00000000" w:rsidRDefault="00000000" w:rsidRPr="00000000" w14:paraId="00000003">
      <w:pPr>
        <w:pStyle w:val="Heading2"/>
        <w:numPr>
          <w:ilvl w:val="0"/>
          <w:numId w:val="5"/>
        </w:numPr>
        <w:spacing w:after="140" w:before="280" w:line="300" w:lineRule="auto"/>
        <w:ind w:left="360" w:hanging="360"/>
        <w:rPr>
          <w:color w:val="10145b"/>
        </w:rPr>
      </w:pPr>
      <w:r w:rsidDel="00000000" w:rsidR="00000000" w:rsidRPr="00000000">
        <w:rPr>
          <w:color w:val="10145b"/>
          <w:rtl w:val="0"/>
        </w:rPr>
        <w:t xml:space="preserve">Finalidad</w:t>
      </w:r>
    </w:p>
    <w:p w:rsidR="00000000" w:rsidDel="00000000" w:rsidP="00000000" w:rsidRDefault="00000000" w:rsidRPr="00000000" w14:paraId="00000004">
      <w:pPr>
        <w:rPr/>
      </w:pPr>
      <w:r w:rsidDel="00000000" w:rsidR="00000000" w:rsidRPr="00000000">
        <w:rPr>
          <w:rtl w:val="0"/>
        </w:rPr>
        <w:t xml:space="preserve">Este documento orienta la elaboración del módulo de aprendizaje que será utilizado como recurso principal de estudio. Su propósito es garantizar uniformidad en la estructura, calidad académica y coherencia pedagógica.</w:t>
      </w:r>
    </w:p>
    <w:p w:rsidR="00000000" w:rsidDel="00000000" w:rsidP="00000000" w:rsidRDefault="00000000" w:rsidRPr="00000000" w14:paraId="00000005">
      <w:pPr>
        <w:rPr/>
      </w:pPr>
      <w:r w:rsidDel="00000000" w:rsidR="00000000" w:rsidRPr="00000000">
        <w:rPr>
          <w:rtl w:val="0"/>
        </w:rPr>
        <w:t xml:space="preserve">El módulo debe presentar los contenidos de manera progresiva, contextualizada y articulada con los resultados de aprendizaje del curso, promoviendo el aprendizaje autónomo y significativo.</w:t>
      </w:r>
    </w:p>
    <w:tbl>
      <w:tblPr>
        <w:tblStyle w:val="Table1"/>
        <w:tblW w:w="9360.0" w:type="dxa"/>
        <w:jc w:val="left"/>
        <w:tblBorders>
          <w:top w:color="169ed0" w:space="0" w:sz="6" w:val="single"/>
          <w:left w:color="169ed0" w:space="0" w:sz="6" w:val="single"/>
          <w:bottom w:color="169ed0" w:space="0" w:sz="6" w:val="single"/>
          <w:right w:color="169ed0" w:space="0" w:sz="6" w:val="single"/>
          <w:insideH w:color="169ed0" w:space="0" w:sz="6" w:val="single"/>
          <w:insideV w:color="169ed0" w:space="0" w:sz="6" w:val="single"/>
        </w:tblBorders>
        <w:tblLayout w:type="fixed"/>
        <w:tblLook w:val="0400"/>
      </w:tblPr>
      <w:tblGrid>
        <w:gridCol w:w="9360"/>
        <w:tblGridChange w:id="0">
          <w:tblGrid>
            <w:gridCol w:w="9360"/>
          </w:tblGrid>
        </w:tblGridChange>
      </w:tblGrid>
      <w:tr>
        <w:trPr>
          <w:cantSplit w:val="0"/>
          <w:tblHeader w:val="0"/>
        </w:trPr>
        <w:tc>
          <w:tcPr>
            <w:shd w:fill="eaf7fc" w:val="clear"/>
            <w:vAlign w:val="center"/>
          </w:tcPr>
          <w:p w:rsidR="00000000" w:rsidDel="00000000" w:rsidP="00000000" w:rsidRDefault="00000000" w:rsidRPr="00000000" w14:paraId="00000006">
            <w:pPr>
              <w:spacing w:after="0" w:line="252.00000000000003" w:lineRule="auto"/>
              <w:rPr>
                <w:b w:val="1"/>
                <w:bCs w:val="1"/>
                <w:color w:val="00b0f0"/>
                <w:sz w:val="17"/>
                <w:szCs w:val="17"/>
              </w:rPr>
            </w:pPr>
            <w:r w:rsidDel="00000000" w:rsidR="00000000" w:rsidRPr="00000000">
              <w:rPr>
                <w:b w:val="1"/>
                <w:bCs w:val="1"/>
                <w:color w:val="00b0f0"/>
                <w:sz w:val="17"/>
                <w:szCs w:val="17"/>
                <w:rtl w:val="0"/>
              </w:rPr>
              <w:t xml:space="preserve">USO DE ESTA GUÍA</w:t>
            </w:r>
          </w:p>
          <w:p w:rsidR="00000000" w:rsidDel="00000000" w:rsidP="00000000" w:rsidRDefault="00000000" w:rsidRPr="00000000" w14:paraId="00000007">
            <w:pPr>
              <w:spacing w:after="0" w:line="252.00000000000003" w:lineRule="auto"/>
              <w:rPr/>
            </w:pPr>
            <w:r w:rsidDel="00000000" w:rsidR="00000000" w:rsidRPr="00000000">
              <w:rPr>
                <w:sz w:val="17"/>
                <w:szCs w:val="17"/>
                <w:rtl w:val="0"/>
              </w:rPr>
              <w:t xml:space="preserve">Diligencie cada sección con información propia del curso. Conserve la estructura y la jerarquía de títulos para facilitar la revisión académica, la edición institucional y la producción posterior de recursos digitales.</w:t>
            </w:r>
            <w:r w:rsidDel="00000000" w:rsidR="00000000" w:rsidRPr="00000000">
              <w:rPr>
                <w:rtl w:val="0"/>
              </w:rPr>
            </w:r>
          </w:p>
        </w:tc>
      </w:tr>
    </w:tbl>
    <w:p w:rsidR="00000000" w:rsidDel="00000000" w:rsidP="00000000" w:rsidRDefault="00000000" w:rsidRPr="00000000" w14:paraId="00000008">
      <w:pPr>
        <w:spacing w:after="40" w:line="72" w:lineRule="auto"/>
        <w:rPr/>
      </w:pPr>
      <w:r w:rsidDel="00000000" w:rsidR="00000000" w:rsidRPr="00000000">
        <w:rPr>
          <w:rtl w:val="0"/>
        </w:rPr>
      </w:r>
    </w:p>
    <w:p w:rsidR="00000000" w:rsidDel="00000000" w:rsidP="00000000" w:rsidRDefault="00000000" w:rsidRPr="00000000" w14:paraId="00000009">
      <w:pPr>
        <w:pStyle w:val="Heading2"/>
        <w:numPr>
          <w:ilvl w:val="0"/>
          <w:numId w:val="5"/>
        </w:numPr>
        <w:spacing w:after="140" w:before="280" w:line="300" w:lineRule="auto"/>
        <w:ind w:left="360" w:hanging="360"/>
        <w:rPr>
          <w:color w:val="10145b"/>
        </w:rPr>
      </w:pPr>
      <w:r w:rsidDel="00000000" w:rsidR="00000000" w:rsidRPr="00000000">
        <w:rPr>
          <w:color w:val="10145b"/>
          <w:rtl w:val="0"/>
        </w:rPr>
        <w:t xml:space="preserve">Consideraciones generales</w:t>
      </w:r>
    </w:p>
    <w:p w:rsidR="00000000" w:rsidDel="00000000" w:rsidP="00000000" w:rsidRDefault="00000000" w:rsidRPr="00000000" w14:paraId="0000000A">
      <w:pPr>
        <w:rPr/>
      </w:pPr>
      <w:r w:rsidDel="00000000" w:rsidR="00000000" w:rsidRPr="00000000">
        <w:rPr>
          <w:rtl w:val="0"/>
        </w:rPr>
        <w:t xml:space="preserve">Para la elaboración del módulo tenga presente que:</w:t>
      </w:r>
    </w:p>
    <w:p w:rsidR="00000000" w:rsidDel="00000000" w:rsidP="00000000" w:rsidRDefault="00000000" w:rsidRPr="00000000" w14:paraId="0000000B">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El contenido debe corresponder exclusivamente a las semanas asignadas al módulo.</w:t>
      </w:r>
    </w:p>
    <w:p w:rsidR="00000000" w:rsidDel="00000000" w:rsidP="00000000" w:rsidRDefault="00000000" w:rsidRPr="00000000" w14:paraId="0000000C">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Debe existir coherencia entre los resultados de aprendizaje, los contenidos y las actividades del curso.</w:t>
      </w:r>
    </w:p>
    <w:p w:rsidR="00000000" w:rsidDel="00000000" w:rsidP="00000000" w:rsidRDefault="00000000" w:rsidRPr="00000000" w14:paraId="0000000D">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Utilice un lenguaje académico, claro, preciso y comprensible.</w:t>
      </w:r>
    </w:p>
    <w:p w:rsidR="00000000" w:rsidDel="00000000" w:rsidP="00000000" w:rsidRDefault="00000000" w:rsidRPr="00000000" w14:paraId="0000000E">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Desarrolle los conceptos de forma progresiva, desde los fundamentos hasta sus aplicaciones prácticas.</w:t>
      </w:r>
    </w:p>
    <w:p w:rsidR="00000000" w:rsidDel="00000000" w:rsidP="00000000" w:rsidRDefault="00000000" w:rsidRPr="00000000" w14:paraId="0000000F">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Facilite la comprensión mediante ejemplos, casos o situaciones contextualizadas.</w:t>
      </w:r>
    </w:p>
    <w:p w:rsidR="00000000" w:rsidDel="00000000" w:rsidP="00000000" w:rsidRDefault="00000000" w:rsidRPr="00000000" w14:paraId="00000010">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Respalde las afirmaciones conceptuales con referencias bibliográficas verificables y pertinentes.</w:t>
      </w:r>
    </w:p>
    <w:p w:rsidR="00000000" w:rsidDel="00000000" w:rsidP="00000000" w:rsidRDefault="00000000" w:rsidRPr="00000000" w14:paraId="00000011">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Evite reproducir textos extensos de otras fuentes; construya el contenido mediante síntesis, análisis e integración de información.</w:t>
      </w:r>
    </w:p>
    <w:p w:rsidR="00000000" w:rsidDel="00000000" w:rsidP="00000000" w:rsidRDefault="00000000" w:rsidRPr="00000000" w14:paraId="00000012">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No describa paso a paso las actividades evaluativas; estas instrucciones corresponden a la guía de actividades.</w:t>
      </w:r>
    </w:p>
    <w:p w:rsidR="00000000" w:rsidDel="00000000" w:rsidP="00000000" w:rsidRDefault="00000000" w:rsidRPr="00000000" w14:paraId="00000013">
      <w:pPr>
        <w:spacing w:after="200" w:line="276" w:lineRule="auto"/>
        <w:rPr>
          <w:b w:val="1"/>
          <w:bCs w:val="1"/>
          <w:color w:val="5b2c8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rFonts w:ascii="Aptos" w:cs="Aptos" w:eastAsia="Aptos" w:hAnsi="Aptos"/>
          <w:color w:val="5b2c83"/>
        </w:rPr>
      </w:pPr>
      <w:r w:rsidDel="00000000" w:rsidR="00000000" w:rsidRPr="00000000">
        <w:rPr>
          <w:rtl w:val="0"/>
        </w:rPr>
      </w:r>
    </w:p>
    <w:p w:rsidR="00000000" w:rsidDel="00000000" w:rsidP="00000000" w:rsidRDefault="00000000" w:rsidRPr="00000000" w14:paraId="00000015">
      <w:pPr>
        <w:pStyle w:val="Heading2"/>
        <w:numPr>
          <w:ilvl w:val="0"/>
          <w:numId w:val="5"/>
        </w:numPr>
        <w:spacing w:after="140" w:before="280" w:line="300" w:lineRule="auto"/>
        <w:ind w:left="360" w:hanging="360"/>
        <w:rPr>
          <w:color w:val="10145b"/>
        </w:rPr>
      </w:pPr>
      <w:r w:rsidDel="00000000" w:rsidR="00000000" w:rsidRPr="00000000">
        <w:rPr>
          <w:color w:val="10145b"/>
          <w:rtl w:val="0"/>
        </w:rPr>
        <w:t xml:space="preserve">Estructura del módulo</w:t>
      </w:r>
    </w:p>
    <w:p w:rsidR="00000000" w:rsidDel="00000000" w:rsidP="00000000" w:rsidRDefault="00000000" w:rsidRPr="00000000" w14:paraId="00000016">
      <w:pPr>
        <w:rPr/>
      </w:pPr>
      <w:r w:rsidDel="00000000" w:rsidR="00000000" w:rsidRPr="00000000">
        <w:rPr>
          <w:rtl w:val="0"/>
        </w:rPr>
        <w:t xml:space="preserve">El módulo deberá desarrollarse con la siguiente estructura mínima.</w:t>
      </w:r>
    </w:p>
    <w:p w:rsidR="00000000" w:rsidDel="00000000" w:rsidP="00000000" w:rsidRDefault="00000000" w:rsidRPr="00000000" w14:paraId="00000017">
      <w:pPr>
        <w:pStyle w:val="Heading3"/>
        <w:numPr>
          <w:ilvl w:val="1"/>
          <w:numId w:val="5"/>
        </w:numPr>
        <w:spacing w:after="100" w:before="200" w:line="300" w:lineRule="auto"/>
        <w:ind w:left="792" w:hanging="432"/>
        <w:rPr>
          <w:color w:val="169ed0"/>
          <w:sz w:val="24"/>
          <w:szCs w:val="24"/>
        </w:rPr>
      </w:pPr>
      <w:r w:rsidDel="00000000" w:rsidR="00000000" w:rsidRPr="00000000">
        <w:rPr>
          <w:color w:val="169ed0"/>
          <w:sz w:val="24"/>
          <w:szCs w:val="24"/>
          <w:rtl w:val="0"/>
        </w:rPr>
        <w:t xml:space="preserve">Identificación</w:t>
      </w:r>
    </w:p>
    <w:tbl>
      <w:tblPr>
        <w:tblStyle w:val="Table2"/>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e8eef5" w:val="clear"/>
            <w:tcMar>
              <w:top w:w="100.0" w:type="dxa"/>
              <w:left w:w="120.0" w:type="dxa"/>
              <w:bottom w:w="100.0" w:type="dxa"/>
              <w:right w:w="120.0" w:type="dxa"/>
            </w:tcMar>
            <w:vAlign w:val="center"/>
          </w:tcPr>
          <w:p w:rsidR="00000000" w:rsidDel="00000000" w:rsidP="00000000" w:rsidRDefault="00000000" w:rsidRPr="00000000" w14:paraId="00000018">
            <w:pPr>
              <w:spacing w:after="40" w:lineRule="auto"/>
              <w:rPr/>
            </w:pPr>
            <w:r w:rsidDel="00000000" w:rsidR="00000000" w:rsidRPr="00000000">
              <w:rPr>
                <w:b w:val="1"/>
                <w:bCs w:val="1"/>
                <w:color w:val="1f5a94"/>
                <w:sz w:val="18"/>
                <w:szCs w:val="18"/>
                <w:rtl w:val="0"/>
              </w:rPr>
              <w:t xml:space="preserve">ORIENTACIÓN</w:t>
            </w:r>
            <w:r w:rsidDel="00000000" w:rsidR="00000000" w:rsidRPr="00000000">
              <w:rPr>
                <w:rtl w:val="0"/>
              </w:rPr>
            </w:r>
          </w:p>
          <w:p w:rsidR="00000000" w:rsidDel="00000000" w:rsidP="00000000" w:rsidRDefault="00000000" w:rsidRPr="00000000" w14:paraId="00000019">
            <w:pPr>
              <w:spacing w:after="0" w:line="276" w:lineRule="auto"/>
              <w:rPr/>
            </w:pPr>
            <w:r w:rsidDel="00000000" w:rsidR="00000000" w:rsidRPr="00000000">
              <w:rPr>
                <w:sz w:val="20"/>
                <w:szCs w:val="20"/>
                <w:rtl w:val="0"/>
              </w:rPr>
              <w:t xml:space="preserve">Registre los datos que permitan reconocer el curso, ubicar el módulo en la ruta de aprendizaje y controlar su versión.</w:t>
            </w:r>
            <w:r w:rsidDel="00000000" w:rsidR="00000000" w:rsidRPr="00000000">
              <w:rPr>
                <w:rtl w:val="0"/>
              </w:rPr>
            </w:r>
          </w:p>
        </w:tc>
      </w:tr>
    </w:tbl>
    <w:p w:rsidR="00000000" w:rsidDel="00000000" w:rsidP="00000000" w:rsidRDefault="00000000" w:rsidRPr="00000000" w14:paraId="0000001A">
      <w:pPr>
        <w:spacing w:after="40" w:line="72" w:lineRule="auto"/>
        <w:rPr/>
      </w:pPr>
      <w:r w:rsidDel="00000000" w:rsidR="00000000" w:rsidRPr="00000000">
        <w:rPr>
          <w:rtl w:val="0"/>
        </w:rPr>
      </w:r>
    </w:p>
    <w:p w:rsidR="00000000" w:rsidDel="00000000" w:rsidP="00000000" w:rsidRDefault="00000000" w:rsidRPr="00000000" w14:paraId="0000001B">
      <w:pPr>
        <w:spacing w:after="40" w:line="72" w:lineRule="auto"/>
        <w:rPr/>
      </w:pPr>
      <w:r w:rsidDel="00000000" w:rsidR="00000000" w:rsidRPr="00000000">
        <w:rPr>
          <w:rtl w:val="0"/>
        </w:rPr>
      </w:r>
    </w:p>
    <w:tbl>
      <w:tblPr>
        <w:tblStyle w:val="Table3"/>
        <w:tblW w:w="9360.0" w:type="dxa"/>
        <w:jc w:val="left"/>
        <w:tblBorders>
          <w:top w:color="d7dce5" w:space="0" w:sz="4" w:val="single"/>
          <w:left w:color="d7dce5" w:space="0" w:sz="4" w:val="single"/>
          <w:bottom w:color="d7dce5" w:space="0" w:sz="4" w:val="single"/>
          <w:right w:color="d7dce5" w:space="0" w:sz="4" w:val="single"/>
          <w:insideH w:color="d7dce5" w:space="0" w:sz="4" w:val="single"/>
          <w:insideV w:color="d7dce5" w:space="0" w:sz="4" w:val="single"/>
        </w:tblBorders>
        <w:tblLayout w:type="fixed"/>
        <w:tblLook w:val="0400"/>
      </w:tblPr>
      <w:tblGrid>
        <w:gridCol w:w="1275"/>
        <w:gridCol w:w="2553"/>
        <w:gridCol w:w="1559"/>
        <w:gridCol w:w="3973"/>
        <w:tblGridChange w:id="0">
          <w:tblGrid>
            <w:gridCol w:w="1275"/>
            <w:gridCol w:w="2553"/>
            <w:gridCol w:w="1559"/>
            <w:gridCol w:w="3973"/>
          </w:tblGrid>
        </w:tblGridChange>
      </w:tblGrid>
      <w:tr>
        <w:trPr>
          <w:cantSplit w:val="0"/>
          <w:tblHeader w:val="1"/>
        </w:trPr>
        <w:tc>
          <w:tcPr>
            <w:shd w:fill="f1eafd" w:val="clear"/>
            <w:vAlign w:val="center"/>
          </w:tcPr>
          <w:p w:rsidR="00000000" w:rsidDel="00000000" w:rsidP="00000000" w:rsidRDefault="00000000" w:rsidRPr="00000000" w14:paraId="0000001C">
            <w:pPr>
              <w:spacing w:after="30" w:line="259" w:lineRule="auto"/>
              <w:rPr/>
            </w:pPr>
            <w:r w:rsidDel="00000000" w:rsidR="00000000" w:rsidRPr="00000000">
              <w:rPr>
                <w:b w:val="1"/>
                <w:bCs w:val="1"/>
                <w:color w:val="10145b"/>
                <w:sz w:val="18"/>
                <w:szCs w:val="18"/>
                <w:rtl w:val="0"/>
              </w:rPr>
              <w:t xml:space="preserve">Curso / asignatura</w:t>
            </w:r>
            <w:r w:rsidDel="00000000" w:rsidR="00000000" w:rsidRPr="00000000">
              <w:rPr>
                <w:rtl w:val="0"/>
              </w:rPr>
            </w:r>
          </w:p>
        </w:tc>
        <w:tc>
          <w:tcPr>
            <w:vAlign w:val="center"/>
          </w:tcPr>
          <w:p w:rsidR="00000000" w:rsidDel="00000000" w:rsidP="00000000" w:rsidRDefault="00000000" w:rsidRPr="00000000" w14:paraId="0000001D">
            <w:pPr>
              <w:spacing w:after="30" w:line="259" w:lineRule="auto"/>
              <w:rPr/>
            </w:pPr>
            <w:r w:rsidDel="00000000" w:rsidR="00000000" w:rsidRPr="00000000">
              <w:rPr>
                <w:i w:val="1"/>
                <w:iCs w:val="1"/>
                <w:color w:val="5f6673"/>
                <w:sz w:val="18"/>
                <w:szCs w:val="18"/>
                <w:rtl w:val="0"/>
              </w:rPr>
              <w:t xml:space="preserve">Biología Aplicada.</w:t>
            </w:r>
            <w:r w:rsidDel="00000000" w:rsidR="00000000" w:rsidRPr="00000000">
              <w:rPr>
                <w:rtl w:val="0"/>
              </w:rPr>
            </w:r>
          </w:p>
        </w:tc>
        <w:tc>
          <w:tcPr>
            <w:shd w:fill="f1eafd" w:val="clear"/>
            <w:vAlign w:val="center"/>
          </w:tcPr>
          <w:p w:rsidR="00000000" w:rsidDel="00000000" w:rsidP="00000000" w:rsidRDefault="00000000" w:rsidRPr="00000000" w14:paraId="0000001E">
            <w:pPr>
              <w:spacing w:after="30" w:line="259" w:lineRule="auto"/>
              <w:rPr/>
            </w:pPr>
            <w:r w:rsidDel="00000000" w:rsidR="00000000" w:rsidRPr="00000000">
              <w:rPr>
                <w:b w:val="1"/>
                <w:bCs w:val="1"/>
                <w:color w:val="10145b"/>
                <w:sz w:val="18"/>
                <w:szCs w:val="18"/>
                <w:rtl w:val="0"/>
              </w:rPr>
              <w:t xml:space="preserve">Programa</w:t>
            </w:r>
            <w:r w:rsidDel="00000000" w:rsidR="00000000" w:rsidRPr="00000000">
              <w:rPr>
                <w:rtl w:val="0"/>
              </w:rPr>
            </w:r>
          </w:p>
        </w:tc>
        <w:tc>
          <w:tcPr>
            <w:vAlign w:val="center"/>
          </w:tcPr>
          <w:p w:rsidR="00000000" w:rsidDel="00000000" w:rsidP="00000000" w:rsidRDefault="00000000" w:rsidRPr="00000000" w14:paraId="0000001F">
            <w:pPr>
              <w:spacing w:after="30" w:line="259" w:lineRule="auto"/>
              <w:rPr/>
            </w:pPr>
            <w:r w:rsidDel="00000000" w:rsidR="00000000" w:rsidRPr="00000000">
              <w:rPr>
                <w:i w:val="1"/>
                <w:iCs w:val="1"/>
                <w:color w:val="5f6673"/>
                <w:sz w:val="18"/>
                <w:szCs w:val="18"/>
                <w:rtl w:val="0"/>
              </w:rPr>
              <w:t xml:space="preserve">Administración Agroindustrial</w:t>
            </w:r>
            <w:r w:rsidDel="00000000" w:rsidR="00000000" w:rsidRPr="00000000">
              <w:rPr>
                <w:rtl w:val="0"/>
              </w:rPr>
            </w:r>
          </w:p>
        </w:tc>
      </w:tr>
      <w:tr>
        <w:trPr>
          <w:cantSplit w:val="0"/>
          <w:tblHeader w:val="0"/>
        </w:trPr>
        <w:tc>
          <w:tcPr>
            <w:shd w:fill="f1eafd" w:val="clear"/>
            <w:vAlign w:val="center"/>
          </w:tcPr>
          <w:p w:rsidR="00000000" w:rsidDel="00000000" w:rsidP="00000000" w:rsidRDefault="00000000" w:rsidRPr="00000000" w14:paraId="00000020">
            <w:pPr>
              <w:spacing w:after="30" w:line="259" w:lineRule="auto"/>
              <w:rPr/>
            </w:pPr>
            <w:r w:rsidDel="00000000" w:rsidR="00000000" w:rsidRPr="00000000">
              <w:rPr>
                <w:b w:val="1"/>
                <w:bCs w:val="1"/>
                <w:color w:val="10145b"/>
                <w:sz w:val="17"/>
                <w:szCs w:val="17"/>
                <w:rtl w:val="0"/>
              </w:rPr>
              <w:t xml:space="preserve">Unidad de aprendizaje</w:t>
            </w:r>
            <w:r w:rsidDel="00000000" w:rsidR="00000000" w:rsidRPr="00000000">
              <w:rPr>
                <w:rtl w:val="0"/>
              </w:rPr>
            </w:r>
          </w:p>
        </w:tc>
        <w:tc>
          <w:tcPr>
            <w:vAlign w:val="center"/>
          </w:tcPr>
          <w:p w:rsidR="00000000" w:rsidDel="00000000" w:rsidP="00000000" w:rsidRDefault="00000000" w:rsidRPr="00000000" w14:paraId="00000021">
            <w:pPr>
              <w:spacing w:after="30" w:line="259" w:lineRule="auto"/>
              <w:rPr/>
            </w:pPr>
            <w:r w:rsidDel="00000000" w:rsidR="00000000" w:rsidRPr="00000000">
              <w:rPr>
                <w:i w:val="1"/>
                <w:iCs w:val="1"/>
                <w:color w:val="5f6673"/>
                <w:sz w:val="18"/>
                <w:szCs w:val="18"/>
                <w:rtl w:val="0"/>
              </w:rPr>
              <w:t xml:space="preserve">Unidad 1. </w:t>
            </w:r>
            <w:r w:rsidDel="00000000" w:rsidR="00000000" w:rsidRPr="00000000">
              <w:rPr>
                <w:rtl w:val="0"/>
              </w:rPr>
            </w:r>
          </w:p>
        </w:tc>
        <w:tc>
          <w:tcPr>
            <w:shd w:fill="f1eafd" w:val="clear"/>
            <w:vAlign w:val="center"/>
          </w:tcPr>
          <w:p w:rsidR="00000000" w:rsidDel="00000000" w:rsidP="00000000" w:rsidRDefault="00000000" w:rsidRPr="00000000" w14:paraId="00000022">
            <w:pPr>
              <w:spacing w:after="30" w:line="259" w:lineRule="auto"/>
              <w:rPr/>
            </w:pPr>
            <w:r w:rsidDel="00000000" w:rsidR="00000000" w:rsidRPr="00000000">
              <w:rPr>
                <w:b w:val="1"/>
                <w:bCs w:val="1"/>
                <w:color w:val="10145b"/>
                <w:sz w:val="17"/>
                <w:szCs w:val="17"/>
                <w:rtl w:val="0"/>
              </w:rPr>
              <w:t xml:space="preserve">Nombre del módulo</w:t>
            </w:r>
            <w:r w:rsidDel="00000000" w:rsidR="00000000" w:rsidRPr="00000000">
              <w:rPr>
                <w:rtl w:val="0"/>
              </w:rPr>
            </w:r>
          </w:p>
        </w:tc>
        <w:tc>
          <w:tcPr>
            <w:vAlign w:val="center"/>
          </w:tcPr>
          <w:p w:rsidR="00000000" w:rsidDel="00000000" w:rsidP="00000000" w:rsidRDefault="00000000" w:rsidRPr="00000000" w14:paraId="00000023">
            <w:pPr>
              <w:spacing w:after="30" w:line="259" w:lineRule="auto"/>
              <w:rPr/>
            </w:pPr>
            <w:r w:rsidDel="00000000" w:rsidR="00000000" w:rsidRPr="00000000">
              <w:rPr>
                <w:i w:val="1"/>
                <w:iCs w:val="1"/>
                <w:color w:val="5f6673"/>
                <w:sz w:val="17"/>
                <w:szCs w:val="17"/>
                <w:rtl w:val="0"/>
              </w:rPr>
              <w:t xml:space="preserve">Introducción a la Biología Aplicada en la Agroindustria Sostenible.</w:t>
            </w:r>
            <w:r w:rsidDel="00000000" w:rsidR="00000000" w:rsidRPr="00000000">
              <w:rPr>
                <w:rtl w:val="0"/>
              </w:rPr>
            </w:r>
          </w:p>
        </w:tc>
      </w:tr>
      <w:tr>
        <w:trPr>
          <w:cantSplit w:val="0"/>
          <w:tblHeader w:val="1"/>
        </w:trPr>
        <w:tc>
          <w:tcPr>
            <w:shd w:fill="f1eafd" w:val="clear"/>
            <w:vAlign w:val="center"/>
          </w:tcPr>
          <w:p w:rsidR="00000000" w:rsidDel="00000000" w:rsidP="00000000" w:rsidRDefault="00000000" w:rsidRPr="00000000" w14:paraId="00000024">
            <w:pPr>
              <w:spacing w:after="30" w:line="259" w:lineRule="auto"/>
              <w:rPr/>
            </w:pPr>
            <w:r w:rsidDel="00000000" w:rsidR="00000000" w:rsidRPr="00000000">
              <w:rPr>
                <w:b w:val="1"/>
                <w:bCs w:val="1"/>
                <w:color w:val="10145b"/>
                <w:sz w:val="18"/>
                <w:szCs w:val="18"/>
                <w:rtl w:val="0"/>
              </w:rPr>
              <w:t xml:space="preserve">Semanas asociadas</w:t>
            </w:r>
            <w:r w:rsidDel="00000000" w:rsidR="00000000" w:rsidRPr="00000000">
              <w:rPr>
                <w:rtl w:val="0"/>
              </w:rPr>
            </w:r>
          </w:p>
        </w:tc>
        <w:tc>
          <w:tcPr>
            <w:vAlign w:val="center"/>
          </w:tcPr>
          <w:p w:rsidR="00000000" w:rsidDel="00000000" w:rsidP="00000000" w:rsidRDefault="00000000" w:rsidRPr="00000000" w14:paraId="00000025">
            <w:pPr>
              <w:spacing w:after="30" w:line="259" w:lineRule="auto"/>
              <w:rPr/>
            </w:pPr>
            <w:r w:rsidDel="00000000" w:rsidR="00000000" w:rsidRPr="00000000">
              <w:rPr>
                <w:i w:val="1"/>
                <w:iCs w:val="1"/>
                <w:color w:val="5f6673"/>
                <w:sz w:val="18"/>
                <w:szCs w:val="18"/>
                <w:rtl w:val="0"/>
              </w:rPr>
              <w:t xml:space="preserve">1-2-3-4-5</w:t>
            </w:r>
            <w:r w:rsidDel="00000000" w:rsidR="00000000" w:rsidRPr="00000000">
              <w:rPr>
                <w:rtl w:val="0"/>
              </w:rPr>
            </w:r>
          </w:p>
        </w:tc>
        <w:tc>
          <w:tcPr>
            <w:shd w:fill="f1eafd" w:val="clear"/>
            <w:vAlign w:val="center"/>
          </w:tcPr>
          <w:p w:rsidR="00000000" w:rsidDel="00000000" w:rsidP="00000000" w:rsidRDefault="00000000" w:rsidRPr="00000000" w14:paraId="00000026">
            <w:pPr>
              <w:spacing w:after="30" w:line="259" w:lineRule="auto"/>
              <w:rPr/>
            </w:pPr>
            <w:r w:rsidDel="00000000" w:rsidR="00000000" w:rsidRPr="00000000">
              <w:rPr>
                <w:b w:val="1"/>
                <w:bCs w:val="1"/>
                <w:color w:val="10145b"/>
                <w:sz w:val="18"/>
                <w:szCs w:val="18"/>
                <w:rtl w:val="0"/>
              </w:rPr>
              <w:t xml:space="preserve">Lectura principal articuladora</w:t>
            </w:r>
            <w:r w:rsidDel="00000000" w:rsidR="00000000" w:rsidRPr="00000000">
              <w:rPr>
                <w:rtl w:val="0"/>
              </w:rPr>
            </w:r>
          </w:p>
        </w:tc>
        <w:tc>
          <w:tcPr>
            <w:vAlign w:val="center"/>
          </w:tcPr>
          <w:p w:rsidR="00000000" w:rsidDel="00000000" w:rsidP="00000000" w:rsidRDefault="00000000" w:rsidRPr="00000000" w14:paraId="00000027">
            <w:pPr>
              <w:spacing w:after="30" w:line="259" w:lineRule="auto"/>
              <w:rPr>
                <w:i w:val="1"/>
                <w:iCs w:val="1"/>
                <w:color w:val="5f6673"/>
                <w:sz w:val="18"/>
                <w:szCs w:val="18"/>
              </w:rPr>
            </w:pPr>
            <w:r w:rsidDel="00000000" w:rsidR="00000000" w:rsidRPr="00000000">
              <w:rPr>
                <w:i w:val="1"/>
                <w:iCs w:val="1"/>
                <w:color w:val="5f6673"/>
                <w:sz w:val="18"/>
                <w:szCs w:val="18"/>
                <w:rtl w:val="0"/>
              </w:rPr>
              <w:t xml:space="preserve">Pallotti Sagripanti, C. G. &amp; Sanchis Duato, E. (2020). Biología para ciencias ambientales: ( ed.). Editorial de la Universidad Politécnica de Valencia.</w:t>
            </w:r>
          </w:p>
          <w:p w:rsidR="00000000" w:rsidDel="00000000" w:rsidP="00000000" w:rsidRDefault="00000000" w:rsidRPr="00000000" w14:paraId="00000028">
            <w:pPr>
              <w:spacing w:after="30" w:line="259" w:lineRule="auto"/>
              <w:rPr>
                <w:i w:val="1"/>
                <w:iCs w:val="1"/>
                <w:color w:val="5f6673"/>
                <w:sz w:val="18"/>
                <w:szCs w:val="18"/>
              </w:rPr>
            </w:pPr>
            <w:r w:rsidDel="00000000" w:rsidR="00000000" w:rsidRPr="00000000">
              <w:rPr>
                <w:rtl w:val="0"/>
              </w:rPr>
            </w:r>
          </w:p>
          <w:p w:rsidR="00000000" w:rsidDel="00000000" w:rsidP="00000000" w:rsidRDefault="00000000" w:rsidRPr="00000000" w14:paraId="00000029">
            <w:pPr>
              <w:spacing w:after="30" w:line="259" w:lineRule="auto"/>
              <w:rPr>
                <w:i w:val="1"/>
                <w:iCs w:val="1"/>
                <w:color w:val="5f6673"/>
                <w:sz w:val="18"/>
                <w:szCs w:val="18"/>
              </w:rPr>
            </w:pPr>
            <w:r w:rsidDel="00000000" w:rsidR="00000000" w:rsidRPr="00000000">
              <w:rPr>
                <w:i w:val="1"/>
                <w:iCs w:val="1"/>
                <w:color w:val="5f6673"/>
                <w:sz w:val="18"/>
                <w:szCs w:val="18"/>
                <w:rtl w:val="0"/>
              </w:rPr>
              <w:t xml:space="preserve">Mader, S. S. (2024). Biología. McGraw-Hill.</w:t>
            </w:r>
          </w:p>
          <w:p w:rsidR="00000000" w:rsidDel="00000000" w:rsidP="00000000" w:rsidRDefault="00000000" w:rsidRPr="00000000" w14:paraId="0000002A">
            <w:pPr>
              <w:spacing w:after="30" w:line="259" w:lineRule="auto"/>
              <w:rPr>
                <w:i w:val="1"/>
                <w:iCs w:val="1"/>
                <w:color w:val="5f6673"/>
                <w:sz w:val="18"/>
                <w:szCs w:val="18"/>
              </w:rPr>
            </w:pPr>
            <w:r w:rsidDel="00000000" w:rsidR="00000000" w:rsidRPr="00000000">
              <w:rPr>
                <w:rtl w:val="0"/>
              </w:rPr>
            </w:r>
          </w:p>
          <w:p w:rsidR="00000000" w:rsidDel="00000000" w:rsidP="00000000" w:rsidRDefault="00000000" w:rsidRPr="00000000" w14:paraId="0000002B">
            <w:pPr>
              <w:spacing w:after="30" w:line="259" w:lineRule="auto"/>
              <w:rPr/>
            </w:pPr>
            <w:r w:rsidDel="00000000" w:rsidR="00000000" w:rsidRPr="00000000">
              <w:rPr>
                <w:i w:val="1"/>
                <w:iCs w:val="1"/>
                <w:color w:val="5f6673"/>
                <w:sz w:val="18"/>
                <w:szCs w:val="18"/>
                <w:rtl w:val="0"/>
              </w:rPr>
              <w:t xml:space="preserve">López Juárez, F. (2023). Explorando la biología con enlaces virtuales: (1 ed.). Grupo Editorial Éxodo.</w:t>
            </w:r>
            <w:r w:rsidDel="00000000" w:rsidR="00000000" w:rsidRPr="00000000">
              <w:rPr>
                <w:rtl w:val="0"/>
              </w:rPr>
            </w:r>
          </w:p>
        </w:tc>
      </w:tr>
    </w:tbl>
    <w:p w:rsidR="00000000" w:rsidDel="00000000" w:rsidP="00000000" w:rsidRDefault="00000000" w:rsidRPr="00000000" w14:paraId="0000002C">
      <w:pPr>
        <w:spacing w:after="40" w:line="72" w:lineRule="auto"/>
        <w:rPr/>
      </w:pPr>
      <w:r w:rsidDel="00000000" w:rsidR="00000000" w:rsidRPr="00000000">
        <w:rPr>
          <w:rtl w:val="0"/>
        </w:rPr>
      </w:r>
    </w:p>
    <w:p w:rsidR="00000000" w:rsidDel="00000000" w:rsidP="00000000" w:rsidRDefault="00000000" w:rsidRPr="00000000" w14:paraId="0000002D">
      <w:pPr>
        <w:pStyle w:val="Heading3"/>
        <w:numPr>
          <w:ilvl w:val="1"/>
          <w:numId w:val="5"/>
        </w:numPr>
        <w:spacing w:after="100" w:before="200" w:line="300" w:lineRule="auto"/>
        <w:ind w:left="792" w:hanging="432"/>
        <w:rPr>
          <w:color w:val="169ed0"/>
          <w:sz w:val="24"/>
          <w:szCs w:val="24"/>
        </w:rPr>
      </w:pPr>
      <w:r w:rsidDel="00000000" w:rsidR="00000000" w:rsidRPr="00000000">
        <w:rPr>
          <w:color w:val="169ed0"/>
          <w:sz w:val="24"/>
          <w:szCs w:val="24"/>
          <w:rtl w:val="0"/>
        </w:rPr>
        <w:t xml:space="preserve">Introducción y contextualización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27313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7313b"/>
          <w:sz w:val="24"/>
          <w:szCs w:val="24"/>
          <w:u w:val="none"/>
          <w:shd w:fill="auto" w:val="clear"/>
          <w:vertAlign w:val="baseline"/>
          <w:rtl w:val="0"/>
        </w:rPr>
        <w:t xml:space="preserve">Bienvenido a la Unidad 1. En este módulo iniciarás el estudio de la biología desde una perspectiva aplicada a la agroindustria. El propósito no es aprender una colección de términos aislados, sino comprender cómo la organización de los seres vivos, el funcionamiento de las células y las transformaciones de materia y energía explican fenómenos presentes en cultivos, materias primas, microorganismos, alimentos y procesos de transformación.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27313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7313b"/>
          <w:sz w:val="24"/>
          <w:szCs w:val="24"/>
          <w:u w:val="none"/>
          <w:shd w:fill="auto" w:val="clear"/>
          <w:vertAlign w:val="baseline"/>
          <w:rtl w:val="0"/>
        </w:rPr>
        <w:t xml:space="preserve">La biología celular proporciona las bases para comprender a los seres vivos como sistemas organizados, en los que la célula constituye la unidad estructural y funcional fundamental. Pérez (2013) describe los niveles de organización biológica, desde los átomos y las moléculas hasta los ecosistemas y la biosfera, lo que permite comprender la relación entre las diferentes escalas de la vida y su aplicación en los procesos agroindustriales.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bCs w:val="0"/>
          <w:i w:val="0"/>
          <w:iCs w:val="0"/>
          <w:smallCaps w:val="0"/>
          <w:strike w:val="0"/>
          <w:color w:val="27313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27313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7313b"/>
          <w:sz w:val="24"/>
          <w:szCs w:val="24"/>
          <w:u w:val="none"/>
          <w:shd w:fill="auto" w:val="clear"/>
          <w:vertAlign w:val="baseline"/>
          <w:rtl w:val="0"/>
        </w:rPr>
        <w:t xml:space="preserve">Comprender estas relaciones es importante porque las decisiones agroindustriales ocurren sobre sistemas vivos o sobre productos que provienen de ellos. Una semilla que germina, una fruta que madura, una levadura que fermenta un sustrato o un tejido vegetal que pierde agua responden a procesos celulares y moleculares. Por ello, conocer las características de las células, sus componentes y sus funciones permite interpretar mejores cambios que afectan la calidad, la productividad, la conservación y el aprovechamiento de los recursos. La teoría celular sostiene que los organismos están formados por una o más células y que la célula constituye su unidad estructural y funcional; esta idea organiza buena parte del estudio posterior de la biología (Pérez, 2013).</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rFonts w:ascii="Arial" w:cs="Arial" w:eastAsia="Arial" w:hAnsi="Arial"/>
          <w:b w:val="0"/>
          <w:bCs w:val="0"/>
          <w:i w:val="0"/>
          <w:iCs w:val="0"/>
          <w:smallCaps w:val="0"/>
          <w:strike w:val="0"/>
          <w:color w:val="27313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b w:val="0"/>
          <w:bCs w:val="0"/>
          <w:i w:val="0"/>
          <w:iCs w:val="0"/>
          <w:smallCaps w:val="0"/>
          <w:strike w:val="0"/>
          <w:color w:val="27313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7313b"/>
          <w:sz w:val="24"/>
          <w:szCs w:val="24"/>
          <w:u w:val="none"/>
          <w:shd w:fill="auto" w:val="clear"/>
          <w:vertAlign w:val="baseline"/>
          <w:rtl w:val="0"/>
        </w:rPr>
        <w:t xml:space="preserve">También estudiarás las biomoléculas que forman parte de la materia viva. Mader (2024) agrupa las principales moléculas orgánicas celulares en carbohidratos, lípidos, proteínas y ácidos nucleicos, cuyas estructuras y funciones permiten comprender desde el almacenamiento de energía hasta la formación de membranas, enzimas y material genético. Esta base te ayudará a interpretar por qué una modificación en temperatura, pH, disponibilidad de oxígeno o composición del sustrato puede alterar un proceso biológico y, por extensión, un proceso agroindustrial.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b w:val="0"/>
          <w:bCs w:val="0"/>
          <w:i w:val="0"/>
          <w:iCs w:val="0"/>
          <w:smallCaps w:val="0"/>
          <w:strike w:val="0"/>
          <w:color w:val="27313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b w:val="0"/>
          <w:bCs w:val="0"/>
          <w:i w:val="0"/>
          <w:iCs w:val="0"/>
          <w:smallCaps w:val="0"/>
          <w:strike w:val="0"/>
          <w:color w:val="27313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7313b"/>
          <w:sz w:val="24"/>
          <w:szCs w:val="24"/>
          <w:u w:val="none"/>
          <w:shd w:fill="auto" w:val="clear"/>
          <w:vertAlign w:val="baseline"/>
          <w:rtl w:val="0"/>
        </w:rPr>
        <w:t xml:space="preserve">El módulo se relaciona de manera directa con el RAC 1 porque te orienta a describir y analizar estructuras y funciones biológicas y a transferir ese conocimiento a problemas de producción y gestión agroindustrial. Al mismo tiempo, prepara el RAC 2 al introducir relaciones entre procesos biológicos, ambiente, sostenibilidad y uso responsable de recursos. La mirada ecológica permite comprender que los organismos no funcionan de manera aislada: interactúan con componentes del ambiente y forman sistemas en los que productores, consumidores y descomponedores mantienen relaciones de intercambio (Pallotti Sagripanti &amp; Sanchis Duato, 2020).</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rFonts w:ascii="Arial" w:cs="Arial" w:eastAsia="Arial" w:hAnsi="Arial"/>
          <w:b w:val="0"/>
          <w:bCs w:val="0"/>
          <w:i w:val="0"/>
          <w:iCs w:val="0"/>
          <w:smallCaps w:val="0"/>
          <w:strike w:val="0"/>
          <w:color w:val="27313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27313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7313b"/>
          <w:sz w:val="24"/>
          <w:szCs w:val="24"/>
          <w:u w:val="none"/>
          <w:shd w:fill="auto" w:val="clear"/>
          <w:vertAlign w:val="baseline"/>
          <w:rtl w:val="0"/>
        </w:rPr>
        <w:t xml:space="preserve">En el campo profesional podrás aplicar estos conocimientos al interpretar fermentaciones, maduración y conservación de productos; reconocer el papel de microorganismos en procesos productivos; relacionar fotosíntesis y producción vegetal; analizar condiciones que favorecen o limitan transformaciones biológicas; y valorar alternativas de biotecnología y sostenibilidad. Los ODS 2, 12, 13 y 15 ofrecen un marco para conectar la producción agroindustrial con seguridad alimentaria, producción y consumo responsables, acción climática y protección de ecosistemas terrestres.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bCs w:val="0"/>
          <w:i w:val="0"/>
          <w:iCs w:val="0"/>
          <w:smallCaps w:val="0"/>
          <w:strike w:val="0"/>
          <w:color w:val="27313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27313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7313b"/>
          <w:sz w:val="24"/>
          <w:szCs w:val="24"/>
          <w:u w:val="none"/>
          <w:shd w:fill="auto" w:val="clear"/>
          <w:vertAlign w:val="baseline"/>
          <w:rtl w:val="0"/>
        </w:rPr>
        <w:t xml:space="preserve">Durante el estudio, asume un papel activo en tu aprendizaje: compara conceptos, explícalos con tus propias palabras, establece relaciones entre los diferentes niveles de organización biológica y analiza ejemplos vinculados con la agroindustria. Cuando encuentres un término desconocido, consulta el glosario. Más que memorizar información, procura comprender las relaciones entre estructura y función, así como entre causa y efecto. Podrás evidenciar tu aprendizaje cuando seas capaz de explicar un proceso biológico y relacionarlo de manera fundamentada con una situación del contexto agroindustrial.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1"/>
          <w:bCs w:val="1"/>
          <w:i w:val="0"/>
          <w:iCs w:val="0"/>
          <w:smallCaps w:val="0"/>
          <w:strike w:val="0"/>
          <w:color w:val="27313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7313b"/>
          <w:sz w:val="24"/>
          <w:szCs w:val="24"/>
          <w:u w:val="none"/>
          <w:shd w:fill="auto" w:val="clear"/>
          <w:vertAlign w:val="baseline"/>
          <w:rtl w:val="0"/>
        </w:rPr>
        <w:t xml:space="preserve">Pregunta problematizadora: </w:t>
      </w:r>
      <w:r w:rsidDel="00000000" w:rsidR="00000000" w:rsidRPr="00000000">
        <w:rPr>
          <w:rFonts w:ascii="Arial" w:cs="Arial" w:eastAsia="Arial" w:hAnsi="Arial"/>
          <w:b w:val="0"/>
          <w:bCs w:val="0"/>
          <w:i w:val="0"/>
          <w:iCs w:val="0"/>
          <w:smallCaps w:val="0"/>
          <w:strike w:val="0"/>
          <w:color w:val="27313b"/>
          <w:sz w:val="24"/>
          <w:szCs w:val="24"/>
          <w:u w:val="none"/>
          <w:shd w:fill="auto" w:val="clear"/>
          <w:vertAlign w:val="baseline"/>
          <w:rtl w:val="0"/>
        </w:rPr>
        <w:t xml:space="preserve">¿cómo puede el conocimiento de la célula, las biomoléculas y el metabolismo ayudar a tomar mejores decisiones sobre producción, transformación, conservación y sostenibilidad en una organización agroindustrial?</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4"/>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f2f4f7" w:val="clear"/>
            <w:tcMar>
              <w:top w:w="100.0" w:type="dxa"/>
              <w:left w:w="120.0" w:type="dxa"/>
              <w:bottom w:w="100.0" w:type="dxa"/>
              <w:right w:w="120.0" w:type="dxa"/>
            </w:tcMar>
            <w:vAlign w:val="center"/>
          </w:tcPr>
          <w:p w:rsidR="00000000" w:rsidDel="00000000" w:rsidP="00000000" w:rsidRDefault="00000000" w:rsidRPr="00000000" w14:paraId="0000003D">
            <w:pPr>
              <w:spacing w:after="40" w:lineRule="auto"/>
              <w:rPr/>
            </w:pPr>
            <w:bookmarkStart w:colFirst="0" w:colLast="0" w:name="_heading=h.1a9gzgaae1wg" w:id="0"/>
            <w:bookmarkEnd w:id="0"/>
            <w:r w:rsidDel="00000000" w:rsidR="00000000" w:rsidRPr="00000000">
              <w:rPr>
                <w:b w:val="1"/>
                <w:bCs w:val="1"/>
                <w:color w:val="1f5a94"/>
                <w:sz w:val="18"/>
                <w:szCs w:val="18"/>
                <w:rtl w:val="0"/>
              </w:rPr>
              <w:t xml:space="preserve">EXTENSIÓN SUGERIDA</w:t>
            </w:r>
            <w:r w:rsidDel="00000000" w:rsidR="00000000" w:rsidRPr="00000000">
              <w:rPr>
                <w:rtl w:val="0"/>
              </w:rPr>
            </w:r>
          </w:p>
          <w:p w:rsidR="00000000" w:rsidDel="00000000" w:rsidP="00000000" w:rsidRDefault="00000000" w:rsidRPr="00000000" w14:paraId="0000003E">
            <w:pPr>
              <w:spacing w:after="0" w:line="276" w:lineRule="auto"/>
              <w:rPr/>
            </w:pPr>
            <w:r w:rsidDel="00000000" w:rsidR="00000000" w:rsidRPr="00000000">
              <w:rPr>
                <w:sz w:val="20"/>
                <w:szCs w:val="20"/>
                <w:rtl w:val="0"/>
              </w:rPr>
              <w:t xml:space="preserve">Entre 500 y 800 palabras, ajustadas a la complejidad del módulo y sin anticipar el desarrollo completo de los temas.</w:t>
            </w:r>
            <w:r w:rsidDel="00000000" w:rsidR="00000000" w:rsidRPr="00000000">
              <w:rPr>
                <w:rtl w:val="0"/>
              </w:rPr>
            </w:r>
          </w:p>
        </w:tc>
      </w:tr>
    </w:tbl>
    <w:p w:rsidR="00000000" w:rsidDel="00000000" w:rsidP="00000000" w:rsidRDefault="00000000" w:rsidRPr="00000000" w14:paraId="0000003F">
      <w:pPr>
        <w:spacing w:after="40" w:line="72" w:lineRule="auto"/>
        <w:rPr/>
      </w:pPr>
      <w:r w:rsidDel="00000000" w:rsidR="00000000" w:rsidRPr="00000000">
        <w:rPr>
          <w:rtl w:val="0"/>
        </w:rPr>
      </w:r>
    </w:p>
    <w:p w:rsidR="00000000" w:rsidDel="00000000" w:rsidP="00000000" w:rsidRDefault="00000000" w:rsidRPr="00000000" w14:paraId="00000040">
      <w:pPr>
        <w:pStyle w:val="Heading3"/>
        <w:numPr>
          <w:ilvl w:val="1"/>
          <w:numId w:val="5"/>
        </w:numPr>
        <w:spacing w:after="100" w:before="200" w:line="300" w:lineRule="auto"/>
        <w:ind w:left="792" w:hanging="432"/>
        <w:rPr>
          <w:color w:val="169ed0"/>
          <w:sz w:val="24"/>
          <w:szCs w:val="24"/>
        </w:rPr>
      </w:pPr>
      <w:r w:rsidDel="00000000" w:rsidR="00000000" w:rsidRPr="00000000">
        <w:rPr>
          <w:color w:val="169ed0"/>
          <w:sz w:val="24"/>
          <w:szCs w:val="24"/>
          <w:rtl w:val="0"/>
        </w:rPr>
        <w:t xml:space="preserve">Objetivos y competencias de aprendizaje</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Describir la importancia de la biología aplicada en la comprensión de procesos productivos y de gestión agroindustrial.</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Relacionar los campos de la biotecnología, la microbiología y la sostenibilidad con situaciones propias de la agroindustria.</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Comparar la estructura y función de células procariotas y eucariotas, diferenciando células vegetales, animales y microbianas.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Interpretar la función de organelos y estructuras celulares en procesos de intercambio, síntesis, obtención de energía y regulación.</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Analizar la composición y función de carbohidratos, lípidos, proteínas y ácidos nucleicos en sistemas biológicos de interés agroindustrial.</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Diferenciar procesos anabólicos y catabólicos y relacionarlos con fotosíntesis, respiración celular y fermentación.</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Aplicar conceptos celulares y metabólicos al análisis de fermentaciones, maduración y conservación de productos agroindustriales.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Analizar relaciones entre procesos biológicos, producción agroindustrial y sostenibilidad, tomando como referencia los ODS 2, 12, 13 y 15.</w:t>
      </w:r>
    </w:p>
    <w:p w:rsidR="00000000" w:rsidDel="00000000" w:rsidP="00000000" w:rsidRDefault="00000000" w:rsidRPr="00000000" w14:paraId="00000049">
      <w:pPr>
        <w:pStyle w:val="Heading3"/>
        <w:numPr>
          <w:ilvl w:val="1"/>
          <w:numId w:val="5"/>
        </w:numPr>
        <w:spacing w:after="100" w:before="200" w:line="300" w:lineRule="auto"/>
        <w:ind w:left="792" w:hanging="432"/>
        <w:rPr>
          <w:color w:val="169ed0"/>
          <w:sz w:val="24"/>
          <w:szCs w:val="24"/>
        </w:rPr>
      </w:pPr>
      <w:r w:rsidDel="00000000" w:rsidR="00000000" w:rsidRPr="00000000">
        <w:rPr>
          <w:color w:val="169ed0"/>
          <w:sz w:val="24"/>
          <w:szCs w:val="24"/>
          <w:rtl w:val="0"/>
        </w:rPr>
        <w:t xml:space="preserve">Desarrollo temático</w:t>
      </w:r>
    </w:p>
    <w:p w:rsidR="00000000" w:rsidDel="00000000" w:rsidP="00000000" w:rsidRDefault="00000000" w:rsidRPr="00000000" w14:paraId="0000004A">
      <w:pPr>
        <w:pStyle w:val="Heading2"/>
        <w:spacing w:line="360" w:lineRule="auto"/>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Presentación e introducción a la Biología Aplicada.</w:t>
      </w:r>
    </w:p>
    <w:p w:rsidR="00000000" w:rsidDel="00000000" w:rsidP="00000000" w:rsidRDefault="00000000" w:rsidRPr="00000000" w14:paraId="0000004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biología estudia la vida en diferentes niveles de organización. Para el tecnólogo agroindustrial, esta mirada resulta especialmente útil porque un mismo problema puede involucrar moléculas, células, organismos, poblaciones y ecosistemas. Pérez (2013) organiza estos niveles de manera jerárquica e incluye, entre otros, átomos, moléculas, organelos, células, tejidos, órganos, individuos, poblaciones, comunidades, ecosistemas y biosfera. Comprender la escala en la que ocurre un fenómeno ayuda a formular mejores preguntas y evita atribuir una causa celular a un problema que puede depender del ambiente, o viceversa.</w:t>
      </w:r>
    </w:p>
    <w:p w:rsidR="00000000" w:rsidDel="00000000" w:rsidP="00000000" w:rsidRDefault="00000000" w:rsidRPr="00000000" w14:paraId="0000004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agroindustria, la biología aplicada permite interpretar fenómenos que acompañan la producción primaria y la transformación: crecimiento vegetal, actividad microbiana, cambios en tejidos, degradación de moléculas, producción de metabolitos y respuesta de organismos a condiciones ambientales. Por esta razón, la biología se conecta con la microbiología, la biotecnología y la sostenibilidad. Estas áreas no deben entenderse como compartimentos aislados, sino como perspectivas complementarias para analizar sistemas productivos.</w:t>
      </w:r>
    </w:p>
    <w:p w:rsidR="00000000" w:rsidDel="00000000" w:rsidP="00000000" w:rsidRDefault="00000000" w:rsidRPr="00000000" w14:paraId="0000004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biotecnología aprovecha organismos, células o componentes biológicos para desarrollar productos y mejorar procesos, mientras que la microbiología permite comprender la participación de bacterias, hongos y otros microorganismos en transformaciones de interés agroindustrial y en procesos que pueden afectar la calidad de los productos. Estos conocimientos se complementan con la sostenibilidad, que amplía el análisis hacia el uso responsable de los recursos, la generación de residuos, la biodiversidad y las relaciones ecológicas. En este sentido, Pallotti Sagripanti y Sanchis Duato (2020) señalan que los ecosistemas están conformados por componentes bióticos y abióticos que mantienen relaciones entre sí, aspecto fundamental para comprender la interacción entre la actividad agroindustrial y su entorno.</w:t>
      </w:r>
    </w:p>
    <w:p w:rsidR="00000000" w:rsidDel="00000000" w:rsidP="00000000" w:rsidRDefault="00000000" w:rsidRPr="00000000" w14:paraId="0000004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partir de estos fundamentos, es posible reconocer cómo los conocimientos biológicos se integran en situaciones concretas del ámbito agroindustrial. </w:t>
      </w:r>
    </w:p>
    <w:p w:rsidR="00000000" w:rsidDel="00000000" w:rsidP="00000000" w:rsidRDefault="00000000" w:rsidRPr="00000000" w14:paraId="0000004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su aplicación profesional, estos conocimientos permiten al tecnólogo analizar situaciones propias de los procesos productivos y tomar decisiones fundamentadas. Por ejemplo, en una planta de transformación de frutas puede ser necesario comprender la maduración del tejido vegetal, controlar la actividad de microorganismos, seleccionar condiciones adecuadas de almacenamiento y valorar alternativas para el aprovechamiento de subproductos. De esta manera, cada decisión requiere integrar conocimientos biológicos con la consideración de sus implicaciones productivas y ambientales.</w:t>
      </w:r>
    </w:p>
    <w:p w:rsidR="00000000" w:rsidDel="00000000" w:rsidP="00000000" w:rsidRDefault="00000000" w:rsidRPr="00000000" w14:paraId="0000005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perspectiva también permite vincular los conocimientos biológicos con los desafíos de la sostenibilidad planteados en los Objetivos de Desarrollo Sostenible (ODS). En esta unidad, los ODS 2, 12, 13 y 15 se incorporan como referentes para analizar situaciones del contexto agroindustrial y formular preguntas relacionadas con los procesos productivos: ¿contribuyen a una producción alimentaria más eficiente?, ¿favorecen la reducción de pérdidas y residuos?, ¿consideran los posibles impactos sobre el clima?, ¿promueven la protección del suelo, la biodiversidad y los ecosistemas? Su incorporación no busca la memorización de los ODS, sino su utilización como un marco de referencia para relacionar los conocimientos biológicos y las decisiones productivas con criterios de sostenibilidad.</w:t>
      </w:r>
    </w:p>
    <w:p w:rsidR="00000000" w:rsidDel="00000000" w:rsidP="00000000" w:rsidRDefault="00000000" w:rsidRPr="00000000" w14:paraId="0000005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Recomendación de estudio. Antes de continuar, elabora una lista de tres procesos agroindustriales que conozcas. Para cada uno, identifica qué seres vivos o materiales biológicos intervienen y qué pregunta biológica necesitarías responder para comprender mejor el proceso.</w:t>
      </w:r>
    </w:p>
    <w:p w:rsidR="00000000" w:rsidDel="00000000" w:rsidP="00000000" w:rsidRDefault="00000000" w:rsidRPr="00000000" w14:paraId="00000052">
      <w:pPr>
        <w:pStyle w:val="Heading2"/>
        <w:numPr>
          <w:ilvl w:val="0"/>
          <w:numId w:val="3"/>
        </w:numPr>
        <w:spacing w:line="360" w:lineRule="auto"/>
        <w:ind w:left="720" w:hanging="360"/>
        <w:jc w:val="both"/>
        <w:rPr>
          <w:sz w:val="24"/>
          <w:szCs w:val="24"/>
        </w:rPr>
      </w:pPr>
      <w:r w:rsidDel="00000000" w:rsidR="00000000" w:rsidRPr="00000000">
        <w:rPr>
          <w:rFonts w:ascii="Arial" w:cs="Arial" w:eastAsia="Arial" w:hAnsi="Arial"/>
          <w:sz w:val="24"/>
          <w:szCs w:val="24"/>
          <w:rtl w:val="0"/>
        </w:rPr>
        <w:t xml:space="preserve">Rol del tecnólogo agroindustrial en los procesos biológicos productivos.</w:t>
      </w:r>
    </w:p>
    <w:p w:rsidR="00000000" w:rsidDel="00000000" w:rsidP="00000000" w:rsidRDefault="00000000" w:rsidRPr="00000000" w14:paraId="0000005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rol del tecnólogo agroindustrial exige observar procesos, interpretar información y participar en decisiones de producción y gestión. Desde la biología aplicada, esto implica reconocer que muchas variables de proceso modifican sistemas vivos o productos de origen biológico. Temperatura, humedad, pH, oxígeno, disponibilidad de nutrientes y tiempo pueden influir en reacciones metabólicas, crecimiento celular o estabilidad de materiales biológicos.</w:t>
      </w:r>
    </w:p>
    <w:p w:rsidR="00000000" w:rsidDel="00000000" w:rsidP="00000000" w:rsidRDefault="00000000" w:rsidRPr="00000000" w14:paraId="0000005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consecuencia, el profesional debe aprender a formular relaciones justificadas. No basta afirmar que 'la temperatura afecta un alimento'; es necesario precisar qué proceso puede cambiar, qué estructura o reacción está implicada y qué evidencia permitiría sostener la interpretación. Esta forma de razonamiento será retomada en los casos del módulo y constituye un puente entre el RAC 1 y el análisis de situaciones del RAC 2.</w:t>
      </w:r>
    </w:p>
    <w:p w:rsidR="00000000" w:rsidDel="00000000" w:rsidP="00000000" w:rsidRDefault="00000000" w:rsidRPr="00000000" w14:paraId="0000005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Limitación importante. Los conceptos biológicos permiten orientar el análisis, pero no reemplazan mediciones, ensayos microbiológicos, análisis fisicoquímicos ni protocolos de control cuando estos son necesarios. </w:t>
      </w:r>
    </w:p>
    <w:p w:rsidR="00000000" w:rsidDel="00000000" w:rsidP="00000000" w:rsidRDefault="00000000" w:rsidRPr="00000000" w14:paraId="000000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trabajo profesional, una explicación conceptual debe distinguirse de una confirmación experimental.</w:t>
      </w:r>
    </w:p>
    <w:p w:rsidR="00000000" w:rsidDel="00000000" w:rsidP="00000000" w:rsidRDefault="00000000" w:rsidRPr="00000000" w14:paraId="00000057">
      <w:pPr>
        <w:pStyle w:val="Heading2"/>
        <w:numPr>
          <w:ilvl w:val="0"/>
          <w:numId w:val="3"/>
        </w:numPr>
        <w:spacing w:line="360" w:lineRule="auto"/>
        <w:ind w:left="720" w:hanging="360"/>
        <w:jc w:val="both"/>
        <w:rPr>
          <w:sz w:val="24"/>
          <w:szCs w:val="24"/>
        </w:rPr>
      </w:pPr>
      <w:r w:rsidDel="00000000" w:rsidR="00000000" w:rsidRPr="00000000">
        <w:rPr>
          <w:rFonts w:ascii="Arial" w:cs="Arial" w:eastAsia="Arial" w:hAnsi="Arial"/>
          <w:sz w:val="24"/>
          <w:szCs w:val="24"/>
          <w:rtl w:val="0"/>
        </w:rPr>
        <w:t xml:space="preserve">La célula como unidad de vida.</w:t>
      </w:r>
    </w:p>
    <w:p w:rsidR="00000000" w:rsidDel="00000000" w:rsidP="00000000" w:rsidRDefault="00000000" w:rsidRPr="00000000" w14:paraId="0000005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célula constituye una referencia central para comprender la vida. Pérez (2013) resume los principios de la teoría celular señalando que los organismos vivos están compuestos por una o más células, que la célula es la unidad estructural y funcional de los seres vivos y que las células se originan a partir de células preexistentes. Estos principios permiten entender por qué el estudio de la célula es relevante para plantas, animales y microorganismos.</w:t>
      </w:r>
    </w:p>
    <w:p w:rsidR="00000000" w:rsidDel="00000000" w:rsidP="00000000" w:rsidRDefault="00000000" w:rsidRPr="00000000" w14:paraId="0000005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 la microscopía fue decisivo para el conocimiento celular. El texto de Pérez (2013) destaca el microscopio óptico y los microscopios electrónicos como instrumentos que ampliaron la capacidad de observar estructuras biológicas. Esta idea es útil para el aprendizaje: muchas estructuras que estudiarás son demasiado pequeñas para observarse a simple vista, por lo que los modelos, micrografías y simulaciones deben interpretarse como representaciones basadas en técnicas de observación.</w:t>
      </w:r>
    </w:p>
    <w:p w:rsidR="00000000" w:rsidDel="00000000" w:rsidP="00000000" w:rsidRDefault="00000000" w:rsidRPr="00000000" w14:paraId="0000005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células procariotas, como las bacterias, presentan una organización más simple y no poseen un núcleo delimitado por membrana. Las células eucariotas poseen compartimentos membranosos y un núcleo que contiene el material genético. Dentro de las eucariotas, las células vegetales y animales comparten numerosas estructuras, pero difieren en componentes vinculados con sus funciones. La célula vegetal, por ejemplo, se relaciona con procesos fotosintéticos y posee estructuras especializadas para ello.</w:t>
      </w:r>
    </w:p>
    <w:p w:rsidR="00000000" w:rsidDel="00000000" w:rsidP="00000000" w:rsidRDefault="00000000" w:rsidRPr="00000000" w14:paraId="0000005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las estructuras que conviene reconocer se encuentran la membrana plasmática, el citoplasma, los ribosomas y el material genético; en células eucariotas también se estudian núcleo, mitocondrias, retículo endoplasmático, aparato de Golgi y otros organelos. En células vegetales cobran especial importancia los cloroplastos, la pared celular y las vacuolas. La comprensión debe centrarse en la relación estructura y función: qué permite hacer cada componente y cómo contribuye al funcionamiento integrado de la célula.</w:t>
      </w:r>
    </w:p>
    <w:p w:rsidR="00000000" w:rsidDel="00000000" w:rsidP="00000000" w:rsidRDefault="00000000" w:rsidRPr="00000000" w14:paraId="0000005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correlación entre estructura y función puede comprenderse con mayor claridad al analizar la composición de la membrana plasmática.</w:t>
      </w:r>
    </w:p>
    <w:p w:rsidR="00000000" w:rsidDel="00000000" w:rsidP="00000000" w:rsidRDefault="00000000" w:rsidRPr="00000000" w14:paraId="0000005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Mader (2024) explica que los fosfolípidos, por su organización con regiones hidrofílicas e hidrofóbicas, forman una bicapa que constituye un componente principal de la membrana plasmática. Esta relación entre propiedades moleculares y estructura celular es un ejemplo de cómo los niveles de organización se conectan.</w:t>
      </w:r>
    </w:p>
    <w:p w:rsidR="00000000" w:rsidDel="00000000" w:rsidP="00000000" w:rsidRDefault="00000000" w:rsidRPr="00000000" w14:paraId="0000005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relación puede observarse también en situaciones propias de los procesos agroindustriales.</w:t>
      </w:r>
    </w:p>
    <w:p w:rsidR="00000000" w:rsidDel="00000000" w:rsidP="00000000" w:rsidRDefault="00000000" w:rsidRPr="00000000" w14:paraId="0000005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 agroindustrial. Durante el procesamiento de un tejido vegetal, cambios físicos o químicos pueden alterar membranas y estructuras celulares. Esa alteración puede modificar textura, liberación de agua o exposición de componentes internos. Para analizar el fenómeno, conviene preguntar: ¿qué estructura celular está siendo afectada?, ¿qué función cumple?, ¿qué variable del proceso podría modificarla?</w:t>
      </w:r>
    </w:p>
    <w:p w:rsidR="00000000" w:rsidDel="00000000" w:rsidP="00000000" w:rsidRDefault="00000000" w:rsidRPr="00000000" w14:paraId="0000006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Observación virtual o práctica. Al revisar imágenes microscópicas o el video de práctica propuesto, identifica primero la escala de observación; luego localiza límites celulares, forma general y estructuras distinguibles; finalmente compara dos tipos celulares. Evita 'ver lo que esperas ver': registra únicamente estructuras que puedan reconocerse en la imagen y diferencia observación de interpretación.</w:t>
      </w:r>
    </w:p>
    <w:p w:rsidR="00000000" w:rsidDel="00000000" w:rsidP="00000000" w:rsidRDefault="00000000" w:rsidRPr="00000000" w14:paraId="00000061">
      <w:pPr>
        <w:pStyle w:val="Heading2"/>
        <w:numPr>
          <w:ilvl w:val="0"/>
          <w:numId w:val="3"/>
        </w:numPr>
        <w:spacing w:line="360" w:lineRule="auto"/>
        <w:ind w:left="720" w:hanging="360"/>
        <w:jc w:val="both"/>
        <w:rPr>
          <w:sz w:val="24"/>
          <w:szCs w:val="24"/>
        </w:rPr>
      </w:pPr>
      <w:r w:rsidDel="00000000" w:rsidR="00000000" w:rsidRPr="00000000">
        <w:rPr>
          <w:rFonts w:ascii="Arial" w:cs="Arial" w:eastAsia="Arial" w:hAnsi="Arial"/>
          <w:sz w:val="24"/>
          <w:szCs w:val="24"/>
          <w:rtl w:val="0"/>
        </w:rPr>
        <w:t xml:space="preserve">Biomoléculas: composición química y función.</w:t>
      </w:r>
    </w:p>
    <w:p w:rsidR="00000000" w:rsidDel="00000000" w:rsidP="00000000" w:rsidRDefault="00000000" w:rsidRPr="00000000" w14:paraId="0000006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células contienen cuatro grandes clases de moléculas orgánicas: carbohidratos, lípidos, proteínas y ácidos nucleicos. Mader (2024) señala que estas biomoléculas presentan funciones diversas y que buena parte de su variedad se relaciona con las propiedades del carbono. Para el análisis agroindustrial interesa comprender no solo su nombre, sino qué propiedades aportan a materias primas y sistemas biológicos.</w:t>
      </w:r>
    </w:p>
    <w:p w:rsidR="00000000" w:rsidDel="00000000" w:rsidP="00000000" w:rsidRDefault="00000000" w:rsidRPr="00000000" w14:paraId="0000006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Carbohidratos. Los monosacáridos son azúcares simples; la glucosa constituye una fuente importante de combustible celular. Los polisacáridos pueden participar en almacenamiento o estructura. En plantas, el almidón almacena glucosa y la celulosa cumple una función estructural; estas diferencias ayudan a interpretar propiedades de materias primas vegetales y su transformación (Mader, 2024).</w:t>
      </w:r>
    </w:p>
    <w:p w:rsidR="00000000" w:rsidDel="00000000" w:rsidP="00000000" w:rsidRDefault="00000000" w:rsidRPr="00000000" w14:paraId="0000006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Lípidos. Incluyen moléculas con funciones de almacenamiento energético y componentes de membrana. Los fosfolípidos poseen una organización que favorece la formación de bicapas en medios acuosos, por lo que resultan esenciales para la estructura celular. Comprender su comportamiento permite relacionar composición molecular con estabilidad de membranas y propiedades de materiales biológicos (Mader, 2024).</w:t>
      </w:r>
    </w:p>
    <w:p w:rsidR="00000000" w:rsidDel="00000000" w:rsidP="00000000" w:rsidRDefault="00000000" w:rsidRPr="00000000" w14:paraId="0000006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Proteínas. Cumplen funciones estructurales, de transporte, regulación y catálisis. Las enzimas son proteínas que aceleran reacciones y su funcionamiento depende de condiciones como temperatura y pH. Mader (2024) advierte que cambios en estas condiciones pueden alterar la forma de una proteína y afectar su función. En agroindustria, esta relación es clave para interpretar procesos en los que la actividad enzimática modifica color, textura, aroma o velocidad de transformación.</w:t>
      </w:r>
    </w:p>
    <w:p w:rsidR="00000000" w:rsidDel="00000000" w:rsidP="00000000" w:rsidRDefault="00000000" w:rsidRPr="00000000" w14:paraId="0000006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Ácidos nucleicos. ADN y ARN participan en el almacenamiento y uso de información biológica. Mader (2024) explica que los nucleótidos constituyen estas moléculas y que el ATP, también un nucleótido, almacena energía utilizada en funciones celulares. Esta conexión permite comprender que información genética, síntesis de proteínas y metabolismo forman parte de un sistema integrado.</w:t>
      </w:r>
    </w:p>
    <w:p w:rsidR="00000000" w:rsidDel="00000000" w:rsidP="00000000" w:rsidRDefault="00000000" w:rsidRPr="00000000" w14:paraId="0000006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Sin embargo, comprender las biomoléculas también requiere reconocer los límites de su clasificación.</w:t>
      </w:r>
    </w:p>
    <w:p w:rsidR="00000000" w:rsidDel="00000000" w:rsidP="00000000" w:rsidRDefault="00000000" w:rsidRPr="00000000" w14:paraId="0000006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una sustancia como carbohidrato, lípido o proteína no basta para predecir por sí sola el comportamiento de un alimento o materia prima. En sistemas reales intervienen concentración, estructura, agua, temperatura, pH, interacciones con otras moléculas y condiciones de proceso.</w:t>
      </w:r>
    </w:p>
    <w:p w:rsidR="00000000" w:rsidDel="00000000" w:rsidP="00000000" w:rsidRDefault="00000000" w:rsidRPr="00000000" w14:paraId="00000069">
      <w:pPr>
        <w:pStyle w:val="Heading2"/>
        <w:numPr>
          <w:ilvl w:val="0"/>
          <w:numId w:val="3"/>
        </w:numPr>
        <w:spacing w:line="360" w:lineRule="auto"/>
        <w:ind w:left="720" w:hanging="360"/>
        <w:jc w:val="both"/>
        <w:rPr>
          <w:sz w:val="24"/>
          <w:szCs w:val="24"/>
        </w:rPr>
      </w:pPr>
      <w:r w:rsidDel="00000000" w:rsidR="00000000" w:rsidRPr="00000000">
        <w:rPr>
          <w:rFonts w:ascii="Arial" w:cs="Arial" w:eastAsia="Arial" w:hAnsi="Arial"/>
          <w:sz w:val="24"/>
          <w:szCs w:val="24"/>
          <w:rtl w:val="0"/>
        </w:rPr>
        <w:t xml:space="preserve">Metabolismo celular: anabolismo y catabolismo.</w:t>
      </w:r>
    </w:p>
    <w:p w:rsidR="00000000" w:rsidDel="00000000" w:rsidP="00000000" w:rsidRDefault="00000000" w:rsidRPr="00000000" w14:paraId="0000006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metabolismo corresponde al conjunto de reacciones químicas que ocurren en las células. López Juárez (2023) organiza estas reacciones en anabolismo y catabolismo. El anabolismo reúne procesos de síntesis que construyen moléculas más complejas y requieren energía; el catabolismo comprende procesos de degradación que permiten liberar o transferir energía. Esta distinción ayuda a interpretar si un sistema está construyendo biomasa o moléculas, o degradando sustratos para obtener energía.</w:t>
      </w:r>
    </w:p>
    <w:p w:rsidR="00000000" w:rsidDel="00000000" w:rsidP="00000000" w:rsidRDefault="00000000" w:rsidRPr="00000000" w14:paraId="0000006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enzimas regulan numerosas reacciones metabólicas. López Juárez (2023) las presenta como catalizadores biológicos específicos que actúan sobre sustratos. Para estudiar una reacción, identifica el sustrato, el producto, la enzima o sistema implicado y las condiciones que pueden modificar su velocidad. Este esquema es especialmente útil para analizar procesos de transformación agroindustrial.</w:t>
      </w:r>
    </w:p>
    <w:p w:rsidR="00000000" w:rsidDel="00000000" w:rsidP="00000000" w:rsidRDefault="00000000" w:rsidRPr="00000000" w14:paraId="0000006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Fotosíntesis. Es un proceso anabólico mediante el cual organismos autótrofos transforman energía lumínica en energía química. López Juárez (2023) describe una fase dependiente de la luz y una fase de fijación de carbono asociada a la formación de compuestos orgánicos. Para la agroindustria, la fotosíntesis se vincula con la generación de biomasa vegetal que posteriormente se convierte en materia prima.</w:t>
      </w:r>
    </w:p>
    <w:p w:rsidR="00000000" w:rsidDel="00000000" w:rsidP="00000000" w:rsidRDefault="00000000" w:rsidRPr="00000000" w14:paraId="0000006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Respiración celular. Es un proceso catabólico mediante el cual las células obtienen energía a partir de moléculas orgánicas. López Juárez (2023) presenta la glucólisis, el ciclo de Krebs y la cadena de transporte de electrones como etapas principales de la respiración aerobia. El propósito formativo aquí no es memorizar cada intermediario químico, sino reconocer la lógica general de transformación de energía y su dependencia de condiciones celulares.</w:t>
      </w:r>
    </w:p>
    <w:p w:rsidR="00000000" w:rsidDel="00000000" w:rsidP="00000000" w:rsidRDefault="00000000" w:rsidRPr="00000000" w14:paraId="0000006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Fermentación. En contextos agroindustriales, la fermentación puede entenderse como una vía metabólica aprovechada para transformar sustratos mediante microorganismos o sus actividades metabólicas. Su análisis exige identificar el organismo, el sustrato, las condiciones de proceso y los productos generados. En este módulo se utiliza como ejemplo de transferencia; su profundización microbiológica corresponde a unidades posteriores.</w:t>
      </w:r>
    </w:p>
    <w:p w:rsidR="00000000" w:rsidDel="00000000" w:rsidP="00000000" w:rsidRDefault="00000000" w:rsidRPr="00000000" w14:paraId="0000006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 aplicado. En una fermentación de materia prima rica en carbohidratos, una pregunta pertinente sería: ¿qué sustrato está disponible para el microorganismo y qué condiciones favorecen la ruta metabólica deseada? Una segunda pregunta sería: ¿qué variable del proceso podría modificar la actividad enzimática y, por tanto, el producto final? Estas preguntas conectan metabolismo con control de proceso sin asumir resultados que deben verificarse experimentalmente.</w:t>
      </w:r>
    </w:p>
    <w:p w:rsidR="00000000" w:rsidDel="00000000" w:rsidP="00000000" w:rsidRDefault="00000000" w:rsidRPr="00000000" w14:paraId="00000070">
      <w:pPr>
        <w:pStyle w:val="Heading2"/>
        <w:numPr>
          <w:ilvl w:val="0"/>
          <w:numId w:val="3"/>
        </w:numPr>
        <w:spacing w:line="360" w:lineRule="auto"/>
        <w:ind w:left="720" w:hanging="360"/>
        <w:jc w:val="center"/>
        <w:rPr>
          <w:sz w:val="24"/>
          <w:szCs w:val="24"/>
        </w:rPr>
      </w:pPr>
      <w:r w:rsidDel="00000000" w:rsidR="00000000" w:rsidRPr="00000000">
        <w:rPr>
          <w:rFonts w:ascii="Arial" w:cs="Arial" w:eastAsia="Arial" w:hAnsi="Arial"/>
          <w:sz w:val="24"/>
          <w:szCs w:val="24"/>
          <w:rtl w:val="0"/>
        </w:rPr>
        <w:t xml:space="preserve">Aplicaciones del metabolismo en maduración, fermentación y conservación.</w:t>
      </w:r>
    </w:p>
    <w:p w:rsidR="00000000" w:rsidDel="00000000" w:rsidP="00000000" w:rsidRDefault="00000000" w:rsidRPr="00000000" w14:paraId="0000007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maduración de productos vegetales implica cambios coordinados en tejidos y moléculas. Desde el nivel introductorio, puede analizarse reconociendo que enzimas, membranas, carbohidratos y rutas metabólicas participan en transformaciones observables. En lugar de memorizar una lista de cambios, conviene relacionar cada característica con una posible base biológica y distinguir entre una hipótesis explicativa y una medición confirmatoria.</w:t>
      </w:r>
    </w:p>
    <w:p w:rsidR="00000000" w:rsidDel="00000000" w:rsidP="00000000" w:rsidRDefault="00000000" w:rsidRPr="00000000" w14:paraId="0000007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conservación busca reducir o controlar transformaciones que deterioran la calidad o seguridad de un producto. El conocimiento celular y metabólico ayuda a comprender por qué variables como temperatura, disponibilidad de agua, oxígeno o pH pueden influir en reacciones y actividad biológica. Sin embargo, el efecto concreto depende del producto, del microorganismo o tejido, y de las condiciones reales del proceso; por ello, las decisiones técnicas requieren datos y procedimientos específicos.</w:t>
      </w:r>
    </w:p>
    <w:p w:rsidR="00000000" w:rsidDel="00000000" w:rsidP="00000000" w:rsidRDefault="00000000" w:rsidRPr="00000000" w14:paraId="0000007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fermentación ilustra el uso intencional del metabolismo. El tecnólogo debe aprender a reconocer qué transformación se desea, qué organismo o sistema biológico la realiza, qué sustrato utiliza y qué condiciones deben controlarse. Esta estructura de análisis puede transferirse a distintos procesos sin reducirlos a una receta única.</w:t>
      </w:r>
    </w:p>
    <w:p w:rsidR="00000000" w:rsidDel="00000000" w:rsidP="00000000" w:rsidRDefault="00000000" w:rsidRPr="00000000" w14:paraId="00000074">
      <w:pPr>
        <w:keepLines w:val="1"/>
        <w:pBdr>
          <w:top w:space="0" w:sz="0" w:val="nil"/>
          <w:left w:space="0" w:sz="0" w:val="nil"/>
          <w:bottom w:space="0" w:sz="0" w:val="nil"/>
          <w:right w:space="0" w:sz="0" w:val="nil"/>
          <w:between w:space="0" w:sz="0" w:val="nil"/>
        </w:pBdr>
        <w:spacing w:after="80" w:line="360" w:lineRule="auto"/>
        <w:rPr/>
      </w:pPr>
      <w:r w:rsidDel="00000000" w:rsidR="00000000" w:rsidRPr="00000000">
        <w:rPr>
          <w:rtl w:val="0"/>
        </w:rPr>
      </w:r>
    </w:p>
    <w:tbl>
      <w:tblPr>
        <w:tblStyle w:val="Table5"/>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f2f4f7" w:val="clear"/>
            <w:tcMar>
              <w:top w:w="100.0" w:type="dxa"/>
              <w:left w:w="120.0" w:type="dxa"/>
              <w:bottom w:w="100.0" w:type="dxa"/>
              <w:right w:w="120.0" w:type="dxa"/>
            </w:tcMar>
            <w:vAlign w:val="center"/>
          </w:tcPr>
          <w:p w:rsidR="00000000" w:rsidDel="00000000" w:rsidP="00000000" w:rsidRDefault="00000000" w:rsidRPr="00000000" w14:paraId="00000075">
            <w:pPr>
              <w:spacing w:after="40" w:lineRule="auto"/>
              <w:rPr>
                <w:b w:val="1"/>
                <w:bCs w:val="1"/>
                <w:color w:val="1f5a94"/>
                <w:sz w:val="18"/>
                <w:szCs w:val="18"/>
              </w:rPr>
            </w:pPr>
            <w:r w:rsidDel="00000000" w:rsidR="00000000" w:rsidRPr="00000000">
              <w:rPr>
                <w:b w:val="1"/>
                <w:bCs w:val="1"/>
                <w:color w:val="1f5a94"/>
                <w:sz w:val="18"/>
                <w:szCs w:val="18"/>
                <w:rtl w:val="0"/>
              </w:rPr>
              <w:t xml:space="preserve">CRITERIO DE DESARROLLO</w:t>
            </w:r>
          </w:p>
          <w:p w:rsidR="00000000" w:rsidDel="00000000" w:rsidP="00000000" w:rsidRDefault="00000000" w:rsidRPr="00000000" w14:paraId="00000076">
            <w:pPr>
              <w:spacing w:after="0" w:line="276" w:lineRule="auto"/>
              <w:rPr/>
            </w:pPr>
            <w:r w:rsidDel="00000000" w:rsidR="00000000" w:rsidRPr="00000000">
              <w:rPr>
                <w:color w:val="000000"/>
                <w:sz w:val="18"/>
                <w:szCs w:val="18"/>
                <w:rtl w:val="0"/>
              </w:rPr>
              <w:t xml:space="preserve">Evite limitarse a definiciones aisladas. Al terminar cada tema, el estudiante debe comprender qué es, por qué es importante, cómo funciona, cuándo se utiliza y cuáles son sus limitaciones.</w:t>
            </w:r>
            <w:r w:rsidDel="00000000" w:rsidR="00000000" w:rsidRPr="00000000">
              <w:rPr>
                <w:rtl w:val="0"/>
              </w:rPr>
            </w:r>
          </w:p>
        </w:tc>
      </w:tr>
    </w:tbl>
    <w:p w:rsidR="00000000" w:rsidDel="00000000" w:rsidP="00000000" w:rsidRDefault="00000000" w:rsidRPr="00000000" w14:paraId="00000077">
      <w:pPr>
        <w:spacing w:after="40" w:line="72" w:lineRule="auto"/>
        <w:rPr/>
      </w:pPr>
      <w:r w:rsidDel="00000000" w:rsidR="00000000" w:rsidRPr="00000000">
        <w:rPr>
          <w:rtl w:val="0"/>
        </w:rPr>
      </w:r>
    </w:p>
    <w:p w:rsidR="00000000" w:rsidDel="00000000" w:rsidP="00000000" w:rsidRDefault="00000000" w:rsidRPr="00000000" w14:paraId="00000078">
      <w:pPr>
        <w:pStyle w:val="Heading3"/>
        <w:numPr>
          <w:ilvl w:val="1"/>
          <w:numId w:val="5"/>
        </w:numPr>
        <w:spacing w:after="100" w:before="200" w:line="300" w:lineRule="auto"/>
        <w:ind w:left="792" w:hanging="432"/>
        <w:rPr>
          <w:color w:val="169ed0"/>
          <w:sz w:val="24"/>
          <w:szCs w:val="24"/>
        </w:rPr>
      </w:pPr>
      <w:r w:rsidDel="00000000" w:rsidR="00000000" w:rsidRPr="00000000">
        <w:rPr>
          <w:color w:val="169ed0"/>
          <w:sz w:val="24"/>
          <w:szCs w:val="24"/>
          <w:rtl w:val="0"/>
        </w:rPr>
        <w:t xml:space="preserve">Ejemplos aplicados</w:t>
      </w:r>
    </w:p>
    <w:p w:rsidR="00000000" w:rsidDel="00000000" w:rsidP="00000000" w:rsidRDefault="00000000" w:rsidRPr="00000000" w14:paraId="00000079">
      <w:pPr>
        <w:pStyle w:val="Heading2"/>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Caso 1. Fermentación agroindustrial.</w:t>
      </w:r>
    </w:p>
    <w:p w:rsidR="00000000" w:rsidDel="00000000" w:rsidP="00000000" w:rsidRDefault="00000000" w:rsidRPr="00000000" w14:paraId="0000007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Situación problema: Una unidad productiva dedicada a la elaboración de productos agroindustriales utiliza un microorganismo seleccionado para transformar un sustrato rico en azúcares mediante un proceso de fermentación. Este proceso biotecnológico permite obtener un producto de interés comercial gracias a la actividad metabólica del microorganismo.</w:t>
      </w:r>
    </w:p>
    <w:p w:rsidR="00000000" w:rsidDel="00000000" w:rsidP="00000000" w:rsidRDefault="00000000" w:rsidRPr="00000000" w14:paraId="0000007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uno de los ciclos de producción, el equipo encargado modifica las condiciones de temperatura del sistema con el propósito de optimizar el proceso. Sin embargo, después del cambio, se observa que el producto final presenta características diferentes respecto a lotes anteriores: variación en el rendimiento obtenido, cambios en las propiedades organolépticas (olor, sabor, textura o apariencia) y diferencias en la concentración del producto generado.</w:t>
      </w:r>
    </w:p>
    <w:p w:rsidR="00000000" w:rsidDel="00000000" w:rsidP="00000000" w:rsidRDefault="00000000" w:rsidRPr="00000000" w14:paraId="0000007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personal de producción plantea inicialmente que la modificación de temperatura pudo ser la causa principal de los cambios observados. </w:t>
      </w:r>
    </w:p>
    <w:p w:rsidR="00000000" w:rsidDel="00000000" w:rsidP="00000000" w:rsidRDefault="00000000" w:rsidRPr="00000000" w14:paraId="0000007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Reto de análisis: Analizar qué relación podría existir entre temperatura, actividad enzimática y metabolismo; identificar qué información adicional sería necesaria antes de concluir la causa del cambio.</w:t>
      </w:r>
    </w:p>
    <w:p w:rsidR="00000000" w:rsidDel="00000000" w:rsidP="00000000" w:rsidRDefault="00000000" w:rsidRPr="00000000" w14:paraId="0000007E">
      <w:pPr>
        <w:pStyle w:val="Heading2"/>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Caso 2. Cambios de textura en frutas durante el almacenamiento.</w:t>
      </w:r>
    </w:p>
    <w:p w:rsidR="00000000" w:rsidDel="00000000" w:rsidP="00000000" w:rsidRDefault="00000000" w:rsidRPr="00000000" w14:paraId="0000007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Situación problema: Una unidad productiva dedicada al manejo y comercialización de frutas observa que un lote almacenado presenta cambios progresivos en su textura durante varios días. Inicialmente, las frutas presentan una consistencia firme y características adecuadas para su comercialización; sin embargo, con el transcurso del tiempo algunas unidades comienzan a perder firmeza, volviéndose más blandas y modificando sus características físicas.</w:t>
      </w:r>
    </w:p>
    <w:p w:rsidR="00000000" w:rsidDel="00000000" w:rsidP="00000000" w:rsidRDefault="00000000" w:rsidRPr="00000000" w14:paraId="0000008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equipo responsable del almacenamiento plantea que este cambio podría estar relacionado con procesos propios de la fruta después de la cosecha, pero también considera que factores externos como las condiciones ambientales o la acción de microorganismos podrían estar influyendo.</w:t>
      </w:r>
    </w:p>
    <w:p w:rsidR="00000000" w:rsidDel="00000000" w:rsidP="00000000" w:rsidRDefault="00000000" w:rsidRPr="00000000" w14:paraId="0000008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Reto de análisis: Relacionar el fenómeno con organización celular, membranas, biomoléculas y actividad metabólica. Proponer variables que deberían observarse o medirse para sustentar una explicación.</w:t>
      </w:r>
    </w:p>
    <w:p w:rsidR="00000000" w:rsidDel="00000000" w:rsidP="00000000" w:rsidRDefault="00000000" w:rsidRPr="00000000" w14:paraId="00000082">
      <w:pPr>
        <w:pStyle w:val="Heading2"/>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Caso 3. Producción vegetal y sostenibilidad.</w:t>
      </w:r>
    </w:p>
    <w:p w:rsidR="00000000" w:rsidDel="00000000" w:rsidP="00000000" w:rsidRDefault="00000000" w:rsidRPr="00000000" w14:paraId="0000008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Situación problema: Una organización agroindustrial dedicada a la producción de materias primas vegetales busca aumentar la disponibilidad de sus productos para responder a la demanda del mercado. Sin embargo, reconoce que incrementar la producción no debe depender únicamente de ampliar las áreas cultivadas o aumentar el uso de insumos, debido a que estas estrategias pueden generar mayor consumo de agua, degradación del suelo, pérdida de biodiversidad y aumento de residuos.</w:t>
      </w:r>
    </w:p>
    <w:p w:rsidR="00000000" w:rsidDel="00000000" w:rsidP="00000000" w:rsidRDefault="00000000" w:rsidRPr="00000000" w14:paraId="0000008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esta razón, la organización plantea implementar estrategias orientadas a mejorar la eficiencia del proceso productivo, reducir pérdidas durante las diferentes etapas de la cadena agroindustrial y utilizar los recursos naturales de manera responsable</w:t>
      </w:r>
    </w:p>
    <w:p w:rsidR="00000000" w:rsidDel="00000000" w:rsidP="00000000" w:rsidRDefault="00000000" w:rsidRPr="00000000" w14:paraId="0000008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Reto de análisis: Relacionar fotosíntesis, producción de biomasa y manejo del proceso con los ODS 2, 12, 13 y 15. Diferenciar acciones productivas de indicadores que permitirían evaluar sostenibilidad.</w:t>
      </w:r>
    </w:p>
    <w:p w:rsidR="00000000" w:rsidDel="00000000" w:rsidP="00000000" w:rsidRDefault="00000000" w:rsidRPr="00000000" w14:paraId="00000086">
      <w:pPr>
        <w:spacing w:line="360" w:lineRule="auto"/>
        <w:jc w:val="both"/>
        <w:rPr>
          <w:rFonts w:ascii="Arial" w:cs="Arial" w:eastAsia="Arial" w:hAnsi="Arial"/>
          <w:b w:val="1"/>
          <w:bCs w:val="1"/>
          <w:color w:val="1f5a94"/>
          <w:sz w:val="24"/>
          <w:szCs w:val="24"/>
        </w:rPr>
      </w:pPr>
      <w:r w:rsidDel="00000000" w:rsidR="00000000" w:rsidRPr="00000000">
        <w:rPr>
          <w:rFonts w:ascii="Arial" w:cs="Arial" w:eastAsia="Arial" w:hAnsi="Arial"/>
          <w:b w:val="1"/>
          <w:bCs w:val="1"/>
          <w:color w:val="1f5a94"/>
          <w:sz w:val="24"/>
          <w:szCs w:val="24"/>
          <w:rtl w:val="0"/>
        </w:rPr>
        <w:t xml:space="preserve">Caso 4. Comparación de tipos celulares mediante observación virtual.</w:t>
      </w:r>
    </w:p>
    <w:p w:rsidR="00000000" w:rsidDel="00000000" w:rsidP="00000000" w:rsidRDefault="00000000" w:rsidRPr="00000000" w14:paraId="0000008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Situación problema: Durante una práctica virtual de biología, un grupo de estudiantes recibe diferentes imágenes microscópicas correspondientes a tres tipos celulares: una bacteria, una célula vegetal y una célula animal. Las imágenes presentan diferentes niveles de aumento y calidad visual, por lo que los estudiantes deben analizar cuidadosamente las características observables antes de establecer una clasificación.</w:t>
      </w:r>
    </w:p>
    <w:p w:rsidR="00000000" w:rsidDel="00000000" w:rsidP="00000000" w:rsidRDefault="00000000" w:rsidRPr="00000000" w14:paraId="0000008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objetivo de la actividad no es únicamente identificar cada imagen, sino comprender que las diferencias entre células están relacionadas con su organización interna, estructuras celulares y funciones biológicas.</w:t>
      </w:r>
    </w:p>
    <w:p w:rsidR="00000000" w:rsidDel="00000000" w:rsidP="00000000" w:rsidRDefault="00000000" w:rsidRPr="00000000" w14:paraId="0000008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Reto de análisis: Comparar tamaño relativo, presencia de núcleo, estructuras distintivas y función general. Elaborar una conclusión que indique qué rasgos permiten clasificar cada imagen y qué limitaciones tiene la observación.</w:t>
      </w:r>
    </w:p>
    <w:p w:rsidR="00000000" w:rsidDel="00000000" w:rsidP="00000000" w:rsidRDefault="00000000" w:rsidRPr="00000000" w14:paraId="0000008A">
      <w:pPr>
        <w:pStyle w:val="Heading3"/>
        <w:numPr>
          <w:ilvl w:val="1"/>
          <w:numId w:val="5"/>
        </w:numPr>
        <w:spacing w:after="100" w:before="200" w:line="300" w:lineRule="auto"/>
        <w:ind w:left="792" w:hanging="432"/>
        <w:rPr>
          <w:color w:val="169ed0"/>
          <w:sz w:val="24"/>
          <w:szCs w:val="24"/>
        </w:rPr>
      </w:pPr>
      <w:r w:rsidDel="00000000" w:rsidR="00000000" w:rsidRPr="00000000">
        <w:rPr>
          <w:color w:val="169ed0"/>
          <w:sz w:val="24"/>
          <w:szCs w:val="24"/>
          <w:rtl w:val="0"/>
        </w:rPr>
        <w:t xml:space="preserve">Reflexión para el aprendizaje autónomo</w:t>
      </w:r>
    </w:p>
    <w:p w:rsidR="00000000" w:rsidDel="00000000" w:rsidP="00000000" w:rsidRDefault="00000000" w:rsidRPr="00000000" w14:paraId="0000008B">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Las siguientes preguntas no constituyen una actividad calificable. Úsalas como control de comprensión antes de avanzar. Si una respuesta depende únicamente de una definición memorizada, intenta ampliarla con una relación causa-efecto o un ejemplo agroindustrial.</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cambia en tu análisis de un proceso agroindustrial cuando pasas del nivel del organismo al nivel celular o molecular?</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diferencias esenciales permiten distinguir una célula procariota de una eucariota?</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¿Cómo se relacionan los fosfolípidos con la organización de la membrana plasmática?</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qué la función de una proteína puede cambiar cuando se altera su estructura?</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diferencia funcional existe entre anabolismo y catabolismo?</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¿Cómo conectarías fotosíntesis con producción de biomasa y respiración con obtención de energía?</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una fermentación, ¿qué variables necesitarías conocer antes de atribuir un cambio del producto al metabolismo microbiano?</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relación puedes establecer entre una decisión agroindustrial y al menos uno de los ODS 2, 12, 13 o 15?</w:t>
      </w:r>
    </w:p>
    <w:p w:rsidR="00000000" w:rsidDel="00000000" w:rsidP="00000000" w:rsidRDefault="00000000" w:rsidRPr="00000000" w14:paraId="00000094">
      <w:pPr>
        <w:spacing w:after="40" w:line="72" w:lineRule="auto"/>
        <w:rPr/>
      </w:pPr>
      <w:r w:rsidDel="00000000" w:rsidR="00000000" w:rsidRPr="00000000">
        <w:rPr>
          <w:rtl w:val="0"/>
        </w:rPr>
      </w:r>
    </w:p>
    <w:p w:rsidR="00000000" w:rsidDel="00000000" w:rsidP="00000000" w:rsidRDefault="00000000" w:rsidRPr="00000000" w14:paraId="00000095">
      <w:pPr>
        <w:pStyle w:val="Heading3"/>
        <w:numPr>
          <w:ilvl w:val="1"/>
          <w:numId w:val="5"/>
        </w:numPr>
        <w:spacing w:after="100" w:before="200" w:line="300" w:lineRule="auto"/>
        <w:ind w:left="792" w:hanging="432"/>
        <w:rPr>
          <w:color w:val="169ed0"/>
          <w:sz w:val="24"/>
          <w:szCs w:val="24"/>
        </w:rPr>
      </w:pPr>
      <w:r w:rsidDel="00000000" w:rsidR="00000000" w:rsidRPr="00000000">
        <w:rPr>
          <w:color w:val="169ed0"/>
          <w:sz w:val="24"/>
          <w:szCs w:val="24"/>
          <w:rtl w:val="0"/>
        </w:rPr>
        <w:t xml:space="preserve">Cierre y síntesis</w:t>
      </w:r>
    </w:p>
    <w:p w:rsidR="00000000" w:rsidDel="00000000" w:rsidP="00000000" w:rsidRDefault="00000000" w:rsidRPr="00000000" w14:paraId="0000009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esta unidad has construido una base para comprender la agroindustria desde la organización de la vida. La biología aplicada permite conectar niveles que van desde moléculas y células hasta organismos y ecosistemas. La célula funciona como unidad estructural y funcional; sus membranas, organelos y componentes trabajan de manera integrada. A su vez, carbohidratos, lípidos, proteínas y ácidos nucleicos aportan estructura, energía, regulación e información, mientras que el metabolismo organiza las transformaciones químicas que sostienen la actividad celular.</w:t>
      </w:r>
    </w:p>
    <w:p w:rsidR="00000000" w:rsidDel="00000000" w:rsidP="00000000" w:rsidRDefault="00000000" w:rsidRPr="00000000" w14:paraId="0000009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Desde esta perspectiva integradora, comprender la organización celular y molecular permite avanzar hacia el análisis de los procesos biológicos que ocurren en los sistemas productivos y que tienen aplicación directa en la agroindustria.</w:t>
      </w:r>
    </w:p>
    <w:p w:rsidR="00000000" w:rsidDel="00000000" w:rsidP="00000000" w:rsidRDefault="00000000" w:rsidRPr="00000000" w14:paraId="0000009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distinción entre anabolismo y catabolismo permite interpretar procesos de síntesis y degradación; la fotosíntesis explica la incorporación de energía a la biomasa vegetal, y la respiración y la fermentación permiten comprender distintas formas de transformación energética y de sustratos. Estos conocimientos adquieren sentido profesional cuando se utilizan para formular preguntas sobre producción, fermentación, maduración, conservación y sostenibilidad.</w:t>
      </w:r>
    </w:p>
    <w:p w:rsidR="00000000" w:rsidDel="00000000" w:rsidP="00000000" w:rsidRDefault="00000000" w:rsidRPr="00000000" w14:paraId="0000009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aprendizaje alcanzado prepara el paso hacia contenidos posteriores en los que será necesario profundizar en genética, microbiología, fisiología, ecología y biotecnología. Conserva los esquemas y comparaciones elaborados: serán útiles para integrar nuevos conceptos y analizar casos con mayor complejidad.</w:t>
      </w:r>
    </w:p>
    <w:p w:rsidR="00000000" w:rsidDel="00000000" w:rsidP="00000000" w:rsidRDefault="00000000" w:rsidRPr="00000000" w14:paraId="0000009A">
      <w:pPr>
        <w:pStyle w:val="Heading3"/>
        <w:numPr>
          <w:ilvl w:val="1"/>
          <w:numId w:val="5"/>
        </w:numPr>
        <w:spacing w:after="100" w:before="200" w:line="300" w:lineRule="auto"/>
        <w:ind w:left="792" w:hanging="432"/>
        <w:rPr>
          <w:color w:val="169ed0"/>
          <w:sz w:val="24"/>
          <w:szCs w:val="24"/>
        </w:rPr>
      </w:pPr>
      <w:r w:rsidDel="00000000" w:rsidR="00000000" w:rsidRPr="00000000">
        <w:rPr>
          <w:color w:val="169ed0"/>
          <w:sz w:val="24"/>
          <w:szCs w:val="24"/>
          <w:rtl w:val="0"/>
        </w:rPr>
        <w:t xml:space="preserve">Referencias</w:t>
      </w:r>
    </w:p>
    <w:p w:rsidR="00000000" w:rsidDel="00000000" w:rsidP="00000000" w:rsidRDefault="00000000" w:rsidRPr="00000000" w14:paraId="0000009B">
      <w:pPr>
        <w:spacing w:line="360" w:lineRule="auto"/>
        <w:ind w:left="432" w:hanging="432"/>
        <w:rPr>
          <w:rFonts w:ascii="Arial" w:cs="Arial" w:eastAsia="Arial" w:hAnsi="Arial"/>
          <w:sz w:val="24"/>
          <w:szCs w:val="24"/>
        </w:rPr>
      </w:pPr>
      <w:r w:rsidDel="00000000" w:rsidR="00000000" w:rsidRPr="00000000">
        <w:rPr>
          <w:rFonts w:ascii="Arial" w:cs="Arial" w:eastAsia="Arial" w:hAnsi="Arial"/>
          <w:sz w:val="24"/>
          <w:szCs w:val="24"/>
          <w:rtl w:val="0"/>
        </w:rPr>
        <w:t xml:space="preserve">Pallotti Sagripanti, C. G., &amp; Sanchis Duato, E. (2020). </w:t>
      </w:r>
      <w:r w:rsidDel="00000000" w:rsidR="00000000" w:rsidRPr="00000000">
        <w:rPr>
          <w:rFonts w:ascii="Arial" w:cs="Arial" w:eastAsia="Arial" w:hAnsi="Arial"/>
          <w:i w:val="1"/>
          <w:iCs w:val="1"/>
          <w:sz w:val="24"/>
          <w:szCs w:val="24"/>
          <w:rtl w:val="0"/>
        </w:rPr>
        <w:t xml:space="preserve">Biología para ciencias ambientales</w:t>
      </w:r>
      <w:r w:rsidDel="00000000" w:rsidR="00000000" w:rsidRPr="00000000">
        <w:rPr>
          <w:rFonts w:ascii="Arial" w:cs="Arial" w:eastAsia="Arial" w:hAnsi="Arial"/>
          <w:sz w:val="24"/>
          <w:szCs w:val="24"/>
          <w:rtl w:val="0"/>
        </w:rPr>
        <w:t xml:space="preserve">. Editorial de la Universidad Politécnica de Valencia.</w:t>
      </w:r>
    </w:p>
    <w:p w:rsidR="00000000" w:rsidDel="00000000" w:rsidP="00000000" w:rsidRDefault="00000000" w:rsidRPr="00000000" w14:paraId="0000009C">
      <w:pPr>
        <w:spacing w:line="360" w:lineRule="auto"/>
        <w:ind w:left="432" w:hanging="432"/>
        <w:rPr>
          <w:rFonts w:ascii="Arial" w:cs="Arial" w:eastAsia="Arial" w:hAnsi="Arial"/>
          <w:sz w:val="24"/>
          <w:szCs w:val="24"/>
        </w:rPr>
      </w:pPr>
      <w:r w:rsidDel="00000000" w:rsidR="00000000" w:rsidRPr="00000000">
        <w:rPr>
          <w:rFonts w:ascii="Arial" w:cs="Arial" w:eastAsia="Arial" w:hAnsi="Arial"/>
          <w:sz w:val="24"/>
          <w:szCs w:val="24"/>
          <w:rtl w:val="0"/>
        </w:rPr>
        <w:t xml:space="preserve">Pérez, M. (2013). Biología celular en las ciencias agropecuarias. Editorial Brujas.</w:t>
      </w:r>
    </w:p>
    <w:p w:rsidR="00000000" w:rsidDel="00000000" w:rsidP="00000000" w:rsidRDefault="00000000" w:rsidRPr="00000000" w14:paraId="0000009D">
      <w:pPr>
        <w:spacing w:line="360" w:lineRule="auto"/>
        <w:ind w:left="432" w:hanging="432"/>
        <w:rPr>
          <w:rFonts w:ascii="Arial" w:cs="Arial" w:eastAsia="Arial" w:hAnsi="Arial"/>
          <w:sz w:val="24"/>
          <w:szCs w:val="24"/>
        </w:rPr>
      </w:pPr>
      <w:r w:rsidDel="00000000" w:rsidR="00000000" w:rsidRPr="00000000">
        <w:rPr>
          <w:rFonts w:ascii="Arial" w:cs="Arial" w:eastAsia="Arial" w:hAnsi="Arial"/>
          <w:sz w:val="24"/>
          <w:szCs w:val="24"/>
          <w:rtl w:val="0"/>
        </w:rPr>
        <w:t xml:space="preserve">López Juárez, F. (2023). </w:t>
      </w:r>
      <w:r w:rsidDel="00000000" w:rsidR="00000000" w:rsidRPr="00000000">
        <w:rPr>
          <w:rFonts w:ascii="Arial" w:cs="Arial" w:eastAsia="Arial" w:hAnsi="Arial"/>
          <w:i w:val="1"/>
          <w:iCs w:val="1"/>
          <w:sz w:val="24"/>
          <w:szCs w:val="24"/>
          <w:rtl w:val="0"/>
        </w:rPr>
        <w:t xml:space="preserve">Explorando la biología con enlaces virtuales</w:t>
      </w:r>
      <w:r w:rsidDel="00000000" w:rsidR="00000000" w:rsidRPr="00000000">
        <w:rPr>
          <w:rFonts w:ascii="Arial" w:cs="Arial" w:eastAsia="Arial" w:hAnsi="Arial"/>
          <w:sz w:val="24"/>
          <w:szCs w:val="24"/>
          <w:rtl w:val="0"/>
        </w:rPr>
        <w:t xml:space="preserve"> (1.ª ed.). Grupo Editorial Éxodo.</w:t>
      </w:r>
    </w:p>
    <w:p w:rsidR="00000000" w:rsidDel="00000000" w:rsidP="00000000" w:rsidRDefault="00000000" w:rsidRPr="00000000" w14:paraId="0000009E">
      <w:pPr>
        <w:spacing w:line="360" w:lineRule="auto"/>
        <w:ind w:left="432" w:hanging="432"/>
        <w:rPr>
          <w:rFonts w:ascii="Arial" w:cs="Arial" w:eastAsia="Arial" w:hAnsi="Arial"/>
          <w:sz w:val="24"/>
          <w:szCs w:val="24"/>
        </w:rPr>
      </w:pPr>
      <w:r w:rsidDel="00000000" w:rsidR="00000000" w:rsidRPr="00000000">
        <w:rPr>
          <w:rFonts w:ascii="Arial" w:cs="Arial" w:eastAsia="Arial" w:hAnsi="Arial"/>
          <w:sz w:val="24"/>
          <w:szCs w:val="24"/>
          <w:rtl w:val="0"/>
        </w:rPr>
        <w:t xml:space="preserve">Mader, S. S. (2024). </w:t>
      </w:r>
      <w:r w:rsidDel="00000000" w:rsidR="00000000" w:rsidRPr="00000000">
        <w:rPr>
          <w:rFonts w:ascii="Arial" w:cs="Arial" w:eastAsia="Arial" w:hAnsi="Arial"/>
          <w:i w:val="1"/>
          <w:iCs w:val="1"/>
          <w:sz w:val="24"/>
          <w:szCs w:val="24"/>
          <w:rtl w:val="0"/>
        </w:rPr>
        <w:t xml:space="preserve">Biología</w:t>
      </w:r>
      <w:r w:rsidDel="00000000" w:rsidR="00000000" w:rsidRPr="00000000">
        <w:rPr>
          <w:rFonts w:ascii="Arial" w:cs="Arial" w:eastAsia="Arial" w:hAnsi="Arial"/>
          <w:sz w:val="24"/>
          <w:szCs w:val="24"/>
          <w:rtl w:val="0"/>
        </w:rPr>
        <w:t xml:space="preserve">. McGraw-Hill.</w:t>
      </w:r>
    </w:p>
    <w:p w:rsidR="00000000" w:rsidDel="00000000" w:rsidP="00000000" w:rsidRDefault="00000000" w:rsidRPr="00000000" w14:paraId="0000009F">
      <w:pPr>
        <w:spacing w:line="360" w:lineRule="auto"/>
        <w:ind w:left="432" w:hanging="432"/>
        <w:rPr>
          <w:rFonts w:ascii="Arial" w:cs="Arial" w:eastAsia="Arial" w:hAnsi="Arial"/>
          <w:sz w:val="24"/>
          <w:szCs w:val="24"/>
        </w:rPr>
      </w:pPr>
      <w:r w:rsidDel="00000000" w:rsidR="00000000" w:rsidRPr="00000000">
        <w:rPr>
          <w:rFonts w:ascii="Arial" w:cs="Arial" w:eastAsia="Arial" w:hAnsi="Arial"/>
          <w:sz w:val="24"/>
          <w:szCs w:val="24"/>
          <w:rtl w:val="0"/>
        </w:rPr>
        <w:t xml:space="preserve">TvAgro. (2017, 27 de marzo). </w:t>
      </w:r>
      <w:r w:rsidDel="00000000" w:rsidR="00000000" w:rsidRPr="00000000">
        <w:rPr>
          <w:rFonts w:ascii="Arial" w:cs="Arial" w:eastAsia="Arial" w:hAnsi="Arial"/>
          <w:i w:val="1"/>
          <w:iCs w:val="1"/>
          <w:sz w:val="24"/>
          <w:szCs w:val="24"/>
          <w:rtl w:val="0"/>
        </w:rPr>
        <w:t xml:space="preserve">Biotecnología en la agricultura - TvAgro por Juan Gonzalo Angel</w:t>
      </w:r>
      <w:r w:rsidDel="00000000" w:rsidR="00000000" w:rsidRPr="00000000">
        <w:rPr>
          <w:rFonts w:ascii="Arial" w:cs="Arial" w:eastAsia="Arial" w:hAnsi="Arial"/>
          <w:sz w:val="24"/>
          <w:szCs w:val="24"/>
          <w:rtl w:val="0"/>
        </w:rPr>
        <w:t xml:space="preserve"> [Video]. YouTube. https://www.youtube.com/watch?v=h_jqiD6aelE</w:t>
      </w:r>
    </w:p>
    <w:p w:rsidR="00000000" w:rsidDel="00000000" w:rsidP="00000000" w:rsidRDefault="00000000" w:rsidRPr="00000000" w14:paraId="000000A0">
      <w:pPr>
        <w:spacing w:line="360" w:lineRule="auto"/>
        <w:ind w:left="432" w:hanging="432"/>
        <w:rPr>
          <w:rFonts w:ascii="Arial" w:cs="Arial" w:eastAsia="Arial" w:hAnsi="Arial"/>
          <w:sz w:val="24"/>
          <w:szCs w:val="24"/>
        </w:rPr>
      </w:pPr>
      <w:r w:rsidDel="00000000" w:rsidR="00000000" w:rsidRPr="00000000">
        <w:rPr>
          <w:rFonts w:ascii="Arial" w:cs="Arial" w:eastAsia="Arial" w:hAnsi="Arial"/>
          <w:sz w:val="24"/>
          <w:szCs w:val="24"/>
          <w:rtl w:val="0"/>
        </w:rPr>
        <w:t xml:space="preserve">ANDI Colombia. (2023, 17 de octubre). </w:t>
      </w:r>
      <w:r w:rsidDel="00000000" w:rsidR="00000000" w:rsidRPr="00000000">
        <w:rPr>
          <w:rFonts w:ascii="Arial" w:cs="Arial" w:eastAsia="Arial" w:hAnsi="Arial"/>
          <w:i w:val="1"/>
          <w:iCs w:val="1"/>
          <w:sz w:val="24"/>
          <w:szCs w:val="24"/>
          <w:rtl w:val="0"/>
        </w:rPr>
        <w:t xml:space="preserve">#AgroIndustriaANDI 2023 - El rol de las tecnologías e insumos de cultivos para la agroindustria</w:t>
      </w:r>
      <w:r w:rsidDel="00000000" w:rsidR="00000000" w:rsidRPr="00000000">
        <w:rPr>
          <w:rFonts w:ascii="Arial" w:cs="Arial" w:eastAsia="Arial" w:hAnsi="Arial"/>
          <w:sz w:val="24"/>
          <w:szCs w:val="24"/>
          <w:rtl w:val="0"/>
        </w:rPr>
        <w:t xml:space="preserve"> [Video]. YouTube. https://www.youtube.com/watch?v=0IZZlhY50s0</w:t>
      </w:r>
    </w:p>
    <w:p w:rsidR="00000000" w:rsidDel="00000000" w:rsidP="00000000" w:rsidRDefault="00000000" w:rsidRPr="00000000" w14:paraId="000000A1">
      <w:pPr>
        <w:spacing w:line="360" w:lineRule="auto"/>
        <w:ind w:left="432" w:hanging="432"/>
        <w:rPr>
          <w:rFonts w:ascii="Arial" w:cs="Arial" w:eastAsia="Arial" w:hAnsi="Arial"/>
          <w:sz w:val="24"/>
          <w:szCs w:val="24"/>
        </w:rPr>
      </w:pPr>
      <w:r w:rsidDel="00000000" w:rsidR="00000000" w:rsidRPr="00000000">
        <w:rPr>
          <w:rFonts w:ascii="Arial" w:cs="Arial" w:eastAsia="Arial" w:hAnsi="Arial"/>
          <w:sz w:val="24"/>
          <w:szCs w:val="24"/>
          <w:rtl w:val="0"/>
        </w:rPr>
        <w:t xml:space="preserve">ARRIBA LA CIENCIA. (2020, 18 de mayo). </w:t>
      </w:r>
      <w:r w:rsidDel="00000000" w:rsidR="00000000" w:rsidRPr="00000000">
        <w:rPr>
          <w:rFonts w:ascii="Arial" w:cs="Arial" w:eastAsia="Arial" w:hAnsi="Arial"/>
          <w:i w:val="1"/>
          <w:iCs w:val="1"/>
          <w:sz w:val="24"/>
          <w:szCs w:val="24"/>
          <w:rtl w:val="0"/>
        </w:rPr>
        <w:t xml:space="preserve">LA CÉLULA. ESTRUCTURA y FUNCIÓN CELULAR. MITOCONDRIAS, RIBOSOMAS, LISOSOMAS, ETC</w:t>
      </w:r>
      <w:r w:rsidDel="00000000" w:rsidR="00000000" w:rsidRPr="00000000">
        <w:rPr>
          <w:rFonts w:ascii="Arial" w:cs="Arial" w:eastAsia="Arial" w:hAnsi="Arial"/>
          <w:sz w:val="24"/>
          <w:szCs w:val="24"/>
          <w:rtl w:val="0"/>
        </w:rPr>
        <w:t xml:space="preserve">. [Video]. YouTube. https://www.youtube.com/watch?v=tdY1HaWbYQY</w:t>
      </w:r>
    </w:p>
    <w:p w:rsidR="00000000" w:rsidDel="00000000" w:rsidP="00000000" w:rsidRDefault="00000000" w:rsidRPr="00000000" w14:paraId="000000A2">
      <w:pPr>
        <w:spacing w:line="360" w:lineRule="auto"/>
        <w:ind w:left="432" w:hanging="432"/>
        <w:rPr>
          <w:rFonts w:ascii="Arial" w:cs="Arial" w:eastAsia="Arial" w:hAnsi="Arial"/>
          <w:sz w:val="24"/>
          <w:szCs w:val="24"/>
        </w:rPr>
      </w:pPr>
      <w:r w:rsidDel="00000000" w:rsidR="00000000" w:rsidRPr="00000000">
        <w:rPr>
          <w:rFonts w:ascii="Arial" w:cs="Arial" w:eastAsia="Arial" w:hAnsi="Arial"/>
          <w:sz w:val="24"/>
          <w:szCs w:val="24"/>
          <w:rtl w:val="0"/>
        </w:rPr>
        <w:t xml:space="preserve">ARRIBA LA CIENCIA. (2020, 18 de mayo). </w:t>
      </w:r>
      <w:r w:rsidDel="00000000" w:rsidR="00000000" w:rsidRPr="00000000">
        <w:rPr>
          <w:rFonts w:ascii="Arial" w:cs="Arial" w:eastAsia="Arial" w:hAnsi="Arial"/>
          <w:i w:val="1"/>
          <w:iCs w:val="1"/>
          <w:sz w:val="24"/>
          <w:szCs w:val="24"/>
          <w:rtl w:val="0"/>
        </w:rPr>
        <w:t xml:space="preserve">COMO SE CLASIFICAN LAS CÉLULAS. EUCARIOTAS y PROCARIOTAS, ANIMALES y VEGETALES, ARQUEOBACT. GRAM+ </w:t>
      </w:r>
      <w:r w:rsidDel="00000000" w:rsidR="00000000" w:rsidRPr="00000000">
        <w:rPr>
          <w:rFonts w:ascii="Arial" w:cs="Arial" w:eastAsia="Arial" w:hAnsi="Arial"/>
          <w:sz w:val="24"/>
          <w:szCs w:val="24"/>
          <w:rtl w:val="0"/>
        </w:rPr>
        <w:t xml:space="preserve">[Video]. YouTube. https://www.youtube.com/watch?v=if5YY3GuImk</w:t>
      </w:r>
    </w:p>
    <w:p w:rsidR="00000000" w:rsidDel="00000000" w:rsidP="00000000" w:rsidRDefault="00000000" w:rsidRPr="00000000" w14:paraId="000000A3">
      <w:pPr>
        <w:spacing w:line="360" w:lineRule="auto"/>
        <w:ind w:left="432" w:hanging="432"/>
        <w:rPr>
          <w:rFonts w:ascii="Arial" w:cs="Arial" w:eastAsia="Arial" w:hAnsi="Arial"/>
          <w:sz w:val="24"/>
          <w:szCs w:val="24"/>
        </w:rPr>
      </w:pPr>
      <w:r w:rsidDel="00000000" w:rsidR="00000000" w:rsidRPr="00000000">
        <w:rPr>
          <w:rFonts w:ascii="Arial" w:cs="Arial" w:eastAsia="Arial" w:hAnsi="Arial"/>
          <w:sz w:val="24"/>
          <w:szCs w:val="24"/>
          <w:rtl w:val="0"/>
        </w:rPr>
        <w:t xml:space="preserve">Biotutor Virtual. (2021, 27 de febrero). </w:t>
      </w:r>
      <w:r w:rsidDel="00000000" w:rsidR="00000000" w:rsidRPr="00000000">
        <w:rPr>
          <w:rFonts w:ascii="Arial" w:cs="Arial" w:eastAsia="Arial" w:hAnsi="Arial"/>
          <w:i w:val="1"/>
          <w:iCs w:val="1"/>
          <w:sz w:val="24"/>
          <w:szCs w:val="24"/>
          <w:rtl w:val="0"/>
        </w:rPr>
        <w:t xml:space="preserve">Práctica de laboratorio I La célula</w:t>
      </w:r>
      <w:r w:rsidDel="00000000" w:rsidR="00000000" w:rsidRPr="00000000">
        <w:rPr>
          <w:rFonts w:ascii="Arial" w:cs="Arial" w:eastAsia="Arial" w:hAnsi="Arial"/>
          <w:sz w:val="24"/>
          <w:szCs w:val="24"/>
          <w:rtl w:val="0"/>
        </w:rPr>
        <w:t xml:space="preserve"> [Video]. YouTube. https://www.youtube.com/watch?v=Ogc0F9WC3fs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numPr>
          <w:ilvl w:val="0"/>
          <w:numId w:val="5"/>
        </w:numPr>
        <w:spacing w:after="140" w:before="280" w:line="300" w:lineRule="auto"/>
        <w:ind w:left="360" w:hanging="360"/>
        <w:rPr>
          <w:color w:val="10145b"/>
        </w:rPr>
      </w:pPr>
      <w:r w:rsidDel="00000000" w:rsidR="00000000" w:rsidRPr="00000000">
        <w:rPr>
          <w:color w:val="10145b"/>
          <w:rtl w:val="0"/>
        </w:rPr>
        <w:t xml:space="preserve">Lista de verificación antes de entregar</w:t>
      </w:r>
    </w:p>
    <w:tbl>
      <w:tblPr>
        <w:tblStyle w:val="Table6"/>
        <w:tblW w:w="9360.0" w:type="dxa"/>
        <w:jc w:val="left"/>
        <w:tblBorders>
          <w:top w:color="d7dce5" w:space="0" w:sz="4" w:val="single"/>
          <w:left w:color="d7dce5" w:space="0" w:sz="4" w:val="single"/>
          <w:bottom w:color="d7dce5" w:space="0" w:sz="4" w:val="single"/>
          <w:right w:color="d7dce5" w:space="0" w:sz="4" w:val="single"/>
          <w:insideH w:color="d7dce5" w:space="0" w:sz="4" w:val="single"/>
          <w:insideV w:color="d7dce5" w:space="0" w:sz="4" w:val="single"/>
        </w:tblBorders>
        <w:tblLayout w:type="fixed"/>
        <w:tblLook w:val="0400"/>
      </w:tblPr>
      <w:tblGrid>
        <w:gridCol w:w="7500"/>
        <w:gridCol w:w="1860"/>
        <w:tblGridChange w:id="0">
          <w:tblGrid>
            <w:gridCol w:w="7500"/>
            <w:gridCol w:w="1860"/>
          </w:tblGrid>
        </w:tblGridChange>
      </w:tblGrid>
      <w:tr>
        <w:trPr>
          <w:cantSplit w:val="0"/>
          <w:tblHeader w:val="1"/>
        </w:trPr>
        <w:tc>
          <w:tcPr>
            <w:shd w:fill="7d2ae8" w:val="clear"/>
            <w:vAlign w:val="center"/>
          </w:tcPr>
          <w:p w:rsidR="00000000" w:rsidDel="00000000" w:rsidP="00000000" w:rsidRDefault="00000000" w:rsidRPr="00000000" w14:paraId="000000A6">
            <w:pPr>
              <w:spacing w:after="0" w:line="252.00000000000003" w:lineRule="auto"/>
              <w:jc w:val="center"/>
              <w:rPr/>
            </w:pPr>
            <w:r w:rsidDel="00000000" w:rsidR="00000000" w:rsidRPr="00000000">
              <w:rPr>
                <w:b w:val="1"/>
                <w:bCs w:val="1"/>
                <w:color w:val="ffffff"/>
                <w:sz w:val="17"/>
                <w:szCs w:val="17"/>
                <w:rtl w:val="0"/>
              </w:rPr>
              <w:t xml:space="preserve">Criterio</w:t>
            </w:r>
            <w:r w:rsidDel="00000000" w:rsidR="00000000" w:rsidRPr="00000000">
              <w:rPr>
                <w:rtl w:val="0"/>
              </w:rPr>
            </w:r>
          </w:p>
        </w:tc>
        <w:tc>
          <w:tcPr>
            <w:shd w:fill="7d2ae8" w:val="clear"/>
            <w:vAlign w:val="center"/>
          </w:tcPr>
          <w:p w:rsidR="00000000" w:rsidDel="00000000" w:rsidP="00000000" w:rsidRDefault="00000000" w:rsidRPr="00000000" w14:paraId="000000A7">
            <w:pPr>
              <w:spacing w:after="0" w:line="252.00000000000003" w:lineRule="auto"/>
              <w:jc w:val="center"/>
              <w:rPr/>
            </w:pPr>
            <w:r w:rsidDel="00000000" w:rsidR="00000000" w:rsidRPr="00000000">
              <w:rPr>
                <w:b w:val="1"/>
                <w:bCs w:val="1"/>
                <w:color w:val="ffffff"/>
                <w:sz w:val="17"/>
                <w:szCs w:val="17"/>
                <w:rtl w:val="0"/>
              </w:rPr>
              <w:t xml:space="preserve">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spacing w:after="0" w:line="252.00000000000003" w:lineRule="auto"/>
              <w:rPr/>
            </w:pPr>
            <w:r w:rsidDel="00000000" w:rsidR="00000000" w:rsidRPr="00000000">
              <w:rPr>
                <w:sz w:val="17"/>
                <w:szCs w:val="17"/>
                <w:rtl w:val="0"/>
              </w:rPr>
              <w:t xml:space="preserve">Existe coherencia entre los resultados de aprendizaje y el contenido.</w:t>
            </w:r>
            <w:r w:rsidDel="00000000" w:rsidR="00000000" w:rsidRPr="00000000">
              <w:rPr>
                <w:rtl w:val="0"/>
              </w:rPr>
            </w:r>
          </w:p>
        </w:tc>
        <w:tc>
          <w:tcPr>
            <w:vAlign w:val="center"/>
          </w:tcPr>
          <w:p w:rsidR="00000000" w:rsidDel="00000000" w:rsidP="00000000" w:rsidRDefault="00000000" w:rsidRPr="00000000" w14:paraId="000000A9">
            <w:pPr>
              <w:spacing w:after="0" w:line="252.00000000000003" w:lineRule="auto"/>
              <w:jc w:val="center"/>
              <w:rPr/>
            </w:pPr>
            <w:r w:rsidDel="00000000" w:rsidR="00000000" w:rsidRPr="00000000">
              <w:rPr>
                <w:sz w:val="16"/>
                <w:szCs w:val="16"/>
                <w:rtl w:val="0"/>
              </w:rPr>
              <w:t xml:space="preserve">☐ Pendiente</w:t>
              <w:br w:type="textWrapping"/>
            </w:r>
            <w:r w:rsidDel="00000000" w:rsidR="00000000" w:rsidRPr="00000000">
              <w:rPr>
                <w:rFonts w:ascii="Calibri" w:cs="Calibri" w:eastAsia="Calibri" w:hAnsi="Calibri"/>
                <w:color w:val="202534"/>
                <w:sz w:val="16"/>
                <w:szCs w:val="16"/>
                <w:rtl w:val="0"/>
              </w:rPr>
              <w:t xml:space="preserve">☒ </w:t>
            </w:r>
            <w:r w:rsidDel="00000000" w:rsidR="00000000" w:rsidRPr="00000000">
              <w:rPr>
                <w:sz w:val="16"/>
                <w:szCs w:val="16"/>
                <w:rtl w:val="0"/>
              </w:rPr>
              <w:t xml:space="preserve">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spacing w:after="0" w:line="252.00000000000003" w:lineRule="auto"/>
              <w:rPr/>
            </w:pPr>
            <w:r w:rsidDel="00000000" w:rsidR="00000000" w:rsidRPr="00000000">
              <w:rPr>
                <w:sz w:val="17"/>
                <w:szCs w:val="17"/>
                <w:rtl w:val="0"/>
              </w:rPr>
              <w:t xml:space="preserve">Los conceptos se desarrollan de manera progresiva y comprensible.</w:t>
            </w:r>
            <w:r w:rsidDel="00000000" w:rsidR="00000000" w:rsidRPr="00000000">
              <w:rPr>
                <w:rtl w:val="0"/>
              </w:rPr>
            </w:r>
          </w:p>
        </w:tc>
        <w:tc>
          <w:tcPr>
            <w:vAlign w:val="center"/>
          </w:tcPr>
          <w:p w:rsidR="00000000" w:rsidDel="00000000" w:rsidP="00000000" w:rsidRDefault="00000000" w:rsidRPr="00000000" w14:paraId="000000AB">
            <w:pPr>
              <w:spacing w:after="0" w:line="252.00000000000003" w:lineRule="auto"/>
              <w:jc w:val="center"/>
              <w:rPr/>
            </w:pPr>
            <w:r w:rsidDel="00000000" w:rsidR="00000000" w:rsidRPr="00000000">
              <w:rPr>
                <w:sz w:val="16"/>
                <w:szCs w:val="16"/>
                <w:rtl w:val="0"/>
              </w:rPr>
              <w:t xml:space="preserve">☐ Pendiente</w:t>
              <w:br w:type="textWrapping"/>
            </w:r>
            <w:r w:rsidDel="00000000" w:rsidR="00000000" w:rsidRPr="00000000">
              <w:rPr>
                <w:rFonts w:ascii="Calibri" w:cs="Calibri" w:eastAsia="Calibri" w:hAnsi="Calibri"/>
                <w:color w:val="202534"/>
                <w:sz w:val="16"/>
                <w:szCs w:val="16"/>
                <w:rtl w:val="0"/>
              </w:rPr>
              <w:t xml:space="preserve">☒ </w:t>
            </w:r>
            <w:r w:rsidDel="00000000" w:rsidR="00000000" w:rsidRPr="00000000">
              <w:rPr>
                <w:sz w:val="16"/>
                <w:szCs w:val="16"/>
                <w:rtl w:val="0"/>
              </w:rPr>
              <w:t xml:space="preserve">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spacing w:after="0" w:line="252.00000000000003" w:lineRule="auto"/>
              <w:rPr/>
            </w:pPr>
            <w:r w:rsidDel="00000000" w:rsidR="00000000" w:rsidRPr="00000000">
              <w:rPr>
                <w:sz w:val="17"/>
                <w:szCs w:val="17"/>
                <w:rtl w:val="0"/>
              </w:rPr>
              <w:t xml:space="preserve">Cada tema incluye explicación, ejemplos y aplicaciones pertinentes.</w:t>
            </w:r>
            <w:r w:rsidDel="00000000" w:rsidR="00000000" w:rsidRPr="00000000">
              <w:rPr>
                <w:rtl w:val="0"/>
              </w:rPr>
            </w:r>
          </w:p>
        </w:tc>
        <w:tc>
          <w:tcPr>
            <w:vAlign w:val="center"/>
          </w:tcPr>
          <w:p w:rsidR="00000000" w:rsidDel="00000000" w:rsidP="00000000" w:rsidRDefault="00000000" w:rsidRPr="00000000" w14:paraId="000000AD">
            <w:pPr>
              <w:spacing w:after="0" w:line="252.00000000000003" w:lineRule="auto"/>
              <w:jc w:val="center"/>
              <w:rPr/>
            </w:pPr>
            <w:r w:rsidDel="00000000" w:rsidR="00000000" w:rsidRPr="00000000">
              <w:rPr>
                <w:sz w:val="16"/>
                <w:szCs w:val="16"/>
                <w:rtl w:val="0"/>
              </w:rPr>
              <w:t xml:space="preserve">☐ Pendiente</w:t>
              <w:br w:type="textWrapping"/>
            </w:r>
            <w:r w:rsidDel="00000000" w:rsidR="00000000" w:rsidRPr="00000000">
              <w:rPr>
                <w:rFonts w:ascii="Calibri" w:cs="Calibri" w:eastAsia="Calibri" w:hAnsi="Calibri"/>
                <w:color w:val="202534"/>
                <w:sz w:val="16"/>
                <w:szCs w:val="16"/>
                <w:rtl w:val="0"/>
              </w:rPr>
              <w:t xml:space="preserve">☒ </w:t>
            </w:r>
            <w:r w:rsidDel="00000000" w:rsidR="00000000" w:rsidRPr="00000000">
              <w:rPr>
                <w:sz w:val="16"/>
                <w:szCs w:val="16"/>
                <w:rtl w:val="0"/>
              </w:rPr>
              <w:t xml:space="preserve">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spacing w:after="0" w:line="252.00000000000003" w:lineRule="auto"/>
              <w:rPr/>
            </w:pPr>
            <w:r w:rsidDel="00000000" w:rsidR="00000000" w:rsidRPr="00000000">
              <w:rPr>
                <w:sz w:val="17"/>
                <w:szCs w:val="17"/>
                <w:rtl w:val="0"/>
              </w:rPr>
              <w:t xml:space="preserve">La reflexión autónoma está claramente diferenciada de las actividades evaluativas.</w:t>
            </w:r>
            <w:r w:rsidDel="00000000" w:rsidR="00000000" w:rsidRPr="00000000">
              <w:rPr>
                <w:rtl w:val="0"/>
              </w:rPr>
            </w:r>
          </w:p>
        </w:tc>
        <w:tc>
          <w:tcPr>
            <w:vAlign w:val="center"/>
          </w:tcPr>
          <w:p w:rsidR="00000000" w:rsidDel="00000000" w:rsidP="00000000" w:rsidRDefault="00000000" w:rsidRPr="00000000" w14:paraId="000000AF">
            <w:pPr>
              <w:spacing w:after="0" w:line="252.00000000000003" w:lineRule="auto"/>
              <w:jc w:val="center"/>
              <w:rPr/>
            </w:pPr>
            <w:r w:rsidDel="00000000" w:rsidR="00000000" w:rsidRPr="00000000">
              <w:rPr>
                <w:sz w:val="16"/>
                <w:szCs w:val="16"/>
                <w:rtl w:val="0"/>
              </w:rPr>
              <w:t xml:space="preserve">☐ Pendiente</w:t>
              <w:br w:type="textWrapping"/>
            </w:r>
            <w:r w:rsidDel="00000000" w:rsidR="00000000" w:rsidRPr="00000000">
              <w:rPr>
                <w:rFonts w:ascii="Calibri" w:cs="Calibri" w:eastAsia="Calibri" w:hAnsi="Calibri"/>
                <w:color w:val="202534"/>
                <w:sz w:val="16"/>
                <w:szCs w:val="16"/>
                <w:rtl w:val="0"/>
              </w:rPr>
              <w:t xml:space="preserve">☒ </w:t>
            </w:r>
            <w:r w:rsidDel="00000000" w:rsidR="00000000" w:rsidRPr="00000000">
              <w:rPr>
                <w:sz w:val="16"/>
                <w:szCs w:val="16"/>
                <w:rtl w:val="0"/>
              </w:rPr>
              <w:t xml:space="preserve">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spacing w:after="0" w:line="252.00000000000003" w:lineRule="auto"/>
              <w:rPr/>
            </w:pPr>
            <w:r w:rsidDel="00000000" w:rsidR="00000000" w:rsidRPr="00000000">
              <w:rPr>
                <w:sz w:val="17"/>
                <w:szCs w:val="17"/>
                <w:rtl w:val="0"/>
              </w:rPr>
              <w:t xml:space="preserve">Las referencias son verificables y se presentan con la norma APA vigente.</w:t>
            </w:r>
            <w:r w:rsidDel="00000000" w:rsidR="00000000" w:rsidRPr="00000000">
              <w:rPr>
                <w:rtl w:val="0"/>
              </w:rPr>
            </w:r>
          </w:p>
        </w:tc>
        <w:tc>
          <w:tcPr>
            <w:vAlign w:val="center"/>
          </w:tcPr>
          <w:p w:rsidR="00000000" w:rsidDel="00000000" w:rsidP="00000000" w:rsidRDefault="00000000" w:rsidRPr="00000000" w14:paraId="000000B1">
            <w:pPr>
              <w:spacing w:after="0" w:line="252.00000000000003" w:lineRule="auto"/>
              <w:jc w:val="center"/>
              <w:rPr/>
            </w:pPr>
            <w:r w:rsidDel="00000000" w:rsidR="00000000" w:rsidRPr="00000000">
              <w:rPr>
                <w:sz w:val="16"/>
                <w:szCs w:val="16"/>
                <w:rtl w:val="0"/>
              </w:rPr>
              <w:t xml:space="preserve">☐ Pendiente</w:t>
              <w:br w:type="textWrapping"/>
            </w:r>
            <w:r w:rsidDel="00000000" w:rsidR="00000000" w:rsidRPr="00000000">
              <w:rPr>
                <w:rFonts w:ascii="Calibri" w:cs="Calibri" w:eastAsia="Calibri" w:hAnsi="Calibri"/>
                <w:color w:val="202534"/>
                <w:sz w:val="16"/>
                <w:szCs w:val="16"/>
                <w:rtl w:val="0"/>
              </w:rPr>
              <w:t xml:space="preserve">☒ </w:t>
            </w:r>
            <w:r w:rsidDel="00000000" w:rsidR="00000000" w:rsidRPr="00000000">
              <w:rPr>
                <w:sz w:val="16"/>
                <w:szCs w:val="16"/>
                <w:rtl w:val="0"/>
              </w:rPr>
              <w:t xml:space="preserve">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spacing w:after="0" w:line="252.00000000000003" w:lineRule="auto"/>
              <w:rPr/>
            </w:pPr>
            <w:r w:rsidDel="00000000" w:rsidR="00000000" w:rsidRPr="00000000">
              <w:rPr>
                <w:sz w:val="17"/>
                <w:szCs w:val="17"/>
                <w:rtl w:val="0"/>
              </w:rPr>
              <w:t xml:space="preserve">Las citas, paráfrasis y recursos respetan los derechos de autor.</w:t>
            </w:r>
            <w:r w:rsidDel="00000000" w:rsidR="00000000" w:rsidRPr="00000000">
              <w:rPr>
                <w:rtl w:val="0"/>
              </w:rPr>
            </w:r>
          </w:p>
        </w:tc>
        <w:tc>
          <w:tcPr>
            <w:vAlign w:val="center"/>
          </w:tcPr>
          <w:p w:rsidR="00000000" w:rsidDel="00000000" w:rsidP="00000000" w:rsidRDefault="00000000" w:rsidRPr="00000000" w14:paraId="000000B3">
            <w:pPr>
              <w:spacing w:after="0" w:line="252.00000000000003" w:lineRule="auto"/>
              <w:jc w:val="center"/>
              <w:rPr/>
            </w:pPr>
            <w:r w:rsidDel="00000000" w:rsidR="00000000" w:rsidRPr="00000000">
              <w:rPr>
                <w:sz w:val="16"/>
                <w:szCs w:val="16"/>
                <w:rtl w:val="0"/>
              </w:rPr>
              <w:t xml:space="preserve">☐ Pendiente</w:t>
              <w:br w:type="textWrapping"/>
            </w:r>
            <w:r w:rsidDel="00000000" w:rsidR="00000000" w:rsidRPr="00000000">
              <w:rPr>
                <w:rFonts w:ascii="Calibri" w:cs="Calibri" w:eastAsia="Calibri" w:hAnsi="Calibri"/>
                <w:color w:val="202534"/>
                <w:sz w:val="16"/>
                <w:szCs w:val="16"/>
                <w:rtl w:val="0"/>
              </w:rPr>
              <w:t xml:space="preserve">☒ </w:t>
            </w:r>
            <w:r w:rsidDel="00000000" w:rsidR="00000000" w:rsidRPr="00000000">
              <w:rPr>
                <w:sz w:val="16"/>
                <w:szCs w:val="16"/>
                <w:rtl w:val="0"/>
              </w:rPr>
              <w:t xml:space="preserve">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spacing w:after="0" w:line="252.00000000000003" w:lineRule="auto"/>
              <w:rPr>
                <w:sz w:val="17"/>
                <w:szCs w:val="17"/>
              </w:rPr>
            </w:pPr>
            <w:r w:rsidDel="00000000" w:rsidR="00000000" w:rsidRPr="00000000">
              <w:rPr>
                <w:sz w:val="17"/>
                <w:szCs w:val="17"/>
                <w:rtl w:val="0"/>
              </w:rPr>
              <w:t xml:space="preserve">No existen errores ortográficos, gramaticales ni de coherencia.</w:t>
            </w:r>
          </w:p>
        </w:tc>
        <w:tc>
          <w:tcPr>
            <w:vAlign w:val="center"/>
          </w:tcPr>
          <w:p w:rsidR="00000000" w:rsidDel="00000000" w:rsidP="00000000" w:rsidRDefault="00000000" w:rsidRPr="00000000" w14:paraId="000000B5">
            <w:pPr>
              <w:spacing w:after="0" w:line="252.00000000000003" w:lineRule="auto"/>
              <w:jc w:val="center"/>
              <w:rPr>
                <w:sz w:val="16"/>
                <w:szCs w:val="16"/>
              </w:rPr>
            </w:pPr>
            <w:r w:rsidDel="00000000" w:rsidR="00000000" w:rsidRPr="00000000">
              <w:rPr>
                <w:sz w:val="16"/>
                <w:szCs w:val="16"/>
                <w:rtl w:val="0"/>
              </w:rPr>
              <w:t xml:space="preserve">☐ Pendiente</w:t>
              <w:br w:type="textWrapping"/>
            </w:r>
            <w:r w:rsidDel="00000000" w:rsidR="00000000" w:rsidRPr="00000000">
              <w:rPr>
                <w:rFonts w:ascii="Calibri" w:cs="Calibri" w:eastAsia="Calibri" w:hAnsi="Calibri"/>
                <w:color w:val="202534"/>
                <w:sz w:val="16"/>
                <w:szCs w:val="16"/>
                <w:rtl w:val="0"/>
              </w:rPr>
              <w:t xml:space="preserve">☒ </w:t>
            </w:r>
            <w:r w:rsidDel="00000000" w:rsidR="00000000" w:rsidRPr="00000000">
              <w:rPr>
                <w:sz w:val="16"/>
                <w:szCs w:val="16"/>
                <w:rtl w:val="0"/>
              </w:rPr>
              <w:t xml:space="preserve"> Verificado</w:t>
            </w:r>
          </w:p>
        </w:tc>
      </w:tr>
    </w:tbl>
    <w:p w:rsidR="00000000" w:rsidDel="00000000" w:rsidP="00000000" w:rsidRDefault="00000000" w:rsidRPr="00000000" w14:paraId="000000B6">
      <w:pPr>
        <w:keepLines w:val="1"/>
        <w:pBdr>
          <w:top w:space="0" w:sz="0" w:val="nil"/>
          <w:left w:space="0" w:sz="0" w:val="nil"/>
          <w:bottom w:space="0" w:sz="0" w:val="nil"/>
          <w:right w:space="0" w:sz="0" w:val="nil"/>
          <w:between w:space="0" w:sz="0" w:val="nil"/>
        </w:pBdr>
        <w:spacing w:after="140" w:line="276" w:lineRule="auto"/>
        <w:ind w:left="144" w:hanging="144"/>
        <w:rPr>
          <w:sz w:val="20"/>
          <w:szCs w:val="20"/>
        </w:rPr>
      </w:pPr>
      <w:r w:rsidDel="00000000" w:rsidR="00000000" w:rsidRPr="00000000">
        <w:rPr>
          <w:rtl w:val="0"/>
        </w:rPr>
      </w:r>
    </w:p>
    <w:tbl>
      <w:tblPr>
        <w:tblStyle w:val="Table7"/>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e8eef5" w:val="clear"/>
            <w:tcMar>
              <w:top w:w="100.0" w:type="dxa"/>
              <w:left w:w="120.0" w:type="dxa"/>
              <w:bottom w:w="100.0" w:type="dxa"/>
              <w:right w:w="120.0" w:type="dxa"/>
            </w:tcMar>
            <w:vAlign w:val="center"/>
          </w:tcPr>
          <w:p w:rsidR="00000000" w:rsidDel="00000000" w:rsidP="00000000" w:rsidRDefault="00000000" w:rsidRPr="00000000" w14:paraId="000000B7">
            <w:pPr>
              <w:spacing w:after="40" w:lineRule="auto"/>
              <w:rPr/>
            </w:pPr>
            <w:r w:rsidDel="00000000" w:rsidR="00000000" w:rsidRPr="00000000">
              <w:rPr>
                <w:b w:val="1"/>
                <w:bCs w:val="1"/>
                <w:color w:val="1f5a94"/>
                <w:sz w:val="18"/>
                <w:szCs w:val="18"/>
                <w:rtl w:val="0"/>
              </w:rPr>
              <w:t xml:space="preserve">ENTREGA</w:t>
            </w:r>
            <w:r w:rsidDel="00000000" w:rsidR="00000000" w:rsidRPr="00000000">
              <w:rPr>
                <w:rtl w:val="0"/>
              </w:rPr>
            </w:r>
          </w:p>
          <w:p w:rsidR="00000000" w:rsidDel="00000000" w:rsidP="00000000" w:rsidRDefault="00000000" w:rsidRPr="00000000" w14:paraId="000000B8">
            <w:pPr>
              <w:spacing w:after="0" w:line="276" w:lineRule="auto"/>
              <w:rPr/>
            </w:pPr>
            <w:r w:rsidDel="00000000" w:rsidR="00000000" w:rsidRPr="00000000">
              <w:rPr>
                <w:sz w:val="20"/>
                <w:szCs w:val="20"/>
                <w:rtl w:val="0"/>
              </w:rPr>
              <w:t xml:space="preserve">Entregue el archivo en formato .docx, con los campos completamente diligenciados, enlaces activos y nombre de archivo estandarizado según las indicaciones.</w:t>
            </w:r>
            <w:r w:rsidDel="00000000" w:rsidR="00000000" w:rsidRPr="00000000">
              <w:rPr>
                <w:rtl w:val="0"/>
              </w:rPr>
            </w:r>
          </w:p>
        </w:tc>
      </w:tr>
    </w:tbl>
    <w:p w:rsidR="00000000" w:rsidDel="00000000" w:rsidP="00000000" w:rsidRDefault="00000000" w:rsidRPr="00000000" w14:paraId="000000B9">
      <w:pPr>
        <w:spacing w:after="40" w:line="72" w:lineRule="auto"/>
        <w:rPr/>
      </w:pPr>
      <w:r w:rsidDel="00000000" w:rsidR="00000000" w:rsidRPr="00000000">
        <w:rPr>
          <w:rtl w:val="0"/>
        </w:rPr>
      </w:r>
    </w:p>
    <w:p w:rsidR="00000000" w:rsidDel="00000000" w:rsidP="00000000" w:rsidRDefault="00000000" w:rsidRPr="00000000" w14:paraId="000000BA">
      <w:pPr>
        <w:spacing w:after="40" w:lineRule="auto"/>
        <w:rPr/>
      </w:pP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Control de revisión y aprobación</w:t>
      </w:r>
    </w:p>
    <w:tbl>
      <w:tblPr>
        <w:tblStyle w:val="Table8"/>
        <w:tblW w:w="9360.0" w:type="dxa"/>
        <w:jc w:val="left"/>
        <w:tblBorders>
          <w:top w:color="d7dce5" w:space="0" w:sz="4" w:val="single"/>
          <w:left w:color="d7dce5" w:space="0" w:sz="4" w:val="single"/>
          <w:bottom w:color="d7dce5" w:space="0" w:sz="4" w:val="single"/>
          <w:right w:color="d7dce5" w:space="0" w:sz="4" w:val="single"/>
          <w:insideH w:color="d7dce5" w:space="0" w:sz="4" w:val="single"/>
          <w:insideV w:color="d7dce5" w:space="0" w:sz="4" w:val="single"/>
        </w:tblBorders>
        <w:tblLayout w:type="fixed"/>
        <w:tblLook w:val="0400"/>
      </w:tblPr>
      <w:tblGrid>
        <w:gridCol w:w="2700"/>
        <w:gridCol w:w="3300"/>
        <w:gridCol w:w="1500"/>
        <w:gridCol w:w="1860"/>
        <w:tblGridChange w:id="0">
          <w:tblGrid>
            <w:gridCol w:w="2700"/>
            <w:gridCol w:w="3300"/>
            <w:gridCol w:w="1500"/>
            <w:gridCol w:w="1860"/>
          </w:tblGrid>
        </w:tblGridChange>
      </w:tblGrid>
      <w:tr>
        <w:trPr>
          <w:cantSplit w:val="0"/>
          <w:tblHeader w:val="1"/>
        </w:trPr>
        <w:tc>
          <w:tcPr>
            <w:shd w:fill="10145b" w:val="clear"/>
            <w:vAlign w:val="center"/>
          </w:tcPr>
          <w:p w:rsidR="00000000" w:rsidDel="00000000" w:rsidP="00000000" w:rsidRDefault="00000000" w:rsidRPr="00000000" w14:paraId="000000BC">
            <w:pPr>
              <w:spacing w:after="0" w:line="252.00000000000003" w:lineRule="auto"/>
              <w:jc w:val="center"/>
              <w:rPr/>
            </w:pPr>
            <w:r w:rsidDel="00000000" w:rsidR="00000000" w:rsidRPr="00000000">
              <w:rPr>
                <w:b w:val="1"/>
                <w:bCs w:val="1"/>
                <w:color w:val="ffffff"/>
                <w:sz w:val="17"/>
                <w:szCs w:val="17"/>
                <w:rtl w:val="0"/>
              </w:rPr>
              <w:t xml:space="preserve">Rol</w:t>
            </w:r>
            <w:r w:rsidDel="00000000" w:rsidR="00000000" w:rsidRPr="00000000">
              <w:rPr>
                <w:rtl w:val="0"/>
              </w:rPr>
            </w:r>
          </w:p>
        </w:tc>
        <w:tc>
          <w:tcPr>
            <w:shd w:fill="10145b" w:val="clear"/>
            <w:vAlign w:val="center"/>
          </w:tcPr>
          <w:p w:rsidR="00000000" w:rsidDel="00000000" w:rsidP="00000000" w:rsidRDefault="00000000" w:rsidRPr="00000000" w14:paraId="000000BD">
            <w:pPr>
              <w:spacing w:after="0" w:line="252.00000000000003" w:lineRule="auto"/>
              <w:jc w:val="center"/>
              <w:rPr/>
            </w:pPr>
            <w:r w:rsidDel="00000000" w:rsidR="00000000" w:rsidRPr="00000000">
              <w:rPr>
                <w:b w:val="1"/>
                <w:bCs w:val="1"/>
                <w:color w:val="ffffff"/>
                <w:sz w:val="17"/>
                <w:szCs w:val="17"/>
                <w:rtl w:val="0"/>
              </w:rPr>
              <w:t xml:space="preserve">Nombre y firma</w:t>
            </w:r>
            <w:r w:rsidDel="00000000" w:rsidR="00000000" w:rsidRPr="00000000">
              <w:rPr>
                <w:rtl w:val="0"/>
              </w:rPr>
            </w:r>
          </w:p>
        </w:tc>
        <w:tc>
          <w:tcPr>
            <w:shd w:fill="10145b" w:val="clear"/>
            <w:vAlign w:val="center"/>
          </w:tcPr>
          <w:p w:rsidR="00000000" w:rsidDel="00000000" w:rsidP="00000000" w:rsidRDefault="00000000" w:rsidRPr="00000000" w14:paraId="000000BE">
            <w:pPr>
              <w:spacing w:after="0" w:line="252.00000000000003" w:lineRule="auto"/>
              <w:jc w:val="center"/>
              <w:rPr/>
            </w:pPr>
            <w:r w:rsidDel="00000000" w:rsidR="00000000" w:rsidRPr="00000000">
              <w:rPr>
                <w:b w:val="1"/>
                <w:bCs w:val="1"/>
                <w:color w:val="ffffff"/>
                <w:sz w:val="17"/>
                <w:szCs w:val="17"/>
                <w:rtl w:val="0"/>
              </w:rPr>
              <w:t xml:space="preserve">Fecha</w:t>
            </w:r>
            <w:r w:rsidDel="00000000" w:rsidR="00000000" w:rsidRPr="00000000">
              <w:rPr>
                <w:rtl w:val="0"/>
              </w:rPr>
            </w:r>
          </w:p>
        </w:tc>
        <w:tc>
          <w:tcPr>
            <w:shd w:fill="10145b" w:val="clear"/>
            <w:vAlign w:val="center"/>
          </w:tcPr>
          <w:p w:rsidR="00000000" w:rsidDel="00000000" w:rsidP="00000000" w:rsidRDefault="00000000" w:rsidRPr="00000000" w14:paraId="000000BF">
            <w:pPr>
              <w:spacing w:after="0" w:line="252.00000000000003" w:lineRule="auto"/>
              <w:jc w:val="center"/>
              <w:rPr/>
            </w:pPr>
            <w:r w:rsidDel="00000000" w:rsidR="00000000" w:rsidRPr="00000000">
              <w:rPr>
                <w:b w:val="1"/>
                <w:bCs w:val="1"/>
                <w:color w:val="ffffff"/>
                <w:sz w:val="17"/>
                <w:szCs w:val="17"/>
                <w:rtl w:val="0"/>
              </w:rPr>
              <w:t xml:space="preserve">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spacing w:after="0" w:line="252.00000000000003" w:lineRule="auto"/>
              <w:rPr/>
            </w:pPr>
            <w:r w:rsidDel="00000000" w:rsidR="00000000" w:rsidRPr="00000000">
              <w:rPr>
                <w:sz w:val="16"/>
                <w:szCs w:val="16"/>
                <w:rtl w:val="0"/>
              </w:rPr>
              <w:t xml:space="preserve">Docente experto temático</w:t>
            </w:r>
            <w:r w:rsidDel="00000000" w:rsidR="00000000" w:rsidRPr="00000000">
              <w:rPr>
                <w:rtl w:val="0"/>
              </w:rPr>
            </w:r>
          </w:p>
        </w:tc>
        <w:tc>
          <w:tcPr>
            <w:vAlign w:val="center"/>
          </w:tcPr>
          <w:p w:rsidR="00000000" w:rsidDel="00000000" w:rsidP="00000000" w:rsidRDefault="00000000" w:rsidRPr="00000000" w14:paraId="000000C1">
            <w:pPr>
              <w:spacing w:after="0" w:line="252.00000000000003" w:lineRule="auto"/>
              <w:rPr/>
            </w:pPr>
            <w:r w:rsidDel="00000000" w:rsidR="00000000" w:rsidRPr="00000000">
              <w:rPr>
                <w:i w:val="1"/>
                <w:iCs w:val="1"/>
                <w:sz w:val="16"/>
                <w:szCs w:val="16"/>
                <w:rtl w:val="0"/>
              </w:rPr>
              <w:t xml:space="preserve">Camilo Ernesto Bastidas Guarnizo</w:t>
            </w:r>
            <w:r w:rsidDel="00000000" w:rsidR="00000000" w:rsidRPr="00000000">
              <w:rPr>
                <w:rtl w:val="0"/>
              </w:rPr>
            </w:r>
          </w:p>
        </w:tc>
        <w:tc>
          <w:tcPr>
            <w:vAlign w:val="center"/>
          </w:tcPr>
          <w:p w:rsidR="00000000" w:rsidDel="00000000" w:rsidP="00000000" w:rsidRDefault="00000000" w:rsidRPr="00000000" w14:paraId="000000C2">
            <w:pPr>
              <w:spacing w:after="0" w:line="252.00000000000003" w:lineRule="auto"/>
              <w:rPr/>
            </w:pPr>
            <w:r w:rsidDel="00000000" w:rsidR="00000000" w:rsidRPr="00000000">
              <w:rPr>
                <w:sz w:val="16"/>
                <w:szCs w:val="16"/>
                <w:rtl w:val="0"/>
              </w:rPr>
              <w:t xml:space="preserve">25/09/2025</w:t>
            </w:r>
            <w:r w:rsidDel="00000000" w:rsidR="00000000" w:rsidRPr="00000000">
              <w:rPr>
                <w:rtl w:val="0"/>
              </w:rPr>
            </w:r>
          </w:p>
        </w:tc>
        <w:tc>
          <w:tcPr>
            <w:vAlign w:val="center"/>
          </w:tcPr>
          <w:p w:rsidR="00000000" w:rsidDel="00000000" w:rsidP="00000000" w:rsidRDefault="00000000" w:rsidRPr="00000000" w14:paraId="000000C3">
            <w:pPr>
              <w:spacing w:after="0" w:line="252.00000000000003" w:lineRule="auto"/>
              <w:jc w:val="center"/>
              <w:rPr/>
            </w:pPr>
            <w:r w:rsidDel="00000000" w:rsidR="00000000" w:rsidRPr="00000000">
              <w:rPr>
                <w:sz w:val="16"/>
                <w:szCs w:val="16"/>
                <w:rtl w:val="0"/>
              </w:rPr>
              <w:t xml:space="preserve">☐ Pendiente</w:t>
              <w:br w:type="textWrapping"/>
            </w:r>
            <w:r w:rsidDel="00000000" w:rsidR="00000000" w:rsidRPr="00000000">
              <w:rPr>
                <w:rFonts w:ascii="Calibri" w:cs="Calibri" w:eastAsia="Calibri" w:hAnsi="Calibri"/>
                <w:color w:val="202534"/>
                <w:sz w:val="16"/>
                <w:szCs w:val="16"/>
                <w:rtl w:val="0"/>
              </w:rPr>
              <w:t xml:space="preserve">☒ </w:t>
            </w:r>
            <w:r w:rsidDel="00000000" w:rsidR="00000000" w:rsidRPr="00000000">
              <w:rPr>
                <w:sz w:val="16"/>
                <w:szCs w:val="16"/>
                <w:rtl w:val="0"/>
              </w:rPr>
              <w:t xml:space="preserve"> Aprobado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spacing w:after="0" w:line="252.00000000000003" w:lineRule="auto"/>
              <w:rPr/>
            </w:pPr>
            <w:r w:rsidDel="00000000" w:rsidR="00000000" w:rsidRPr="00000000">
              <w:rPr>
                <w:sz w:val="16"/>
                <w:szCs w:val="16"/>
                <w:rtl w:val="0"/>
              </w:rPr>
              <w:t xml:space="preserve">Asesor pedagógico CTEV</w:t>
            </w:r>
            <w:r w:rsidDel="00000000" w:rsidR="00000000" w:rsidRPr="00000000">
              <w:rPr>
                <w:rtl w:val="0"/>
              </w:rPr>
            </w:r>
          </w:p>
        </w:tc>
        <w:tc>
          <w:tcPr>
            <w:vAlign w:val="center"/>
          </w:tcPr>
          <w:p w:rsidR="00000000" w:rsidDel="00000000" w:rsidP="00000000" w:rsidRDefault="00000000" w:rsidRPr="00000000" w14:paraId="000000C5">
            <w:pPr>
              <w:spacing w:after="0" w:line="252.00000000000003" w:lineRule="auto"/>
              <w:rPr/>
            </w:pPr>
            <w:r w:rsidDel="00000000" w:rsidR="00000000" w:rsidRPr="00000000">
              <w:rPr>
                <w:i w:val="1"/>
                <w:iCs w:val="1"/>
                <w:sz w:val="16"/>
                <w:szCs w:val="16"/>
                <w:rtl w:val="0"/>
              </w:rPr>
              <w:t xml:space="preserve">[Diligencie aquí]</w:t>
            </w:r>
            <w:r w:rsidDel="00000000" w:rsidR="00000000" w:rsidRPr="00000000">
              <w:rPr>
                <w:rtl w:val="0"/>
              </w:rPr>
            </w:r>
          </w:p>
        </w:tc>
        <w:tc>
          <w:tcPr>
            <w:vAlign w:val="center"/>
          </w:tcPr>
          <w:p w:rsidR="00000000" w:rsidDel="00000000" w:rsidP="00000000" w:rsidRDefault="00000000" w:rsidRPr="00000000" w14:paraId="000000C6">
            <w:pPr>
              <w:spacing w:after="0" w:line="252.00000000000003" w:lineRule="auto"/>
              <w:jc w:val="center"/>
              <w:rPr/>
            </w:pPr>
            <w:r w:rsidDel="00000000" w:rsidR="00000000" w:rsidRPr="00000000">
              <w:rPr>
                <w:sz w:val="16"/>
                <w:szCs w:val="16"/>
                <w:rtl w:val="0"/>
              </w:rPr>
              <w:t xml:space="preserve">dd/mm/aaaa</w:t>
            </w:r>
            <w:r w:rsidDel="00000000" w:rsidR="00000000" w:rsidRPr="00000000">
              <w:rPr>
                <w:rtl w:val="0"/>
              </w:rPr>
            </w:r>
          </w:p>
        </w:tc>
        <w:tc>
          <w:tcPr>
            <w:vAlign w:val="center"/>
          </w:tcPr>
          <w:p w:rsidR="00000000" w:rsidDel="00000000" w:rsidP="00000000" w:rsidRDefault="00000000" w:rsidRPr="00000000" w14:paraId="000000C7">
            <w:pPr>
              <w:spacing w:after="0" w:line="252.00000000000003" w:lineRule="auto"/>
              <w:jc w:val="center"/>
              <w:rPr/>
            </w:pPr>
            <w:r w:rsidDel="00000000" w:rsidR="00000000" w:rsidRPr="00000000">
              <w:rPr>
                <w:sz w:val="16"/>
                <w:szCs w:val="16"/>
                <w:rtl w:val="0"/>
              </w:rPr>
              <w:t xml:space="preserve">☐ Pendiente</w:t>
              <w:br w:type="textWrapping"/>
              <w:t xml:space="preserve">☐ Aprobado</w:t>
            </w: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080" w:top="1123" w:left="1440" w:right="1440" w:header="403"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pBdr>
        <w:top w:color="d7dce3" w:space="5" w:sz="6" w:val="single"/>
        <w:left w:space="0" w:sz="0" w:val="nil"/>
        <w:bottom w:space="0" w:sz="0" w:val="nil"/>
        <w:right w:space="0" w:sz="0" w:val="nil"/>
        <w:between w:space="0" w:sz="0" w:val="nil"/>
      </w:pBdr>
      <w:tabs>
        <w:tab w:val="center" w:leader="none" w:pos="4680"/>
        <w:tab w:val="right" w:leader="none" w:pos="9360"/>
      </w:tabs>
      <w:spacing w:after="0" w:before="80" w:line="240" w:lineRule="auto"/>
      <w:jc w:val="center"/>
      <w:rPr/>
    </w:pPr>
    <w:r w:rsidDel="00000000" w:rsidR="00000000" w:rsidRPr="00000000">
      <w:rPr>
        <w:color w:val="5f6b78"/>
        <w:sz w:val="17"/>
        <w:szCs w:val="17"/>
        <w:rtl w:val="0"/>
      </w:rPr>
      <w:t xml:space="preserve">CTEV  |  Guía institucional  |  Página </w:t>
    </w:r>
    <w:r w:rsidDel="00000000" w:rsidR="00000000" w:rsidRPr="00000000">
      <w:rPr>
        <w:color w:val="5f6b78"/>
        <w:sz w:val="17"/>
        <w:szCs w:val="17"/>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bookmarkStart w:colFirst="0" w:colLast="0" w:name="_heading=h.y8jsi6jkexra" w:id="1"/>
    <w:bookmarkEnd w:id="1"/>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-1637530</wp:posOffset>
          </wp:positionH>
          <wp:positionV relativeFrom="paragraph">
            <wp:posOffset>-522065</wp:posOffset>
          </wp:positionV>
          <wp:extent cx="8639175" cy="11071225"/>
          <wp:effectExtent b="0" l="0" r="0" t="0"/>
          <wp:wrapNone/>
          <wp:docPr descr="Encabezado institucional de la Universidad de Cartagena y el CTEV." id="2" name="image1.png"/>
          <a:graphic>
            <a:graphicData uri="http://schemas.openxmlformats.org/drawingml/2006/picture">
              <pic:pic>
                <pic:nvPicPr>
                  <pic:cNvPr descr="Encabezado institucional de la Universidad de Cartagena y el CTEV." id="0" name="image1.png"/>
                  <pic:cNvPicPr preferRelativeResize="0"/>
                </pic:nvPicPr>
                <pic:blipFill>
                  <a:blip r:embed="rId1"/>
                  <a:srcRect b="0" l="0" r="0" t="0"/>
                  <a:stretch>
                    <a:fillRect/>
                  </a:stretch>
                </pic:blipFill>
                <pic:spPr>
                  <a:xfrm>
                    <a:off x="0" y="0"/>
                    <a:ext cx="8639175" cy="1107122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270"/>
      </w:pPr>
      <w:rPr>
        <w:rFonts w:ascii="Aptos" w:cs="Aptos" w:eastAsia="Aptos" w:hAnsi="Aptos"/>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7313b"/>
        <w:sz w:val="21"/>
        <w:szCs w:val="21"/>
        <w:lang w:val="es-CO"/>
      </w:rPr>
    </w:rPrDefault>
    <w:pPrDefault>
      <w:pPr>
        <w:spacing w:after="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60" w:lineRule="auto"/>
    </w:pPr>
    <w:rPr>
      <w:rFonts w:ascii="Calibri" w:cs="Calibri" w:eastAsia="Calibri" w:hAnsi="Calibri"/>
      <w:b w:val="1"/>
      <w:bCs w:val="1"/>
      <w:color w:val="1f5a94"/>
      <w:sz w:val="32"/>
      <w:szCs w:val="32"/>
    </w:rPr>
  </w:style>
  <w:style w:type="paragraph" w:styleId="Heading2">
    <w:name w:val="heading 2"/>
    <w:basedOn w:val="Normal"/>
    <w:next w:val="Normal"/>
    <w:pPr>
      <w:keepNext w:val="1"/>
      <w:keepLines w:val="1"/>
      <w:spacing w:before="260" w:lineRule="auto"/>
    </w:pPr>
    <w:rPr>
      <w:rFonts w:ascii="Calibri" w:cs="Calibri" w:eastAsia="Calibri" w:hAnsi="Calibri"/>
      <w:b w:val="1"/>
      <w:bCs w:val="1"/>
      <w:color w:val="1f5a94"/>
      <w:sz w:val="26"/>
      <w:szCs w:val="26"/>
    </w:rPr>
  </w:style>
  <w:style w:type="paragraph" w:styleId="Heading3">
    <w:name w:val="heading 3"/>
    <w:basedOn w:val="Normal"/>
    <w:next w:val="Normal"/>
    <w:pPr>
      <w:keepNext w:val="1"/>
      <w:keepLines w:val="1"/>
      <w:spacing w:after="80" w:before="180" w:lineRule="auto"/>
    </w:pPr>
    <w:rPr>
      <w:rFonts w:ascii="Calibri" w:cs="Calibri" w:eastAsia="Calibri" w:hAnsi="Calibri"/>
      <w:b w:val="1"/>
      <w:bCs w:val="1"/>
      <w:color w:val="173b63"/>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keepLines w:val="1"/>
      <w:pBdr>
        <w:bottom w:color="4f81bd" w:space="4" w:sz="8" w:val="single"/>
      </w:pBdr>
      <w:spacing w:line="240" w:lineRule="auto"/>
    </w:pPr>
    <w:rPr>
      <w:rFonts w:ascii="Calibri" w:cs="Calibri" w:eastAsia="Calibri" w:hAnsi="Calibri"/>
      <w:b w:val="1"/>
      <w:bCs w:val="1"/>
      <w:color w:val="173b63"/>
      <w:sz w:val="50"/>
      <w:szCs w:val="5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80.0" w:type="dxa"/>
        <w:left w:w="120.0" w:type="dxa"/>
        <w:bottom w:w="80.0" w:type="dxa"/>
        <w:right w:w="120.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80.0" w:type="dxa"/>
        <w:left w:w="120.0" w:type="dxa"/>
        <w:bottom w:w="80.0" w:type="dxa"/>
        <w:right w:w="120.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tblPr>
      <w:tblStyleRowBandSize w:val="1"/>
      <w:tblStyleColBandSize w:val="1"/>
      <w:tblCellMar>
        <w:top w:w="80.0" w:type="dxa"/>
        <w:left w:w="120.0" w:type="dxa"/>
        <w:bottom w:w="80.0" w:type="dxa"/>
        <w:right w:w="120.0" w:type="dxa"/>
      </w:tblCellMar>
    </w:tblPr>
  </w:style>
  <w:style w:type="table" w:styleId="a5" w:customStyle="1">
    <w:basedOn w:val="TableNormal"/>
    <w:tblPr>
      <w:tblStyleRowBandSize w:val="1"/>
      <w:tblStyleColBandSize w:val="1"/>
      <w:tblCellMar>
        <w:top w:w="0.0" w:type="dxa"/>
        <w:left w:w="115.0" w:type="dxa"/>
        <w:bottom w:w="0.0" w:type="dxa"/>
        <w:right w:w="115.0" w:type="dxa"/>
      </w:tblCellMar>
    </w:tblPr>
  </w:style>
  <w:style w:type="table" w:styleId="a6" w:customStyle="1">
    <w:basedOn w:val="TableNormal"/>
    <w:tblPr>
      <w:tblStyleRowBandSize w:val="1"/>
      <w:tblStyleColBandSize w:val="1"/>
      <w:tblCellMar>
        <w:top w:w="80.0" w:type="dxa"/>
        <w:left w:w="120.0" w:type="dxa"/>
        <w:bottom w:w="80.0" w:type="dxa"/>
        <w:right w:w="120.0" w:type="dxa"/>
      </w:tblCellMar>
    </w:tblPr>
  </w:style>
  <w:style w:type="paragraph" w:styleId="Prrafodelista">
    <w:name w:val="List Paragraph"/>
    <w:basedOn w:val="Normal"/>
    <w:uiPriority w:val="34"/>
    <w:qFormat w:val="1"/>
    <w:rsid w:val="000F0026"/>
    <w:pPr>
      <w:ind w:left="720"/>
      <w:contextualSpacing w:val="1"/>
    </w:pPr>
  </w:style>
  <w:style w:type="paragraph" w:styleId="Listaconvietas">
    <w:name w:val="List Bullet"/>
    <w:basedOn w:val="Normal"/>
    <w:uiPriority w:val="99"/>
    <w:unhideWhenUsed w:val="1"/>
    <w:rsid w:val="00DF54FF"/>
    <w:pPr>
      <w:numPr>
        <w:numId w:val="10"/>
      </w:numPr>
      <w:spacing w:line="360" w:lineRule="auto"/>
      <w:contextualSpacing w:val="1"/>
    </w:pPr>
    <w:rPr>
      <w:rFonts w:ascii="Arial" w:hAnsi="Arial" w:cstheme="minorBidi" w:eastAsiaTheme="minorEastAsia"/>
      <w:color w:val="auto"/>
      <w:sz w:val="24"/>
      <w:szCs w:val="22"/>
      <w:lang w:eastAsia="en-US" w:val="en-US"/>
    </w:rPr>
  </w:style>
  <w:style w:type="character" w:styleId="Ttulo1Car" w:customStyle="1">
    <w:name w:val="Título 1 Car"/>
    <w:basedOn w:val="Fuentedeprrafopredeter"/>
    <w:link w:val="Ttulo1"/>
    <w:uiPriority w:val="9"/>
    <w:rsid w:val="00310B2D"/>
    <w:rPr>
      <w:rFonts w:ascii="Calibri" w:cs="Calibri" w:eastAsia="Calibri" w:hAnsi="Calibri"/>
      <w:b w:val="1"/>
      <w:bCs w:val="1"/>
      <w:color w:val="1f5a94"/>
      <w:sz w:val="32"/>
      <w:szCs w:val="32"/>
    </w:rPr>
  </w:style>
  <w:style w:type="paragraph" w:styleId="Listaconnmeros">
    <w:name w:val="List Number"/>
    <w:basedOn w:val="Normal"/>
    <w:uiPriority w:val="99"/>
    <w:unhideWhenUsed w:val="1"/>
    <w:rsid w:val="00310B2D"/>
    <w:pPr>
      <w:numPr>
        <w:numId w:val="13"/>
      </w:numPr>
      <w:spacing w:line="360" w:lineRule="auto"/>
      <w:contextualSpacing w:val="1"/>
    </w:pPr>
    <w:rPr>
      <w:rFonts w:ascii="Arial" w:hAnsi="Arial" w:cstheme="minorBidi" w:eastAsiaTheme="minorEastAsia"/>
      <w:color w:val="auto"/>
      <w:sz w:val="24"/>
      <w:szCs w:val="22"/>
      <w:lang w:eastAsia="en-US" w:val="en-US"/>
    </w:rPr>
  </w:style>
  <w:style w:type="paragraph" w:styleId="Subtitle">
    <w:name w:val="Subtitle"/>
    <w:basedOn w:val="Normal"/>
    <w:next w:val="Normal"/>
    <w:pPr>
      <w:keepNext w:val="1"/>
      <w:keepLines w:val="1"/>
      <w:spacing w:after="360" w:lineRule="auto"/>
    </w:pPr>
    <w:rPr>
      <w:rFonts w:ascii="Calibri" w:cs="Calibri" w:eastAsia="Calibri" w:hAnsi="Calibri"/>
      <w:i w:val="1"/>
      <w:iCs w:val="1"/>
      <w:color w:val="5f6b78"/>
      <w:sz w:val="23"/>
      <w:szCs w:val="23"/>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LkMjm6afegVlytjviDB/cCgGVQ==">CgMxLjAyDmguMWE5Z3pnYWFlMXdnMg5oLnk4anNpNmprZXhyYTgAciExRExST0Q0YVpaeW5NTlY4UXpFVUZXbzQxUmIyNDVUV3c=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2026-09-22T22:31:00Z</dcterms:created>
  <dc:creator>HP</dc:creator>
</cp:coreProperties>
</file>