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rsidDel="00000000" w:rsidR="00000000" w:rsidRPr="00000000">
        <w:rPr>
          <w:b w:val="1"/>
          <w:bCs w:val="1"/>
          <w:color w:val="5b2c83"/>
          <w:sz w:val="18"/>
          <w:szCs w:val="18"/>
          <w:rtl w:val="0"/>
        </w:rPr>
        <w:t xml:space="preserve">ORIENTACIÓN PARA DOCENTES EXPERTOS</w:t>
      </w:r>
      <w:r w:rsidDel="00000000" w:rsidR="00000000" w:rsidRPr="00000000">
        <w:rPr>
          <w:rtl w:val="0"/>
        </w:rPr>
      </w:r>
    </w:p>
    <w:p w:rsidR="00000000" w:rsidDel="00000000" w:rsidP="00000000" w:rsidRDefault="00000000" w:rsidRPr="00000000" w14:paraId="00000002">
      <w:pPr>
        <w:pStyle w:val="Title"/>
        <w:pBdr>
          <w:bottom w:color="000000" w:space="0" w:sz="0" w:val="none"/>
        </w:pBdr>
        <w:spacing w:after="80" w:line="300" w:lineRule="auto"/>
        <w:rPr>
          <w:color w:val="10145b"/>
          <w:sz w:val="40"/>
          <w:szCs w:val="40"/>
        </w:rPr>
      </w:pPr>
      <w:r w:rsidDel="00000000" w:rsidR="00000000" w:rsidRPr="00000000">
        <w:rPr>
          <w:color w:val="10145b"/>
          <w:sz w:val="40"/>
          <w:szCs w:val="40"/>
          <w:rtl w:val="0"/>
        </w:rPr>
        <w:t xml:space="preserve">Guía para la Redacción del Módulo</w:t>
      </w:r>
    </w:p>
    <w:p w:rsidR="00000000" w:rsidDel="00000000" w:rsidP="00000000" w:rsidRDefault="00000000" w:rsidRPr="00000000" w14:paraId="00000003">
      <w:pPr>
        <w:pStyle w:val="Heading2"/>
        <w:numPr>
          <w:ilvl w:val="0"/>
          <w:numId w:val="4"/>
        </w:numPr>
        <w:spacing w:after="140" w:before="280" w:line="300" w:lineRule="auto"/>
        <w:ind w:left="360" w:hanging="360"/>
        <w:rPr>
          <w:color w:val="10145b"/>
        </w:rPr>
      </w:pPr>
      <w:r w:rsidDel="00000000" w:rsidR="00000000" w:rsidRPr="00000000">
        <w:rPr>
          <w:color w:val="10145b"/>
          <w:rtl w:val="0"/>
        </w:rPr>
        <w:t xml:space="preserve">Finalidad</w:t>
      </w:r>
    </w:p>
    <w:p w:rsidR="00000000" w:rsidDel="00000000" w:rsidP="00000000" w:rsidRDefault="00000000" w:rsidRPr="00000000" w14:paraId="00000004">
      <w:pPr>
        <w:rPr/>
      </w:pPr>
      <w:r w:rsidDel="00000000" w:rsidR="00000000" w:rsidRPr="00000000">
        <w:rPr>
          <w:rtl w:val="0"/>
        </w:rPr>
        <w:t xml:space="preserve">Este documento orienta la elaboración del módulo de aprendizaje que será utilizado como recurso principal de estudio. Su propósito es garantizar uniformidad en la estructura, calidad académica y coherencia pedagógica.</w:t>
      </w:r>
    </w:p>
    <w:p w:rsidR="00000000" w:rsidDel="00000000" w:rsidP="00000000" w:rsidRDefault="00000000" w:rsidRPr="00000000" w14:paraId="00000005">
      <w:pPr>
        <w:rPr/>
      </w:pPr>
      <w:r w:rsidDel="00000000" w:rsidR="00000000" w:rsidRPr="00000000">
        <w:rPr>
          <w:rtl w:val="0"/>
        </w:rPr>
        <w:t xml:space="preserve">El módulo debe presentar los contenidos de manera progresiva, contextualizada y articulada con los resultados de aprendizaje del curso, promoviendo el aprendizaje autónomo y significativo.</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sidR="00000000" w:rsidDel="00000000" w:rsidP="00000000" w:rsidRDefault="00000000" w:rsidRPr="00000000" w14:paraId="00000006">
            <w:pPr>
              <w:spacing w:after="0" w:line="252.00000000000003" w:lineRule="auto"/>
              <w:rPr>
                <w:b w:val="1"/>
                <w:bCs w:val="1"/>
                <w:color w:val="00b0f0"/>
                <w:sz w:val="17"/>
                <w:szCs w:val="17"/>
              </w:rPr>
            </w:pPr>
            <w:r w:rsidDel="00000000" w:rsidR="00000000" w:rsidRPr="00000000">
              <w:rPr>
                <w:b w:val="1"/>
                <w:bCs w:val="1"/>
                <w:color w:val="00b0f0"/>
                <w:sz w:val="17"/>
                <w:szCs w:val="17"/>
                <w:rtl w:val="0"/>
              </w:rPr>
              <w:t xml:space="preserve">USO DE ESTA GUÍA</w:t>
            </w:r>
          </w:p>
          <w:p w:rsidR="00000000" w:rsidDel="00000000" w:rsidP="00000000" w:rsidRDefault="00000000" w:rsidRPr="00000000" w14:paraId="00000007">
            <w:pPr>
              <w:spacing w:after="0" w:line="252.00000000000003" w:lineRule="auto"/>
              <w:rPr/>
            </w:pPr>
            <w:r w:rsidDel="00000000" w:rsidR="00000000" w:rsidRPr="00000000">
              <w:rPr>
                <w:sz w:val="17"/>
                <w:szCs w:val="17"/>
                <w:rtl w:val="0"/>
              </w:rPr>
              <w:t xml:space="preserve">Diligencie cada sección con información propia del curso. Conserve la estructura y la jerarquía de títulos para facilitar la revisión académica, la edición institucional y la producción posterior de recursos digitales.</w:t>
            </w:r>
            <w:r w:rsidDel="00000000" w:rsidR="00000000" w:rsidRPr="00000000">
              <w:rPr>
                <w:rtl w:val="0"/>
              </w:rPr>
            </w:r>
          </w:p>
        </w:tc>
      </w:tr>
    </w:tbl>
    <w:p w:rsidR="00000000" w:rsidDel="00000000" w:rsidP="00000000" w:rsidRDefault="00000000" w:rsidRPr="00000000" w14:paraId="00000008">
      <w:pPr>
        <w:spacing w:after="40" w:line="72" w:lineRule="auto"/>
        <w:rPr/>
      </w:pPr>
      <w:r w:rsidDel="00000000" w:rsidR="00000000" w:rsidRPr="00000000">
        <w:rPr>
          <w:rtl w:val="0"/>
        </w:rPr>
      </w:r>
    </w:p>
    <w:p w:rsidR="00000000" w:rsidDel="00000000" w:rsidP="00000000" w:rsidRDefault="00000000" w:rsidRPr="00000000" w14:paraId="00000009">
      <w:pPr>
        <w:pStyle w:val="Heading2"/>
        <w:numPr>
          <w:ilvl w:val="0"/>
          <w:numId w:val="4"/>
        </w:numPr>
        <w:spacing w:after="140" w:before="280" w:line="300" w:lineRule="auto"/>
        <w:ind w:left="360" w:hanging="360"/>
        <w:rPr>
          <w:color w:val="10145b"/>
        </w:rPr>
      </w:pPr>
      <w:r w:rsidDel="00000000" w:rsidR="00000000" w:rsidRPr="00000000">
        <w:rPr>
          <w:color w:val="10145b"/>
          <w:rtl w:val="0"/>
        </w:rPr>
        <w:t xml:space="preserve">Consideraciones generales</w:t>
      </w:r>
    </w:p>
    <w:p w:rsidR="00000000" w:rsidDel="00000000" w:rsidP="00000000" w:rsidRDefault="00000000" w:rsidRPr="00000000" w14:paraId="0000000A">
      <w:pPr>
        <w:rPr/>
      </w:pPr>
      <w:r w:rsidDel="00000000" w:rsidR="00000000" w:rsidRPr="00000000">
        <w:rPr>
          <w:rtl w:val="0"/>
        </w:rPr>
        <w:t xml:space="preserve">Para la elaboración del módulo tenga presente que:</w:t>
      </w:r>
    </w:p>
    <w:p w:rsidR="00000000" w:rsidDel="00000000" w:rsidP="00000000" w:rsidRDefault="00000000" w:rsidRPr="00000000" w14:paraId="0000000B">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El contenido debe corresponder exclusivamente a las semanas asignadas al módulo.</w:t>
      </w:r>
    </w:p>
    <w:p w:rsidR="00000000" w:rsidDel="00000000" w:rsidP="00000000" w:rsidRDefault="00000000" w:rsidRPr="00000000" w14:paraId="0000000C">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Debe existir coherencia entre los resultados de aprendizaje, los contenidos y las actividades del curso.</w:t>
      </w:r>
    </w:p>
    <w:p w:rsidR="00000000" w:rsidDel="00000000" w:rsidP="00000000" w:rsidRDefault="00000000" w:rsidRPr="00000000" w14:paraId="0000000D">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Utilice un lenguaje académico, claro, preciso y comprensible.</w:t>
      </w:r>
    </w:p>
    <w:p w:rsidR="00000000" w:rsidDel="00000000" w:rsidP="00000000" w:rsidRDefault="00000000" w:rsidRPr="00000000" w14:paraId="0000000E">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Desarrolle los conceptos de forma progresiva, desde los fundamentos hasta sus aplicaciones prácticas.</w:t>
      </w:r>
    </w:p>
    <w:p w:rsidR="00000000" w:rsidDel="00000000" w:rsidP="00000000" w:rsidRDefault="00000000" w:rsidRPr="00000000" w14:paraId="0000000F">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Facilite la comprensión mediante ejemplos, casos o situaciones contextualizadas.</w:t>
      </w:r>
    </w:p>
    <w:p w:rsidR="00000000" w:rsidDel="00000000" w:rsidP="00000000" w:rsidRDefault="00000000" w:rsidRPr="00000000" w14:paraId="00000010">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Respalde las afirmaciones conceptuales con referencias bibliográficas verificables y pertinentes.</w:t>
      </w:r>
    </w:p>
    <w:p w:rsidR="00000000" w:rsidDel="00000000" w:rsidP="00000000" w:rsidRDefault="00000000" w:rsidRPr="00000000" w14:paraId="00000011">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Evite reproducir textos extensos de otras fuentes; construya el contenido mediante síntesis, análisis e integración de información.</w:t>
      </w:r>
    </w:p>
    <w:p w:rsidR="00000000" w:rsidDel="00000000" w:rsidP="00000000" w:rsidRDefault="00000000" w:rsidRPr="00000000" w14:paraId="00000012">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No describa paso a paso las actividades evaluativas; estas instrucciones corresponden a la guía de actividades.</w:t>
      </w:r>
    </w:p>
    <w:p w:rsidR="00000000" w:rsidDel="00000000" w:rsidP="00000000" w:rsidRDefault="00000000" w:rsidRPr="00000000" w14:paraId="00000013">
      <w:pPr>
        <w:spacing w:after="200" w:line="276" w:lineRule="auto"/>
        <w:rPr>
          <w:b w:val="1"/>
          <w:bCs w:val="1"/>
          <w:color w:val="5b2c8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Aptos" w:cs="Aptos" w:eastAsia="Aptos" w:hAnsi="Aptos"/>
          <w:color w:val="5b2c83"/>
        </w:rPr>
      </w:pPr>
      <w:r w:rsidDel="00000000" w:rsidR="00000000" w:rsidRPr="00000000">
        <w:rPr>
          <w:rtl w:val="0"/>
        </w:rPr>
      </w:r>
    </w:p>
    <w:p w:rsidR="00000000" w:rsidDel="00000000" w:rsidP="00000000" w:rsidRDefault="00000000" w:rsidRPr="00000000" w14:paraId="00000015">
      <w:pPr>
        <w:pStyle w:val="Heading2"/>
        <w:numPr>
          <w:ilvl w:val="0"/>
          <w:numId w:val="4"/>
        </w:numPr>
        <w:spacing w:after="140" w:before="280" w:line="300" w:lineRule="auto"/>
        <w:ind w:left="360" w:hanging="360"/>
        <w:rPr>
          <w:color w:val="10145b"/>
        </w:rPr>
      </w:pPr>
      <w:r w:rsidDel="00000000" w:rsidR="00000000" w:rsidRPr="00000000">
        <w:rPr>
          <w:color w:val="10145b"/>
          <w:rtl w:val="0"/>
        </w:rPr>
        <w:t xml:space="preserve">Estructura del módulo</w:t>
      </w:r>
    </w:p>
    <w:p w:rsidR="00000000" w:rsidDel="00000000" w:rsidP="00000000" w:rsidRDefault="00000000" w:rsidRPr="00000000" w14:paraId="00000016">
      <w:pPr>
        <w:rPr/>
      </w:pPr>
      <w:r w:rsidDel="00000000" w:rsidR="00000000" w:rsidRPr="00000000">
        <w:rPr>
          <w:rtl w:val="0"/>
        </w:rPr>
        <w:t xml:space="preserve">El módulo deberá desarrollarse con la siguiente estructura mínima.</w:t>
      </w:r>
    </w:p>
    <w:p w:rsidR="00000000" w:rsidDel="00000000" w:rsidP="00000000" w:rsidRDefault="00000000" w:rsidRPr="00000000" w14:paraId="00000017">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18">
            <w:pPr>
              <w:spacing w:after="40" w:lineRule="auto"/>
              <w:rPr/>
            </w:pPr>
            <w:r w:rsidDel="00000000" w:rsidR="00000000" w:rsidRPr="00000000">
              <w:rPr>
                <w:b w:val="1"/>
                <w:bCs w:val="1"/>
                <w:color w:val="1f5a94"/>
                <w:sz w:val="18"/>
                <w:szCs w:val="18"/>
                <w:rtl w:val="0"/>
              </w:rPr>
              <w:t xml:space="preserve">ORIENTACIÓN</w:t>
            </w:r>
            <w:r w:rsidDel="00000000" w:rsidR="00000000" w:rsidRPr="00000000">
              <w:rPr>
                <w:rtl w:val="0"/>
              </w:rPr>
            </w:r>
          </w:p>
          <w:p w:rsidR="00000000" w:rsidDel="00000000" w:rsidP="00000000" w:rsidRDefault="00000000" w:rsidRPr="00000000" w14:paraId="00000019">
            <w:pPr>
              <w:spacing w:after="0" w:line="276" w:lineRule="auto"/>
              <w:rPr/>
            </w:pPr>
            <w:r w:rsidDel="00000000" w:rsidR="00000000" w:rsidRPr="00000000">
              <w:rPr>
                <w:sz w:val="20"/>
                <w:szCs w:val="20"/>
                <w:rtl w:val="0"/>
              </w:rPr>
              <w:t xml:space="preserve">Registre los datos que permitan reconocer el curso, ubicar el módulo en la ruta de aprendizaje y controlar su versión.</w:t>
            </w:r>
            <w:r w:rsidDel="00000000" w:rsidR="00000000" w:rsidRPr="00000000">
              <w:rPr>
                <w:rtl w:val="0"/>
              </w:rPr>
            </w:r>
          </w:p>
        </w:tc>
      </w:tr>
    </w:tbl>
    <w:p w:rsidR="00000000" w:rsidDel="00000000" w:rsidP="00000000" w:rsidRDefault="00000000" w:rsidRPr="00000000" w14:paraId="0000001A">
      <w:pPr>
        <w:spacing w:after="40" w:line="72" w:lineRule="auto"/>
        <w:rPr/>
      </w:pPr>
      <w:r w:rsidDel="00000000" w:rsidR="00000000" w:rsidRPr="00000000">
        <w:rPr>
          <w:rtl w:val="0"/>
        </w:rPr>
      </w:r>
    </w:p>
    <w:p w:rsidR="00000000" w:rsidDel="00000000" w:rsidP="00000000" w:rsidRDefault="00000000" w:rsidRPr="00000000" w14:paraId="0000001B">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C">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1D">
            <w:pPr>
              <w:spacing w:after="30" w:line="259" w:lineRule="auto"/>
              <w:rPr/>
            </w:pPr>
            <w:r w:rsidDel="00000000" w:rsidR="00000000" w:rsidRPr="00000000">
              <w:rPr>
                <w:i w:val="1"/>
                <w:iCs w:val="1"/>
                <w:color w:val="5f6673"/>
                <w:sz w:val="18"/>
                <w:szCs w:val="18"/>
                <w:rtl w:val="0"/>
              </w:rPr>
              <w:t xml:space="preserve">Biología Aplicada.</w:t>
            </w:r>
            <w:r w:rsidDel="00000000" w:rsidR="00000000" w:rsidRPr="00000000">
              <w:rPr>
                <w:rtl w:val="0"/>
              </w:rPr>
            </w:r>
          </w:p>
        </w:tc>
        <w:tc>
          <w:tcPr>
            <w:shd w:fill="f1eafd" w:val="clear"/>
            <w:vAlign w:val="center"/>
          </w:tcPr>
          <w:p w:rsidR="00000000" w:rsidDel="00000000" w:rsidP="00000000" w:rsidRDefault="00000000" w:rsidRPr="00000000" w14:paraId="0000001E">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1F">
            <w:pPr>
              <w:spacing w:after="30" w:line="259" w:lineRule="auto"/>
              <w:rPr/>
            </w:pPr>
            <w:r w:rsidDel="00000000" w:rsidR="00000000" w:rsidRPr="00000000">
              <w:rPr>
                <w:i w:val="1"/>
                <w:iCs w:val="1"/>
                <w:color w:val="5f6673"/>
                <w:sz w:val="18"/>
                <w:szCs w:val="18"/>
                <w:rtl w:val="0"/>
              </w:rPr>
              <w:t xml:space="preserve">Administración Agroindustrial</w:t>
            </w:r>
            <w:r w:rsidDel="00000000" w:rsidR="00000000" w:rsidRPr="00000000">
              <w:rPr>
                <w:rtl w:val="0"/>
              </w:rPr>
            </w:r>
          </w:p>
        </w:tc>
      </w:tr>
      <w:tr>
        <w:trPr>
          <w:cantSplit w:val="0"/>
          <w:tblHeader w:val="0"/>
        </w:trPr>
        <w:tc>
          <w:tcPr>
            <w:shd w:fill="f1eafd" w:val="clear"/>
            <w:vAlign w:val="center"/>
          </w:tcPr>
          <w:p w:rsidR="00000000" w:rsidDel="00000000" w:rsidP="00000000" w:rsidRDefault="00000000" w:rsidRPr="00000000" w14:paraId="00000020">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21">
            <w:pPr>
              <w:spacing w:after="30" w:line="259" w:lineRule="auto"/>
              <w:rPr/>
            </w:pPr>
            <w:r w:rsidDel="00000000" w:rsidR="00000000" w:rsidRPr="00000000">
              <w:rPr>
                <w:i w:val="1"/>
                <w:iCs w:val="1"/>
                <w:color w:val="5f6673"/>
                <w:sz w:val="18"/>
                <w:szCs w:val="18"/>
                <w:rtl w:val="0"/>
              </w:rPr>
              <w:t xml:space="preserve">Unidad 2. </w:t>
            </w:r>
            <w:r w:rsidDel="00000000" w:rsidR="00000000" w:rsidRPr="00000000">
              <w:rPr>
                <w:rtl w:val="0"/>
              </w:rPr>
            </w:r>
          </w:p>
        </w:tc>
        <w:tc>
          <w:tcPr>
            <w:shd w:fill="f1eafd" w:val="clear"/>
            <w:vAlign w:val="center"/>
          </w:tcPr>
          <w:p w:rsidR="00000000" w:rsidDel="00000000" w:rsidP="00000000" w:rsidRDefault="00000000" w:rsidRPr="00000000" w14:paraId="00000022">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23">
            <w:pPr>
              <w:spacing w:after="30" w:line="259" w:lineRule="auto"/>
              <w:rPr/>
            </w:pPr>
            <w:r w:rsidDel="00000000" w:rsidR="00000000" w:rsidRPr="00000000">
              <w:rPr>
                <w:i w:val="1"/>
                <w:iCs w:val="1"/>
                <w:color w:val="5f6673"/>
                <w:sz w:val="17"/>
                <w:szCs w:val="17"/>
                <w:rtl w:val="0"/>
              </w:rPr>
              <w:t xml:space="preserve">Genética, Fisiología y Microbiología en los Sistemas Agroindustriales.</w:t>
            </w:r>
            <w:r w:rsidDel="00000000" w:rsidR="00000000" w:rsidRPr="00000000">
              <w:rPr>
                <w:rtl w:val="0"/>
              </w:rPr>
            </w:r>
          </w:p>
        </w:tc>
      </w:tr>
      <w:tr>
        <w:trPr>
          <w:cantSplit w:val="0"/>
          <w:tblHeader w:val="1"/>
        </w:trPr>
        <w:tc>
          <w:tcPr>
            <w:shd w:fill="f1eafd" w:val="clear"/>
            <w:vAlign w:val="center"/>
          </w:tcPr>
          <w:p w:rsidR="00000000" w:rsidDel="00000000" w:rsidP="00000000" w:rsidRDefault="00000000" w:rsidRPr="00000000" w14:paraId="00000024">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25">
            <w:pPr>
              <w:spacing w:after="30" w:line="259" w:lineRule="auto"/>
              <w:rPr/>
            </w:pPr>
            <w:r w:rsidDel="00000000" w:rsidR="00000000" w:rsidRPr="00000000">
              <w:rPr>
                <w:i w:val="1"/>
                <w:iCs w:val="1"/>
                <w:color w:val="5f6673"/>
                <w:sz w:val="18"/>
                <w:szCs w:val="18"/>
                <w:rtl w:val="0"/>
              </w:rPr>
              <w:t xml:space="preserve">6-7-8-9-10-11</w:t>
            </w:r>
            <w:r w:rsidDel="00000000" w:rsidR="00000000" w:rsidRPr="00000000">
              <w:rPr>
                <w:rtl w:val="0"/>
              </w:rPr>
            </w:r>
          </w:p>
        </w:tc>
        <w:tc>
          <w:tcPr>
            <w:shd w:fill="f1eafd" w:val="clear"/>
            <w:vAlign w:val="center"/>
          </w:tcPr>
          <w:p w:rsidR="00000000" w:rsidDel="00000000" w:rsidP="00000000" w:rsidRDefault="00000000" w:rsidRPr="00000000" w14:paraId="00000026">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27">
            <w:pPr>
              <w:spacing w:after="30" w:line="259" w:lineRule="auto"/>
              <w:rPr>
                <w:i w:val="1"/>
                <w:iCs w:val="1"/>
                <w:color w:val="5f6673"/>
                <w:sz w:val="18"/>
                <w:szCs w:val="18"/>
              </w:rPr>
            </w:pPr>
            <w:r w:rsidDel="00000000" w:rsidR="00000000" w:rsidRPr="00000000">
              <w:rPr>
                <w:i w:val="1"/>
                <w:iCs w:val="1"/>
                <w:color w:val="5f6673"/>
                <w:sz w:val="18"/>
                <w:szCs w:val="18"/>
                <w:rtl w:val="0"/>
              </w:rPr>
              <w:t xml:space="preserve">Audesirk, T.,  Byers, B. E.,  Campos Olguín, V.,  Audesirk, G.(2017). Biología: La vida en la tierra con fisiología. Pearson Educación</w:t>
            </w:r>
          </w:p>
          <w:p w:rsidR="00000000" w:rsidDel="00000000" w:rsidP="00000000" w:rsidRDefault="00000000" w:rsidRPr="00000000" w14:paraId="00000028">
            <w:pPr>
              <w:spacing w:after="30" w:line="259" w:lineRule="auto"/>
              <w:rPr>
                <w:i w:val="1"/>
                <w:iCs w:val="1"/>
                <w:color w:val="5f6673"/>
                <w:sz w:val="18"/>
                <w:szCs w:val="18"/>
              </w:rPr>
            </w:pPr>
            <w:r w:rsidDel="00000000" w:rsidR="00000000" w:rsidRPr="00000000">
              <w:rPr>
                <w:i w:val="1"/>
                <w:iCs w:val="1"/>
                <w:color w:val="5f6673"/>
                <w:sz w:val="18"/>
                <w:szCs w:val="18"/>
                <w:rtl w:val="0"/>
              </w:rPr>
              <w:t xml:space="preserve">. </w:t>
            </w:r>
          </w:p>
          <w:p w:rsidR="00000000" w:rsidDel="00000000" w:rsidP="00000000" w:rsidRDefault="00000000" w:rsidRPr="00000000" w14:paraId="00000029">
            <w:pPr>
              <w:spacing w:after="30" w:line="259" w:lineRule="auto"/>
              <w:rPr>
                <w:i w:val="1"/>
                <w:iCs w:val="1"/>
                <w:color w:val="5f6673"/>
                <w:sz w:val="18"/>
                <w:szCs w:val="18"/>
              </w:rPr>
            </w:pPr>
            <w:r w:rsidDel="00000000" w:rsidR="00000000" w:rsidRPr="00000000">
              <w:rPr>
                <w:i w:val="1"/>
                <w:iCs w:val="1"/>
                <w:color w:val="5f6673"/>
                <w:sz w:val="18"/>
                <w:szCs w:val="18"/>
                <w:rtl w:val="0"/>
              </w:rPr>
              <w:t xml:space="preserve">Pallotti Sagripanti, C. G. &amp; Sanchis Duato, E. (2020). Biología para ciencias ambientales: ( ed.). Editorial de la Universidad Politécnica de Valencia..</w:t>
            </w:r>
          </w:p>
          <w:p w:rsidR="00000000" w:rsidDel="00000000" w:rsidP="00000000" w:rsidRDefault="00000000" w:rsidRPr="00000000" w14:paraId="0000002A">
            <w:pPr>
              <w:spacing w:after="30" w:line="259" w:lineRule="auto"/>
              <w:rPr>
                <w:i w:val="1"/>
                <w:iCs w:val="1"/>
                <w:color w:val="5f6673"/>
                <w:sz w:val="18"/>
                <w:szCs w:val="18"/>
              </w:rPr>
            </w:pPr>
            <w:r w:rsidDel="00000000" w:rsidR="00000000" w:rsidRPr="00000000">
              <w:rPr>
                <w:rtl w:val="0"/>
              </w:rPr>
            </w:r>
          </w:p>
          <w:p w:rsidR="00000000" w:rsidDel="00000000" w:rsidP="00000000" w:rsidRDefault="00000000" w:rsidRPr="00000000" w14:paraId="0000002B">
            <w:pPr>
              <w:spacing w:after="30" w:line="259" w:lineRule="auto"/>
              <w:rPr>
                <w:i w:val="1"/>
                <w:iCs w:val="1"/>
                <w:color w:val="5f6673"/>
                <w:sz w:val="18"/>
                <w:szCs w:val="18"/>
              </w:rPr>
            </w:pPr>
            <w:bookmarkStart w:colFirst="0" w:colLast="0" w:name="_heading=h.ghxobbqocrkk" w:id="0"/>
            <w:bookmarkEnd w:id="0"/>
            <w:r w:rsidDel="00000000" w:rsidR="00000000" w:rsidRPr="00000000">
              <w:rPr>
                <w:i w:val="1"/>
                <w:iCs w:val="1"/>
                <w:color w:val="5f6673"/>
                <w:sz w:val="18"/>
                <w:szCs w:val="18"/>
                <w:rtl w:val="0"/>
              </w:rPr>
              <w:t xml:space="preserve">Mader, S. S. (2024). Biología. McGraw-Hill.</w:t>
            </w:r>
          </w:p>
          <w:p w:rsidR="00000000" w:rsidDel="00000000" w:rsidP="00000000" w:rsidRDefault="00000000" w:rsidRPr="00000000" w14:paraId="0000002C">
            <w:pPr>
              <w:spacing w:after="30" w:line="259" w:lineRule="auto"/>
              <w:rPr>
                <w:i w:val="1"/>
                <w:iCs w:val="1"/>
                <w:color w:val="5f6673"/>
                <w:sz w:val="18"/>
                <w:szCs w:val="18"/>
              </w:rPr>
            </w:pPr>
            <w:r w:rsidDel="00000000" w:rsidR="00000000" w:rsidRPr="00000000">
              <w:rPr>
                <w:rtl w:val="0"/>
              </w:rPr>
            </w:r>
          </w:p>
          <w:p w:rsidR="00000000" w:rsidDel="00000000" w:rsidP="00000000" w:rsidRDefault="00000000" w:rsidRPr="00000000" w14:paraId="0000002D">
            <w:pPr>
              <w:spacing w:after="30" w:line="259" w:lineRule="auto"/>
              <w:rPr>
                <w:i w:val="1"/>
                <w:iCs w:val="1"/>
                <w:color w:val="5f6673"/>
                <w:sz w:val="18"/>
                <w:szCs w:val="18"/>
              </w:rPr>
            </w:pPr>
            <w:bookmarkStart w:colFirst="0" w:colLast="0" w:name="_heading=h.nk7z00rx2x2z" w:id="1"/>
            <w:bookmarkEnd w:id="1"/>
            <w:r w:rsidDel="00000000" w:rsidR="00000000" w:rsidRPr="00000000">
              <w:rPr>
                <w:i w:val="1"/>
                <w:iCs w:val="1"/>
                <w:color w:val="5f6673"/>
                <w:sz w:val="18"/>
                <w:szCs w:val="18"/>
                <w:rtl w:val="0"/>
              </w:rPr>
              <w:t xml:space="preserve">Gutiérrez Ramírez, L. A. (2016). Los microorganismos en la agroindustria: fundamentos y aplicaciones: ( ed.). Editorial Lasallista.</w:t>
            </w:r>
          </w:p>
        </w:tc>
      </w:tr>
    </w:tbl>
    <w:p w:rsidR="00000000" w:rsidDel="00000000" w:rsidP="00000000" w:rsidRDefault="00000000" w:rsidRPr="00000000" w14:paraId="0000002E">
      <w:pPr>
        <w:spacing w:after="40" w:line="72" w:lineRule="auto"/>
        <w:rPr/>
      </w:pPr>
      <w:r w:rsidDel="00000000" w:rsidR="00000000" w:rsidRPr="00000000">
        <w:rPr>
          <w:rtl w:val="0"/>
        </w:rPr>
      </w:r>
    </w:p>
    <w:p w:rsidR="00000000" w:rsidDel="00000000" w:rsidP="00000000" w:rsidRDefault="00000000" w:rsidRPr="00000000" w14:paraId="0000002F">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Introducción y contextualización</w:t>
      </w:r>
    </w:p>
    <w:p w:rsidR="00000000" w:rsidDel="00000000" w:rsidP="00000000" w:rsidRDefault="00000000" w:rsidRPr="00000000" w14:paraId="00000030">
      <w:pPr>
        <w:spacing w:line="360" w:lineRule="auto"/>
        <w:jc w:val="both"/>
        <w:rPr/>
      </w:pPr>
      <w:r w:rsidDel="00000000" w:rsidR="00000000" w:rsidRPr="00000000">
        <w:rPr>
          <w:rFonts w:ascii="Arial" w:cs="Arial" w:eastAsia="Arial" w:hAnsi="Arial"/>
          <w:sz w:val="24"/>
          <w:szCs w:val="24"/>
          <w:rtl w:val="0"/>
        </w:rPr>
        <w:t xml:space="preserve">La administración agroindustrial exige comprender tanto los procesos organizacionales como los fenómenos biológicos que determinan la disponibilidad, calidad y transformación de las materias primas. Una semilla, una planta, un animal de producción, una levadura utilizada en fermentación o una bacteria empleada como biofertilizante responden a principios biológicos que inciden directamente en decisiones sobre producción, almacenamiento, transformación, innovación y sostenibilidad. Por ello, la biología aplicada a la agroindustria debe estudiarse como una herramienta para interpretar situaciones reales del sistema productivo y no como una colección aislada de conceptos.</w:t>
      </w: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Fonts w:ascii="Arial" w:cs="Arial" w:eastAsia="Arial" w:hAnsi="Arial"/>
          <w:sz w:val="24"/>
          <w:szCs w:val="24"/>
          <w:rtl w:val="0"/>
        </w:rPr>
        <w:t xml:space="preserve">La genética permite explicar cómo se almacena y transmite la información biológica y por qué existen diferencias heredables entre individuos. El ADN contiene información que puede expresarse en características de interés productivo, mientras que los principios de la herencia permiten comprender la selección y el mejoramiento de plantas y animales. A partir de estas bases se desarrollaron técnicas biotecnológicas como la reacción en cadena de la polimerasa (PCR), la clonación de ADN y la edición génica. Estas herramientas amplían las posibilidades de diagnóstico, selección, trazabilidad e innovación, pero también plantean interrogantes sobre bioseguridad, acceso a la tecnología, efectos ambientales y responsabilidad en su uso. (Audesirk et al., 2017; Velázquez Ocampo, 2020).</w:t>
      </w: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Fonts w:ascii="Arial" w:cs="Arial" w:eastAsia="Arial" w:hAnsi="Arial"/>
          <w:sz w:val="24"/>
          <w:szCs w:val="24"/>
          <w:rtl w:val="0"/>
        </w:rPr>
        <w:t xml:space="preserve">La fisiología, por su parte, permite comprender cómo funcionan los organismos durante la producción. En las plantas, la fotosíntesis transforma energía luminosa en energía química y sostiene la formación de biomasa; la respiración aporta energía utilizable; la transpiración participa en el movimiento de agua y en la regulación térmica. En los animales, la digestión, la respiración, la circulación y el metabolismo sostienen el crecimiento, mantenimiento y producción. Estos procesos son sensibles a condiciones del ambiente y a factores de estrés, de manera que su comprensión ayuda a interpretar cambios en rendimiento y calidad sin reducir el análisis a una sola causa. (Freeman, 2009).</w:t>
      </w: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Fonts w:ascii="Arial" w:cs="Arial" w:eastAsia="Arial" w:hAnsi="Arial"/>
          <w:sz w:val="24"/>
          <w:szCs w:val="24"/>
          <w:rtl w:val="0"/>
        </w:rPr>
        <w:t xml:space="preserve">La microbiología completa esta mirada. Los microorganismos pueden deteriorar materias primas o causar enfermedad, pero también son indispensables en fermentaciones, producción de alimentos, reciclaje de nutrientes, elaboración de biofertilizantes, biocontrol y otras aplicaciones. En consecuencia, una organización agroindustrial necesita diferenciar microorganismos benéficos, alterantes y patógenos, reconocer las condiciones que favorecen su crecimiento y establecer medidas de bioseguridad y trazabilidad acordes con el proceso. (Gutiérrez Ramírez, 2016; Mader, 2024; Profesor Doménech, 2024).</w:t>
      </w: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Fonts w:ascii="Arial" w:cs="Arial" w:eastAsia="Arial" w:hAnsi="Arial"/>
          <w:sz w:val="24"/>
          <w:szCs w:val="24"/>
          <w:rtl w:val="0"/>
        </w:rPr>
        <w:t xml:space="preserve">Los tres campos se relacionan entre sí. La información genética condiciona características y respuestas de los organismos; la fisiología expresa el funcionamiento de esas características en determinadas condiciones; y los microorganismos interactúan con plantas, animales, alimentos, suelos y procesos industriales. Analizar estas relaciones permite pasar del conocimiento biológico a la interpretación de problemas concretos de la administración agroindustrial. (Freeman, 2009; Gutiérrez Ramírez, 2016).</w:t>
      </w: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Fonts w:ascii="Arial" w:cs="Arial" w:eastAsia="Arial" w:hAnsi="Arial"/>
          <w:sz w:val="24"/>
          <w:szCs w:val="24"/>
          <w:rtl w:val="0"/>
        </w:rPr>
        <w:t xml:space="preserve">En esta unidad se estudiarán los fundamentos de genética, herencia y biotecnología; la fisiología de plantas y animales de interés agroindustrial; y la microbiología aplicada a procesos productivos. El propósito es que el estudiante pueda describir los procesos, analizar sus implicaciones y utilizar evidencia para estudiar casos relacionados con producción, gestión, ecología y sostenibilidad. De esta manera, los contenidos aportan al RAP 2 y a los RAC 1 y 2 al conectar las variables biológicas con el micro y macroambiente de las organizaciones agroindustriales.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rFonts w:ascii="Arial" w:cs="Arial" w:eastAsia="Arial" w:hAnsi="Arial"/>
          <w:b w:val="1"/>
          <w:bCs w:val="1"/>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7313b"/>
          <w:sz w:val="24"/>
          <w:szCs w:val="24"/>
          <w:u w:val="none"/>
          <w:shd w:fill="auto" w:val="clear"/>
          <w:vertAlign w:val="baseline"/>
          <w:rtl w:val="0"/>
        </w:rPr>
        <w:t xml:space="preserve">Pregunta problematizadora: </w:t>
      </w: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¿Cómo puede una organización agroindustrial utilizar conocimientos de genética, fisiología y microbiología para mejorar sus procesos productivos y tomar decisiones sostenibles sin desconocer los riesgos biológicos, ambientales, éticos y regulatorios asociados?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39">
            <w:pPr>
              <w:spacing w:after="40" w:lineRule="auto"/>
              <w:rPr/>
            </w:pPr>
            <w:bookmarkStart w:colFirst="0" w:colLast="0" w:name="_heading=h.1a9gzgaae1wg" w:id="2"/>
            <w:bookmarkEnd w:id="2"/>
            <w:r w:rsidDel="00000000" w:rsidR="00000000" w:rsidRPr="00000000">
              <w:rPr>
                <w:b w:val="1"/>
                <w:bCs w:val="1"/>
                <w:color w:val="1f5a94"/>
                <w:sz w:val="18"/>
                <w:szCs w:val="18"/>
                <w:rtl w:val="0"/>
              </w:rPr>
              <w:t xml:space="preserve">EXTENSIÓN SUGERIDA</w:t>
            </w:r>
            <w:r w:rsidDel="00000000" w:rsidR="00000000" w:rsidRPr="00000000">
              <w:rPr>
                <w:rtl w:val="0"/>
              </w:rPr>
            </w:r>
          </w:p>
          <w:p w:rsidR="00000000" w:rsidDel="00000000" w:rsidP="00000000" w:rsidRDefault="00000000" w:rsidRPr="00000000" w14:paraId="0000003A">
            <w:pPr>
              <w:spacing w:after="0" w:line="276" w:lineRule="auto"/>
              <w:rPr/>
            </w:pPr>
            <w:r w:rsidDel="00000000" w:rsidR="00000000" w:rsidRPr="00000000">
              <w:rPr>
                <w:sz w:val="20"/>
                <w:szCs w:val="20"/>
                <w:rtl w:val="0"/>
              </w:rPr>
              <w:t xml:space="preserve">Entre 500 y 800 palabras, ajustadas a la complejidad del módulo y sin anticipar el desarrollo completo de los temas.</w:t>
            </w:r>
            <w:r w:rsidDel="00000000" w:rsidR="00000000" w:rsidRPr="00000000">
              <w:rPr>
                <w:rtl w:val="0"/>
              </w:rPr>
            </w:r>
          </w:p>
        </w:tc>
      </w:tr>
    </w:tbl>
    <w:p w:rsidR="00000000" w:rsidDel="00000000" w:rsidP="00000000" w:rsidRDefault="00000000" w:rsidRPr="00000000" w14:paraId="0000003B">
      <w:pPr>
        <w:spacing w:after="40" w:line="72" w:lineRule="auto"/>
        <w:rPr/>
      </w:pPr>
      <w:r w:rsidDel="00000000" w:rsidR="00000000" w:rsidRPr="00000000">
        <w:rPr>
          <w:rtl w:val="0"/>
        </w:rPr>
      </w:r>
    </w:p>
    <w:p w:rsidR="00000000" w:rsidDel="00000000" w:rsidP="00000000" w:rsidRDefault="00000000" w:rsidRPr="00000000" w14:paraId="0000003C">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Objetivos y competencias de aprendizaje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Describir la estructura y función básica del ADN y ARN y relacionarlas con la transmisión y expresión de la información genética.</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principios de herencia y su aplicación en el mejoramiento vegetal y animal de interés agroindustrial.</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Explicar los fundamentos de PCR, clonación de ADN y edición génica, reconociendo aplicaciones, alcances y limitaciones.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Relacionar procesos fisiológicos de plantas y animales con variables de producción, calidad y manejo agroindustrial.</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microorganismos benéficos, alterantes y patógenos y analizar su papel en procesos agroindustriales.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casos sobre biotecnología, bioinsumos, fermentación, bioseguridad y sostenibilidad considerando el micro y macroambiente de la organización.</w:t>
      </w:r>
    </w:p>
    <w:p w:rsidR="00000000" w:rsidDel="00000000" w:rsidP="00000000" w:rsidRDefault="00000000" w:rsidRPr="00000000" w14:paraId="00000043">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Desarrollo temático</w:t>
      </w:r>
    </w:p>
    <w:p w:rsidR="00000000" w:rsidDel="00000000" w:rsidP="00000000" w:rsidRDefault="00000000" w:rsidRPr="00000000" w14:paraId="00000044">
      <w:pPr>
        <w:pStyle w:val="Heading3"/>
        <w:spacing w:after="100" w:before="200" w:line="300" w:lineRule="auto"/>
        <w:rPr>
          <w:rFonts w:ascii="Calibri" w:cs="Calibri" w:eastAsia="Calibri" w:hAnsi="Calibri"/>
          <w:color w:val="4f81bd"/>
          <w:sz w:val="28"/>
          <w:szCs w:val="28"/>
        </w:rPr>
      </w:pPr>
      <w:r w:rsidDel="00000000" w:rsidR="00000000" w:rsidRPr="00000000">
        <w:rPr>
          <w:rFonts w:ascii="Calibri" w:cs="Calibri" w:eastAsia="Calibri" w:hAnsi="Calibri"/>
          <w:color w:val="4f81bd"/>
          <w:sz w:val="28"/>
          <w:szCs w:val="28"/>
          <w:rtl w:val="0"/>
        </w:rPr>
        <w:t xml:space="preserve">GENÉTICA, FISIOLOGÍA Y MICROBIOLOGÍA EN LOS SISTEMAS AGROINDUSTRIALES.</w:t>
      </w:r>
    </w:p>
    <w:p w:rsidR="00000000" w:rsidDel="00000000" w:rsidP="00000000" w:rsidRDefault="00000000" w:rsidRPr="00000000" w14:paraId="00000045">
      <w:pPr>
        <w:pStyle w:val="Heading3"/>
        <w:spacing w:after="100" w:before="200" w:line="300" w:lineRule="auto"/>
        <w:rPr>
          <w:color w:val="169ed0"/>
          <w:sz w:val="24"/>
          <w:szCs w:val="24"/>
        </w:rPr>
      </w:pPr>
      <w:r w:rsidDel="00000000" w:rsidR="00000000" w:rsidRPr="00000000">
        <w:rPr>
          <w:rFonts w:ascii="Calibri" w:cs="Calibri" w:eastAsia="Calibri" w:hAnsi="Calibri"/>
          <w:color w:val="4f81bd"/>
          <w:sz w:val="28"/>
          <w:szCs w:val="28"/>
          <w:rtl w:val="0"/>
        </w:rPr>
        <w:t xml:space="preserve">Genética, Herencia y Biotecnología.</w:t>
      </w:r>
      <w:r w:rsidDel="00000000" w:rsidR="00000000" w:rsidRPr="00000000">
        <w:rPr>
          <w:rtl w:val="0"/>
        </w:rPr>
      </w:r>
    </w:p>
    <w:p w:rsidR="00000000" w:rsidDel="00000000" w:rsidP="00000000" w:rsidRDefault="00000000" w:rsidRPr="00000000" w14:paraId="0000004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both"/>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Estructura del ADN y ARN.</w:t>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genética estudia la transmisión y variación de las características biológicas. Su base molecular se encuentra en los ácidos nucleicos. El ADN está formado por nucleótidos que contienen un grupo fosfato, desoxirribosa y una base nitrogenada. Las bases del ADN son adenina, timina, guanina y citosina. La complementariedad entre las bases permite conservar y copiar la información genética. El ARN también está constituido por nucleótidos, pero contiene ribosa y utiliza uracilo en lugar de timina. Diferentes tipos de ARN participan en la expresión de la información genética y en la síntesis de proteínas. (Audesirk et al., 2017; Velázquez Ocampo, 2020).</w:t>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un sistema agroindustrial, comprender ADN, genes y expresión genética permite interpretar por qué existen variedades vegetales o líneas animales con características diferentes, cómo se identifican determinados rasgos y por qué una modificación genética puede cambiar una característica de interés. Sin embargo, reconocer un gen asociado con un rasgo no significa que el desempeño productivo dependa exclusivamente de ese gen: el ambiente, la nutrición, el manejo y las interacciones biológicas también influyen en el fenotipo. (Audesirk et al., 2017; SENA Valle, 2023).</w:t>
      </w:r>
    </w:p>
    <w:p w:rsidR="00000000" w:rsidDel="00000000" w:rsidP="00000000" w:rsidRDefault="00000000" w:rsidRPr="00000000" w14:paraId="0000004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Leyes de Mendel y aplicaciones en mejoramiento vegetal y animal.</w:t>
      </w:r>
    </w:p>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experimentos de Gregor Mendel mostraron patrones de herencia que permiten comprender la segregación de alelos y la transmisión de características. En un modelo mendeliano simple, los individuos poseen dos alelos para un gen y estos se separan durante la formación de gametos. Cuando se estudian genes diferentes que se distribuyen independientemente, sus alelos pueden combinarse de diversas maneras en la descendencia. Estos principios constituyen una base para interpretar cruzamientos, aunque numerosos caracteres productivos son poligénicos y están influidos por el ambiente. (Velázquez Ocampo, 2020).</w:t>
      </w:r>
    </w:p>
    <w:p w:rsidR="00000000" w:rsidDel="00000000" w:rsidP="00000000" w:rsidRDefault="00000000" w:rsidRPr="00000000" w14:paraId="0000004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producción vegetal, la selección puede orientarse hacia rendimiento, calidad, adaptación o resistencia. En producción animal se puede considerar crecimiento, eficiencia alimenticia, características reproductivas o calidad del producto. Para el tecnólogo en Administración Agroindustrial, la utilidad del conocimiento mendeliano está en comprender la lógica biológica detrás de programas de selección y reconocer que una decisión de mejoramiento debe analizar simultáneamente productividad, diversidad genética, adaptación, costos y objetivos de la organización. (Velázquez Ocampo, 2020; SENA Valle, 2023).</w:t>
      </w:r>
    </w:p>
    <w:p w:rsidR="00000000" w:rsidDel="00000000" w:rsidP="00000000" w:rsidRDefault="00000000" w:rsidRPr="00000000" w14:paraId="0000004C">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Técnicas básicas de biotecnología: PCR, clonación y edición génica (CRISPR).</w:t>
      </w:r>
    </w:p>
    <w:p w:rsidR="00000000" w:rsidDel="00000000" w:rsidP="00000000" w:rsidRDefault="00000000" w:rsidRPr="00000000" w14:paraId="0000004D">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biotecnología y las técnicas de modificación genética constituyen herramientas de interés para la producción agrícola y de alimentos. Entre ellas se encuentra la PCR (</w:t>
      </w:r>
      <w:r w:rsidDel="00000000" w:rsidR="00000000" w:rsidRPr="00000000">
        <w:rPr>
          <w:rFonts w:ascii="Arial" w:cs="Arial" w:eastAsia="Arial" w:hAnsi="Arial"/>
          <w:sz w:val="24"/>
          <w:szCs w:val="24"/>
          <w:rtl w:val="0"/>
        </w:rPr>
        <w:t xml:space="preserve">Reacción en Cadena de la Polimerasa)</w:t>
      </w:r>
      <w:r w:rsidDel="00000000" w:rsidR="00000000" w:rsidRPr="00000000">
        <w:rPr>
          <w:rFonts w:ascii="Arial" w:cs="Arial" w:eastAsia="Arial" w:hAnsi="Arial"/>
          <w:color w:val="000000"/>
          <w:sz w:val="24"/>
          <w:szCs w:val="24"/>
          <w:rtl w:val="0"/>
        </w:rPr>
        <w:t xml:space="preserve">, que permite obtener múltiples copias de una región específica del ADN para facilitar su estudio; la clonación, orientada a la obtención de copias de material genético, células u organismos; y la edición génica mediante CRISPR (Repeticiones Palindrómicas Cortas Agrupadas y Regularmente Interespaciadas), que posibilita realizar modificaciones específicas en el material genético. El conocimiento de estas técnicas permite reconocer algunas de las aplicaciones de la biotecnología en el sector agroindustrial y analizar sus posibles beneficios, limitaciones e implicaciones en los sistemas productivos (SENA Valle, 2023).</w:t>
      </w:r>
    </w:p>
    <w:p w:rsidR="00000000" w:rsidDel="00000000" w:rsidP="00000000" w:rsidRDefault="00000000" w:rsidRPr="00000000" w14:paraId="0000004E">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Producción de organismos mejorados y bioinsumos.</w:t>
      </w:r>
    </w:p>
    <w:p w:rsidR="00000000" w:rsidDel="00000000" w:rsidP="00000000" w:rsidRDefault="00000000" w:rsidRPr="00000000" w14:paraId="0000004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mejoramiento biológico puede realizarse mediante selección y cruzamiento convencional o mediante herramientas biotecnológicas, dependiendo del objetivo. En agroindustria, los organismos mejorados pueden aportar características útiles para producción, transformación o adaptación. Paralelamente, los bioinsumos utilizan organismos, componentes biológicos o sustancias de origen biológico con funciones específicas en el sistema productivo. Entre ellos pueden encontrarse biofertilizantes y agentes de control biológico. (SENA Valle, 2023).</w:t>
      </w:r>
    </w:p>
    <w:p w:rsidR="00000000" w:rsidDel="00000000" w:rsidP="00000000" w:rsidRDefault="00000000" w:rsidRPr="00000000" w14:paraId="0000005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materiales suministrados muestran que microorganismos seleccionados pueden participar en fijación de nitrógeno, disponibilidad de fósforo, degradación de materia orgánica o control de determinados organismos. Para la administración agroindustrial, la decisión de incorporar un bioinsumo requiere revisar su finalidad, calidad, registro aplicable, condiciones de almacenamiento, evidencia de eficacia y compatibilidad con el sistema productivo. El origen biológico no elimina la necesidad de evaluar riesgos, trazabilidad y manejo. (Gutiérrez Ramírez, 2016; Instituto de Investigaciones Agrícolas, UCR, 2022; Instituto Colombiano Agropecuario [ICA], 2024).</w:t>
      </w:r>
    </w:p>
    <w:p w:rsidR="00000000" w:rsidDel="00000000" w:rsidP="00000000" w:rsidRDefault="00000000" w:rsidRPr="00000000" w14:paraId="00000051">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Aspectos éticos y normativos de la biotecnología en Colombia.</w:t>
      </w:r>
    </w:p>
    <w:p w:rsidR="00000000" w:rsidDel="00000000" w:rsidP="00000000" w:rsidRDefault="00000000" w:rsidRPr="00000000" w14:paraId="00000052">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organismos biológicamente modificados tienen diversas aplicaciones en la industria agrícola y de alimentos, por lo que su análisis debe considerar tanto los beneficios y oportunidades asociados a su utilización como sus limitaciones y posibles implicaciones productivas, ambientales y sociales. De esta manera, el estudio de estas tecnologías permite comprender su importancia dentro de la biotecnología agroindustrial y promover una valoración crítica de su aplicación en los sistemas productivos.</w:t>
      </w:r>
    </w:p>
    <w:p w:rsidR="00000000" w:rsidDel="00000000" w:rsidP="00000000" w:rsidRDefault="00000000" w:rsidRPr="00000000" w14:paraId="00000053">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Asimismo, el uso de la biotecnología en el sector agroindustrial se encuentra relacionado con aspectos éticos y regulatorios que deben considerarse en la producción y utilización de organismos biológicamente modificados. Estos aspectos permiten analizar la necesidad de establecer criterios para su desarrollo y aplicación responsable, teniendo en cuenta sus posibles efectos sobre la producción, el ambiente y la sociedad (SENA Valle, 2023).</w:t>
      </w:r>
    </w:p>
    <w:p w:rsidR="00000000" w:rsidDel="00000000" w:rsidP="00000000" w:rsidRDefault="00000000" w:rsidRPr="00000000" w14:paraId="00000054">
      <w:pPr>
        <w:pStyle w:val="Heading3"/>
        <w:spacing w:after="100" w:before="200" w:line="300" w:lineRule="auto"/>
        <w:rPr>
          <w:rFonts w:ascii="Calibri" w:cs="Calibri" w:eastAsia="Calibri" w:hAnsi="Calibri"/>
          <w:color w:val="4f81bd"/>
          <w:sz w:val="28"/>
          <w:szCs w:val="28"/>
        </w:rPr>
      </w:pPr>
      <w:r w:rsidDel="00000000" w:rsidR="00000000" w:rsidRPr="00000000">
        <w:rPr>
          <w:rFonts w:ascii="Calibri" w:cs="Calibri" w:eastAsia="Calibri" w:hAnsi="Calibri"/>
          <w:color w:val="4f81bd"/>
          <w:sz w:val="28"/>
          <w:szCs w:val="28"/>
          <w:rtl w:val="0"/>
        </w:rPr>
        <w:t xml:space="preserve">Fisiología de Plantas y Animales de Interés Agroindustrial.</w:t>
      </w:r>
    </w:p>
    <w:p w:rsidR="00000000" w:rsidDel="00000000" w:rsidP="00000000" w:rsidRDefault="00000000" w:rsidRPr="00000000" w14:paraId="0000005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Procesos fisiológicos esenciales.</w:t>
      </w:r>
    </w:p>
    <w:p w:rsidR="00000000" w:rsidDel="00000000" w:rsidP="00000000" w:rsidRDefault="00000000" w:rsidRPr="00000000" w14:paraId="00000056">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fisiología estudia el funcionamiento de los organismos. En las plantas, la fotosíntesis captura energía luminosa y la utiliza para formar compuestos orgánicos a partir de dióxido de carbono y agua. Este proceso sustenta la formación de biomasa y, por tanto, la producción de numerosas materias primas agroindustriales. La respiración celular libera energía química utilizable a partir de moléculas orgánicas y ocurre tanto en plantas como en animales. La transpiración vegetal, asociada con la pérdida de agua a través de estructuras como los estomas, participa en el movimiento de agua y minerales y se relaciona con el balance hídrico. (Freeman, 2009).</w:t>
      </w:r>
    </w:p>
    <w:p w:rsidR="00000000" w:rsidDel="00000000" w:rsidP="00000000" w:rsidRDefault="00000000" w:rsidRPr="00000000" w14:paraId="00000057">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animales, la digestión transforma los alimentos en moléculas que pueden ser absorbidas y utilizadas. El sistema circulatorio distribuye oxígeno, nutrientes, hormonas y otros componentes; el sistema respiratorio permite el intercambio de gases; y el metabolismo integra las reacciones que sostienen mantenimiento, crecimiento y producción. En ganadería y avicultura, estas funciones se relacionan con alimentación, ambiente, bienestar y desempeño productivo. (Freeman, 2009; Johann Morales Moreira, 2022).</w:t>
      </w:r>
    </w:p>
    <w:p w:rsidR="00000000" w:rsidDel="00000000" w:rsidP="00000000" w:rsidRDefault="00000000" w:rsidRPr="00000000" w14:paraId="00000058">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Fisiología del crecimiento vegetal y producción agrícola.</w:t>
      </w:r>
    </w:p>
    <w:p w:rsidR="00000000" w:rsidDel="00000000" w:rsidP="00000000" w:rsidRDefault="00000000" w:rsidRPr="00000000" w14:paraId="00000059">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crecimiento vegetal depende de división y expansión celular, disponibilidad de agua y nutrientes, actividad fotosintética, respiración y regulación hormonal. Raíces, tallos y hojas funcionan de manera integrada para captar recursos y distribuirlos. La producción agrícola resulta de esta interacción entre potencial biológico y ambiente. Por ello, variaciones en luz, temperatura, disponibilidad hídrica, nutrición o presencia de agentes biológicos pueden modificar crecimiento y rendimiento. (Freeman, 2009).</w:t>
      </w:r>
    </w:p>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Desde la gestión agroindustrial, estos procesos ayudan a interpretar diferencias en cantidad y calidad de materia prima. Una disminución del rendimiento no debe atribuirse automáticamente a una sola variable: el análisis debe considerar registros de manejo, condiciones ambientales, estado fisiológico y evidencia del cultivo. Esta lectura favorece decisiones basadas en datos y evita explicaciones simplistas.</w:t>
      </w:r>
    </w:p>
    <w:p w:rsidR="00000000" w:rsidDel="00000000" w:rsidP="00000000" w:rsidRDefault="00000000" w:rsidRPr="00000000" w14:paraId="0000005B">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Fisiología animal básica aplicada a ganadería y avicultura.</w:t>
      </w:r>
    </w:p>
    <w:p w:rsidR="00000000" w:rsidDel="00000000" w:rsidP="00000000" w:rsidRDefault="00000000" w:rsidRPr="00000000" w14:paraId="0000005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animales de interés productivo, el crecimiento y la producción dependen de la integración de sistemas digestivo, respiratorio, circulatorio, endocrino e inmune. La digestión determina la disponibilidad de nutrientes; la circulación distribuye sustancias; la respiración aporta oxígeno para el metabolismo; y los mecanismos de regulación mantienen condiciones internas compatibles con la vida. Las diferencias entre especies obligan a interpretar los parámetros fisiológicos dentro del contexto específico de cada sistema productivo. (Freeman, 2009; Johann Morales Moreira, 2022).</w:t>
      </w:r>
    </w:p>
    <w:p w:rsidR="00000000" w:rsidDel="00000000" w:rsidP="00000000" w:rsidRDefault="00000000" w:rsidRPr="00000000" w14:paraId="0000005D">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la administración agroindustrial, la fisiología permite comprender por qué la alimentación, la temperatura ambiental, el acceso al agua, la densidad, el manejo y el bienestar pueden reflejarse en indicadores productivos. No sustituye la evaluación veterinaria </w:t>
      </w:r>
      <w:r w:rsidDel="00000000" w:rsidR="00000000" w:rsidRPr="00000000">
        <w:rPr>
          <w:rFonts w:ascii="Arial" w:cs="Arial" w:eastAsia="Arial" w:hAnsi="Arial"/>
          <w:color w:val="000000"/>
          <w:sz w:val="24"/>
          <w:szCs w:val="24"/>
          <w:rtl w:val="0"/>
        </w:rPr>
        <w:t xml:space="preserve">ni zootécnica</w:t>
      </w:r>
      <w:r w:rsidDel="00000000" w:rsidR="00000000" w:rsidRPr="00000000">
        <w:rPr>
          <w:rFonts w:ascii="Arial" w:cs="Arial" w:eastAsia="Arial" w:hAnsi="Arial"/>
          <w:color w:val="000000"/>
          <w:sz w:val="24"/>
          <w:szCs w:val="24"/>
          <w:rtl w:val="0"/>
        </w:rPr>
        <w:t xml:space="preserve">, pero aporta una base para interpretar información técnica y coordinar decisiones de gestión.</w:t>
      </w:r>
    </w:p>
    <w:p w:rsidR="00000000" w:rsidDel="00000000" w:rsidP="00000000" w:rsidRDefault="00000000" w:rsidRPr="00000000" w14:paraId="0000005E">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Estrés abiótico y biótico: respuestas y manejo biológico.</w:t>
      </w:r>
    </w:p>
    <w:p w:rsidR="00000000" w:rsidDel="00000000" w:rsidP="00000000" w:rsidRDefault="00000000" w:rsidRPr="00000000" w14:paraId="0000005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estrés abiótico incluye condiciones no biológicas que alteran el funcionamiento del organismo, como temperaturas extremas, déficit o exceso de agua, salinidad o desequilibrios nutricionales. El estrés biótico se relaciona con la interacción con otros organismos, incluidos patógenos, parásitos o plagas. Plantas y animales responden mediante cambios fisiológicos que pueden reducir crecimiento, reproducción o productividad.</w:t>
      </w:r>
    </w:p>
    <w:p w:rsidR="00000000" w:rsidDel="00000000" w:rsidP="00000000" w:rsidRDefault="00000000" w:rsidRPr="00000000" w14:paraId="0000006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manejo requiere identificar el factor, estimar su impacto y seleccionar medidas compatibles con el sistema. En plantas, algunas estrategias incluyen manejo de agua y suelo, selección de materiales adaptados y control biológico. En animales, el manejo ambiental, nutricional y sanitario contribuye a disminuir factores de estrés. El análisis del tecnólogo debe relacionar el evento biológico con costos, continuidad productiva, calidad y sostenibilidad.</w:t>
      </w:r>
    </w:p>
    <w:p w:rsidR="00000000" w:rsidDel="00000000" w:rsidP="00000000" w:rsidRDefault="00000000" w:rsidRPr="00000000" w14:paraId="00000061">
      <w:pPr>
        <w:pStyle w:val="Heading3"/>
        <w:spacing w:after="100" w:before="200" w:line="300" w:lineRule="auto"/>
        <w:rPr>
          <w:rFonts w:ascii="Calibri" w:cs="Calibri" w:eastAsia="Calibri" w:hAnsi="Calibri"/>
          <w:color w:val="4f81bd"/>
          <w:sz w:val="28"/>
          <w:szCs w:val="28"/>
        </w:rPr>
      </w:pPr>
      <w:r w:rsidDel="00000000" w:rsidR="00000000" w:rsidRPr="00000000">
        <w:rPr>
          <w:rFonts w:ascii="Calibri" w:cs="Calibri" w:eastAsia="Calibri" w:hAnsi="Calibri"/>
          <w:color w:val="4f81bd"/>
          <w:sz w:val="28"/>
          <w:szCs w:val="28"/>
          <w:rtl w:val="0"/>
        </w:rPr>
        <w:t xml:space="preserve">Microbiología y sus Aplicaciones Agroindustriales.</w:t>
      </w:r>
    </w:p>
    <w:p w:rsidR="00000000" w:rsidDel="00000000" w:rsidP="00000000" w:rsidRDefault="00000000" w:rsidRPr="00000000" w14:paraId="00000062">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Clasificación y estructura de microorganismos.</w:t>
      </w:r>
    </w:p>
    <w:p w:rsidR="00000000" w:rsidDel="00000000" w:rsidP="00000000" w:rsidRDefault="00000000" w:rsidRPr="00000000" w14:paraId="00000063">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microorganismos comprenden grupos diversos. Las bacterias son organismos procariotas, sin núcleo rodeado por membrana. Los hongos son eucariotas y pueden presentarse como formas unicelulares o multicelulares. Las levaduras son hongos unicelulares con gran importancia en procesos fermentativos. La clasificación y la estructura permiten comprender diferencias en crecimiento, metabolismo y respuesta a condiciones ambientales. (Mader, 2024).</w:t>
      </w:r>
    </w:p>
    <w:p w:rsidR="00000000" w:rsidDel="00000000" w:rsidP="00000000" w:rsidRDefault="00000000" w:rsidRPr="00000000" w14:paraId="00000064">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una organización agroindustrial, identificar el grupo microbiano es solo el primer paso. También importa conocer el sustrato, temperatura, disponibilidad de agua, pH, oxígeno y otras condiciones que determinan su actividad. Estas variables explican por qué un mismo microorganismo puede ser deseable en un proceso controlado y problemático en otro.</w:t>
      </w:r>
    </w:p>
    <w:p w:rsidR="00000000" w:rsidDel="00000000" w:rsidP="00000000" w:rsidRDefault="00000000" w:rsidRPr="00000000" w14:paraId="0000006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7">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Microorganismos benéficos y patógenos.</w:t>
      </w:r>
    </w:p>
    <w:p w:rsidR="00000000" w:rsidDel="00000000" w:rsidP="00000000" w:rsidRDefault="00000000" w:rsidRPr="00000000" w14:paraId="00000068">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todos los microorganismos son perjudiciales. Muchos participan en ciclos de nutrientes, fertilidad del suelo, digestión, fermentación, producción de metabolitos y control biológico. Otros pueden comportarse como patógenos y afectar plantas, animales o seres humanos. La microbiología aplicada exige diferenciar función y contexto, evitando asociar automáticamente la presencia microbiana con enfermedad.</w:t>
      </w:r>
    </w:p>
    <w:p w:rsidR="00000000" w:rsidDel="00000000" w:rsidP="00000000" w:rsidRDefault="00000000" w:rsidRPr="00000000" w14:paraId="00000069">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microorganismos patógenos pueden mantenerse en reservorios humanos, animales, agua, suelo u otros ambientes y transmitirse por diferentes vías. En agroindustria, este conocimiento es relevante para diseñar medidas preventivas, controlar contaminación cruzada y documentar puntos críticos de un proceso. (Ingraham, 1992; Mader, 2024).</w:t>
      </w:r>
    </w:p>
    <w:p w:rsidR="00000000" w:rsidDel="00000000" w:rsidP="00000000" w:rsidRDefault="00000000" w:rsidRPr="00000000" w14:paraId="0000006A">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Procesos microbianos en la industria alimentaria: fermentaciones, probióticos y bioconservación.</w:t>
      </w:r>
    </w:p>
    <w:p w:rsidR="00000000" w:rsidDel="00000000" w:rsidP="00000000" w:rsidRDefault="00000000" w:rsidRPr="00000000" w14:paraId="0000006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fermentación utiliza el metabolismo de microorganismos para transformar sustratos y obtener productos con características específicas. Bacterias ácido-lácticas y levaduras participan en alimentos fermentados y pueden modificar acidez, aroma, textura y estabilidad. El proceso debe controlarse porque el resultado depende de la cepa, el sustrato y las condiciones de operación.</w:t>
      </w:r>
    </w:p>
    <w:p w:rsidR="00000000" w:rsidDel="00000000" w:rsidP="00000000" w:rsidRDefault="00000000" w:rsidRPr="00000000" w14:paraId="0000006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probióticos son microorganismos vivos que, administrados en cantidades adecuadas y bajo condiciones definidas, pueden conferir beneficios al huésped. La bioconservación aprovecha microorganismos o sus metabolitos para contribuir al control de organismos no deseados. En una empresa, estas aplicaciones requieren estandarización, control de calidad, trazabilidad y evidencia que sustente las declaraciones asociadas al producto. (Profesor Doménech, 2024).</w:t>
      </w:r>
    </w:p>
    <w:p w:rsidR="00000000" w:rsidDel="00000000" w:rsidP="00000000" w:rsidRDefault="00000000" w:rsidRPr="00000000" w14:paraId="0000006D">
      <w:pPr>
        <w:keepNext w:val="1"/>
        <w:keepLines w:val="1"/>
        <w:spacing w:before="200" w:line="36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Biofertilizantes, bioplaguicidas y biocontroladores.</w:t>
      </w:r>
    </w:p>
    <w:p w:rsidR="00000000" w:rsidDel="00000000" w:rsidP="00000000" w:rsidRDefault="00000000" w:rsidRPr="00000000" w14:paraId="0000006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biofertilizantes incorporan microorganismos o procesos biológicos que favorecen la disponibilidad de nutrientes o el crecimiento vegetal. Los biocontroladores emplean organismos o productos biológicos para disminuir el efecto de plagas o enfermedades. Los bioplaguicidas pueden derivarse de microorganismos, plantas u otros materiales biológicos y se integran a estrategias de manejo. (Instituto de Investigaciones Agrícolas, UCR, 2022; ICA, 2024).</w:t>
      </w:r>
    </w:p>
    <w:p w:rsidR="00000000" w:rsidDel="00000000" w:rsidP="00000000" w:rsidRDefault="00000000" w:rsidRPr="00000000" w14:paraId="0000006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control biológico y la biofertilización se emplean bacterias, hongos y otros microorganismos que pueden cumplir funciones específicas dentro de los sistemas agrícolas. Su utilización requiere considerar aspectos como la selección y validación de los microorganismos, su adaptación a las condiciones ambientales y la formulación del producto. La incorporación de estas alternativas debe analizarse de manera integral dentro del sistema productivo, considerando los resultados obtenidos y su contribución a una producción más sostenible (Instituto de Investigaciones Agrícolas, UCR, 2022; Instituto Colombiano Agropecuario [ICA], 2024).</w:t>
      </w:r>
    </w:p>
    <w:p w:rsidR="00000000" w:rsidDel="00000000" w:rsidP="00000000" w:rsidRDefault="00000000" w:rsidRPr="00000000" w14:paraId="00000070">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360" w:lineRule="auto"/>
        <w:ind w:left="720" w:right="0" w:hanging="360"/>
        <w:jc w:val="left"/>
        <w:rPr>
          <w:b w:val="1"/>
          <w:bCs w:val="1"/>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Bioseguridad y trazabilidad microbiológica.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bioseguridad en el contexto agroindustrial se relaciona con el manejo responsable de los microorganismos y productos biológicos utilizados en los sistemas productivos. Para su aplicación es importante considerar aspectos como la selección y validación de los microorganismos, su adaptación a las condiciones ambientales y la formulación de los productos, con el fin de favorecer su uso adecuado dentro de los procesos agrícolas (Instituto de Investigaciones Agrícolas, UCR, 2022).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el uso de bioinsumos requiere considerar medidas que contribuyan a proteger la producción, al productor y al consumidor. En este sentido, el Instituto Colombiano Agropecuario (ICA, 2024) destaca la importancia de emplear productos registrados y evaluados en campo, acompañados de buenas prácticas para su manejo y utilización.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trazabilidad microbiológica puede abordarse como la necesidad de realizar seguimiento a los microorganismos y productos biológicos utilizados dentro de los procesos agroindustriales. </w:t>
      </w:r>
    </w:p>
    <w:tbl>
      <w:tblPr>
        <w:tblStyle w:val="Table5"/>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74">
            <w:pPr>
              <w:spacing w:after="40" w:lineRule="auto"/>
              <w:rPr>
                <w:b w:val="1"/>
                <w:bCs w:val="1"/>
                <w:color w:val="1f5a94"/>
                <w:sz w:val="18"/>
                <w:szCs w:val="18"/>
              </w:rPr>
            </w:pPr>
            <w:r w:rsidDel="00000000" w:rsidR="00000000" w:rsidRPr="00000000">
              <w:rPr>
                <w:b w:val="1"/>
                <w:bCs w:val="1"/>
                <w:color w:val="1f5a94"/>
                <w:sz w:val="18"/>
                <w:szCs w:val="18"/>
                <w:rtl w:val="0"/>
              </w:rPr>
              <w:t xml:space="preserve">CRITERIO DE DESARROLLO</w:t>
            </w:r>
          </w:p>
          <w:p w:rsidR="00000000" w:rsidDel="00000000" w:rsidP="00000000" w:rsidRDefault="00000000" w:rsidRPr="00000000" w14:paraId="00000075">
            <w:pPr>
              <w:spacing w:after="0" w:line="276" w:lineRule="auto"/>
              <w:rPr/>
            </w:pPr>
            <w:r w:rsidDel="00000000" w:rsidR="00000000" w:rsidRPr="00000000">
              <w:rPr>
                <w:color w:val="000000"/>
                <w:sz w:val="18"/>
                <w:szCs w:val="18"/>
                <w:rtl w:val="0"/>
              </w:rPr>
              <w:t xml:space="preserve">Evite limitarse a definiciones aisladas. Al terminar cada tema, el estudiante debe comprender qué es, por qué es importante, cómo funciona, cuándo se utiliza y cuáles son sus limitaciones.</w:t>
            </w:r>
            <w:r w:rsidDel="00000000" w:rsidR="00000000" w:rsidRPr="00000000">
              <w:rPr>
                <w:rtl w:val="0"/>
              </w:rPr>
            </w:r>
          </w:p>
        </w:tc>
      </w:tr>
    </w:tbl>
    <w:p w:rsidR="00000000" w:rsidDel="00000000" w:rsidP="00000000" w:rsidRDefault="00000000" w:rsidRPr="00000000" w14:paraId="00000076">
      <w:pPr>
        <w:spacing w:after="40" w:line="72" w:lineRule="auto"/>
        <w:rPr/>
      </w:pPr>
      <w:r w:rsidDel="00000000" w:rsidR="00000000" w:rsidRPr="00000000">
        <w:rPr>
          <w:rtl w:val="0"/>
        </w:rPr>
      </w:r>
    </w:p>
    <w:p w:rsidR="00000000" w:rsidDel="00000000" w:rsidP="00000000" w:rsidRDefault="00000000" w:rsidRPr="00000000" w14:paraId="00000077">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Ejemplos aplicados</w:t>
      </w:r>
    </w:p>
    <w:p w:rsidR="00000000" w:rsidDel="00000000" w:rsidP="00000000" w:rsidRDefault="00000000" w:rsidRPr="00000000" w14:paraId="00000078">
      <w:pPr>
        <w:pStyle w:val="Heading2"/>
        <w:spacing w:line="360" w:lineRule="auto"/>
        <w:rPr>
          <w:rFonts w:ascii="Arial" w:cs="Arial" w:eastAsia="Arial" w:hAnsi="Arial"/>
        </w:rPr>
      </w:pPr>
      <w:r w:rsidDel="00000000" w:rsidR="00000000" w:rsidRPr="00000000">
        <w:rPr>
          <w:rFonts w:ascii="Arial" w:cs="Arial" w:eastAsia="Arial" w:hAnsi="Arial"/>
          <w:rtl w:val="0"/>
        </w:rPr>
        <w:t xml:space="preserve">Caso 1. Selección de material vegetal y decisión biotecnológica.</w:t>
      </w:r>
    </w:p>
    <w:p w:rsidR="00000000" w:rsidDel="00000000" w:rsidP="00000000" w:rsidRDefault="00000000" w:rsidRPr="00000000" w14:paraId="00000079">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organización productora de tomate presenta variaciones en el tamaño, la firmeza y la resistencia a enfermedades de sus cultivos. Ante la posibilidad de adquirir un material vegetal mejorado, debe analizar si estas características están relacionadas con factores genéticos, ambientales o con la interacción de ambos, antes de incorporarlo al sistema productivo.</w:t>
      </w:r>
    </w:p>
    <w:p w:rsidR="00000000" w:rsidDel="00000000" w:rsidP="00000000" w:rsidRDefault="00000000" w:rsidRPr="00000000" w14:paraId="0000007A">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esta situación, la decisión no debe basarse únicamente en el rendimiento informado por el proveedor. Es necesario considerar las características hereditarias del material, las condiciones ambientales en las que se desarrolla y su posible comportamiento dentro del sistema productivo. Este análisis permite relacionar la genética y el mejoramiento vegetal con la toma de decisiones en la producción y gestión agroindustrial.</w:t>
      </w:r>
    </w:p>
    <w:p w:rsidR="00000000" w:rsidDel="00000000" w:rsidP="00000000" w:rsidRDefault="00000000" w:rsidRPr="00000000" w14:paraId="0000007B">
      <w:pPr>
        <w:pStyle w:val="Heading2"/>
        <w:spacing w:line="360" w:lineRule="auto"/>
        <w:rPr>
          <w:rFonts w:ascii="Arial" w:cs="Arial" w:eastAsia="Arial" w:hAnsi="Arial"/>
        </w:rPr>
      </w:pPr>
      <w:r w:rsidDel="00000000" w:rsidR="00000000" w:rsidRPr="00000000">
        <w:rPr>
          <w:rFonts w:ascii="Arial" w:cs="Arial" w:eastAsia="Arial" w:hAnsi="Arial"/>
          <w:rtl w:val="0"/>
        </w:rPr>
        <w:t xml:space="preserve">Caso 2. Disminución del rendimiento en un sistema vegetal.</w:t>
      </w:r>
    </w:p>
    <w:p w:rsidR="00000000" w:rsidDel="00000000" w:rsidP="00000000" w:rsidRDefault="00000000" w:rsidRPr="00000000" w14:paraId="0000007C">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empresa agroindustrial presenta una disminución en la biomasa y calidad de un cultivo destinado a transformación, coincidiendo con temperaturas elevadas, menor disponibilidad de agua y cambios en la fertilización. La organización debe analizar si estas condiciones pueden estar relacionadas con alteraciones fisiológicas que afectan el desempeño del cultivo. </w:t>
      </w:r>
    </w:p>
    <w:p w:rsidR="00000000" w:rsidDel="00000000" w:rsidP="00000000" w:rsidRDefault="00000000" w:rsidRPr="00000000" w14:paraId="0000007D">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esta situación, es necesario analizar la relación entre las condiciones ambientales y los procesos fisiológicos de la planta, considerando su posible influencia sobre la producción. Esta información puede apoyar decisiones relacionadas con el manejo de recursos y la planificación productiva, sin sustituir la valoración agronómica especializada. Desde la gestión agroindustrial, comprender estos factores contribuye a interpretar problemas que pueden afectar la disponibilidad y calidad de las materias primas.</w:t>
      </w:r>
    </w:p>
    <w:p w:rsidR="00000000" w:rsidDel="00000000" w:rsidP="00000000" w:rsidRDefault="00000000" w:rsidRPr="00000000" w14:paraId="0000007E">
      <w:pPr>
        <w:pStyle w:val="Heading2"/>
        <w:rPr>
          <w:rFonts w:ascii="Arial" w:cs="Arial" w:eastAsia="Arial" w:hAnsi="Arial"/>
        </w:rPr>
      </w:pPr>
      <w:r w:rsidDel="00000000" w:rsidR="00000000" w:rsidRPr="00000000">
        <w:rPr>
          <w:rFonts w:ascii="Arial" w:cs="Arial" w:eastAsia="Arial" w:hAnsi="Arial"/>
          <w:rtl w:val="0"/>
        </w:rPr>
        <w:t xml:space="preserve">Caso 3. Fermentación y trazabilidad.</w:t>
      </w:r>
    </w:p>
    <w:p w:rsidR="00000000" w:rsidDel="00000000" w:rsidP="00000000" w:rsidRDefault="00000000" w:rsidRPr="00000000" w14:paraId="0000007F">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planta de alimentos fermentados presenta diferencias de acidez, aroma y estabilidad entre sus lotes. Se identifican variaciones en el tiempo y la temperatura de fermentación, además de registros incompletos sobre el origen del cultivo iniciador, por lo que es necesario analizar la relación entre la actividad microbiana y las condiciones del proceso.</w:t>
      </w:r>
    </w:p>
    <w:p w:rsidR="00000000" w:rsidDel="00000000" w:rsidP="00000000" w:rsidRDefault="00000000" w:rsidRPr="00000000" w14:paraId="00000080">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esta situación, las diferencias entre los lotes pueden relacionarse con las condiciones en las que ocurre la fermentación y con los microorganismos involucrados. Comparar los registros disponibles y realizar un adecuado seguimiento del cultivo iniciador permite identificar posibles variaciones del proceso y fortalecer su control. Este análisis relaciona la actividad microbiana con la calidad y estabilidad de los productos fermentados y con la gestión del proceso agroindustrial</w:t>
      </w:r>
    </w:p>
    <w:p w:rsidR="00000000" w:rsidDel="00000000" w:rsidP="00000000" w:rsidRDefault="00000000" w:rsidRPr="00000000" w14:paraId="00000081">
      <w:pPr>
        <w:pStyle w:val="Heading2"/>
        <w:rPr>
          <w:rFonts w:ascii="Arial" w:cs="Arial" w:eastAsia="Arial" w:hAnsi="Arial"/>
        </w:rPr>
      </w:pPr>
      <w:r w:rsidDel="00000000" w:rsidR="00000000" w:rsidRPr="00000000">
        <w:rPr>
          <w:rFonts w:ascii="Arial" w:cs="Arial" w:eastAsia="Arial" w:hAnsi="Arial"/>
          <w:rtl w:val="0"/>
        </w:rPr>
        <w:t xml:space="preserve">Caso 4. Bioinsumos y sostenibilidad.</w:t>
      </w:r>
    </w:p>
    <w:p w:rsidR="00000000" w:rsidDel="00000000" w:rsidP="00000000" w:rsidRDefault="00000000" w:rsidRPr="00000000" w14:paraId="00000082">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organización agrícola desea reducir el uso de insumos convencionales mediante la incorporación de un biofertilizante y un agente de control biológico. El proveedor señala que, por ser productos naturales, no requieren evaluaciones adicionales. La organización debe analizar esta afirmación y valorar las características y condiciones de uso de los bioinsumos antes de incorporarlos al sistema productivo.</w:t>
      </w:r>
    </w:p>
    <w:p w:rsidR="00000000" w:rsidDel="00000000" w:rsidP="00000000" w:rsidRDefault="00000000" w:rsidRPr="00000000" w14:paraId="00000083">
      <w:pP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esta situación, el origen natural de un bioinsumo no elimina la necesidad de evaluar sus características, eficacia y condiciones de utilización. La organización debe considerar la información disponible sobre los microorganismos empleados, su validación y adaptación a las condiciones ambientales. Además, debe valorar los resultados obtenidos en el sistema productivo para determinar su contribución a la sostenibilidad. Este análisis se relaciona con el RAC 2, al permitir evaluar alternativas biológicas considerando sus implicaciones productivas y ambientales dentro del contexto agroindustrial.</w:t>
      </w:r>
    </w:p>
    <w:p w:rsidR="00000000" w:rsidDel="00000000" w:rsidP="00000000" w:rsidRDefault="00000000" w:rsidRPr="00000000" w14:paraId="00000084">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Reflexión para el aprendizaje autónomo</w:t>
      </w:r>
    </w:p>
    <w:p w:rsidR="00000000" w:rsidDel="00000000" w:rsidP="00000000" w:rsidRDefault="00000000" w:rsidRPr="00000000" w14:paraId="000000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siguientes preguntas no constituyen una actividad calificable. Úsalas como control de comprensión antes de avanzar. Procura que tus respuestas no se limiten a definiciones; establece relaciones de causa-efecto y utiliza ejemplos del contexto agroindustrial.</w:t>
      </w:r>
    </w:p>
    <w:p w:rsidR="00000000" w:rsidDel="00000000" w:rsidP="00000000" w:rsidRDefault="00000000" w:rsidRPr="00000000" w14:paraId="000000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¿Cómo pueden la genética y la biotecnología contribuir al análisis de problemas relacionados con la producción agroindustrial?</w:t>
      </w:r>
    </w:p>
    <w:p w:rsidR="00000000" w:rsidDel="00000000" w:rsidP="00000000" w:rsidRDefault="00000000" w:rsidRPr="00000000" w14:paraId="000000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¿De qué manera los procesos fisiológicos de plantas y animales pueden influir en la cantidad y calidad de las materias primas utilizadas por una organización agroindustrial?</w:t>
      </w:r>
    </w:p>
    <w:p w:rsidR="00000000" w:rsidDel="00000000" w:rsidP="00000000" w:rsidRDefault="00000000" w:rsidRPr="00000000" w14:paraId="000000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¿Qué factores ambientales pueden modificar el funcionamiento de los organismos utilizados en los sistemas productivos?</w:t>
      </w:r>
    </w:p>
    <w:p w:rsidR="00000000" w:rsidDel="00000000" w:rsidP="00000000" w:rsidRDefault="00000000" w:rsidRPr="00000000" w14:paraId="000000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¿Por qué los microorganismos pueden representar tanto beneficios como riesgos para una organización agroindustrial?</w:t>
      </w:r>
    </w:p>
    <w:p w:rsidR="00000000" w:rsidDel="00000000" w:rsidP="00000000" w:rsidRDefault="00000000" w:rsidRPr="00000000" w14:paraId="000000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¿Cómo pueden utilizarse los microorganismos en procesos como la fermentación, la biofertilización o el control biológico?</w:t>
      </w:r>
    </w:p>
    <w:p w:rsidR="00000000" w:rsidDel="00000000" w:rsidP="00000000" w:rsidRDefault="00000000" w:rsidRPr="00000000" w14:paraId="000000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¿Qué información debería analizar una organización antes de incorporar un bioinsumo a su sistema productivo?</w:t>
      </w:r>
    </w:p>
    <w:p w:rsidR="00000000" w:rsidDel="00000000" w:rsidP="00000000" w:rsidRDefault="00000000" w:rsidRPr="00000000" w14:paraId="000000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¿Cómo se relacionan los conocimientos de genética, fisiología y microbiología con la toma de decisiones en una organización agroindustrial?</w:t>
      </w:r>
    </w:p>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¿De qué manera estos conocimientos pueden contribuir al análisis de la sostenibilidad de los sistemas de producción agroindustrial?</w:t>
      </w:r>
    </w:p>
    <w:p w:rsidR="00000000" w:rsidDel="00000000" w:rsidP="00000000" w:rsidRDefault="00000000" w:rsidRPr="00000000" w14:paraId="0000008E">
      <w:pPr>
        <w:spacing w:after="40" w:line="72" w:lineRule="auto"/>
        <w:rPr/>
      </w:pPr>
      <w:r w:rsidDel="00000000" w:rsidR="00000000" w:rsidRPr="00000000">
        <w:rPr>
          <w:rtl w:val="0"/>
        </w:rPr>
      </w:r>
    </w:p>
    <w:p w:rsidR="00000000" w:rsidDel="00000000" w:rsidP="00000000" w:rsidRDefault="00000000" w:rsidRPr="00000000" w14:paraId="0000008F">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Cierre y síntesis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genética permite comprender cómo se organiza y transmite la información hereditaria y aporta las bases para interpretar los procesos de herencia, mejoramiento y biotecnología. La fisiología, por su parte, facilita el análisis de cómo plantas y animales obtienen, transforman y utilizan los recursos necesarios para su crecimiento, mantenimiento y producción. A su vez, la microbiología permite reconocer que los microorganismos pueden desempeñar diferentes funciones en los sistemas agroindustriales, participando en procesos de transformación, fermentación, biofertilización y control biológico, o representando riesgos según las condiciones en las que se encuentren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Administración Agroindustrial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estos fundamentos biológicos adquieren especial importancia cuando se relacionan con el análisis de los sistemas productivos y la toma de decisiones. Su comprensión permite interpretar situaciones vinculadas con las materias primas, los procesos de producción, la calidad, el aprovechamiento de los recursos y la sostenibilidad. De esta manera, los contenidos de la unidad contribuyen al RAP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orientado a determinar el micro y macroambiente de las organizaciones agroindustriales, y se articulan con el RAC 1</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mediante el análisis de las estructuras y funciones biológicas aplicadas a la producción y gestión agroindustrial, y con el RAC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través del análisis de situaciones relacionadas con la ecología y la sostenibilidad.</w:t>
      </w:r>
    </w:p>
    <w:p w:rsidR="00000000" w:rsidDel="00000000" w:rsidP="00000000" w:rsidRDefault="00000000" w:rsidRPr="00000000" w14:paraId="00000092">
      <w:pPr>
        <w:pStyle w:val="Heading3"/>
        <w:numPr>
          <w:ilvl w:val="1"/>
          <w:numId w:val="4"/>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Referencias</w:t>
      </w:r>
    </w:p>
    <w:p w:rsidR="00000000" w:rsidDel="00000000" w:rsidP="00000000" w:rsidRDefault="00000000" w:rsidRPr="00000000" w14:paraId="00000093">
      <w:pPr>
        <w:spacing w:line="360" w:lineRule="auto"/>
        <w:ind w:left="360" w:hanging="360"/>
        <w:jc w:val="both"/>
        <w:rPr>
          <w:rFonts w:ascii="Arial" w:cs="Arial" w:eastAsia="Arial" w:hAnsi="Arial"/>
          <w:color w:val="000000"/>
          <w:sz w:val="24"/>
          <w:szCs w:val="24"/>
        </w:rPr>
      </w:pPr>
      <w:bookmarkStart w:colFirst="0" w:colLast="0" w:name="_heading=h.u4kfs2stvm48" w:id="3"/>
      <w:bookmarkEnd w:id="3"/>
      <w:r w:rsidDel="00000000" w:rsidR="00000000" w:rsidRPr="00000000">
        <w:rPr>
          <w:rFonts w:ascii="Arial" w:cs="Arial" w:eastAsia="Arial" w:hAnsi="Arial"/>
          <w:color w:val="000000"/>
          <w:sz w:val="24"/>
          <w:szCs w:val="24"/>
          <w:rtl w:val="0"/>
        </w:rPr>
        <w:t xml:space="preserve">Audesirk, T., Byers, B. E., Campos Olguín, V., &amp; Audesirk, G. (2017). Biología: La vida en la tierra con fisiología. Pearson Educación.</w:t>
      </w:r>
    </w:p>
    <w:p w:rsidR="00000000" w:rsidDel="00000000" w:rsidP="00000000" w:rsidRDefault="00000000" w:rsidRPr="00000000" w14:paraId="00000094">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Freeman, S. (2009). Biología. Pearson Educación.</w:t>
      </w:r>
    </w:p>
    <w:p w:rsidR="00000000" w:rsidDel="00000000" w:rsidP="00000000" w:rsidRDefault="00000000" w:rsidRPr="00000000" w14:paraId="00000095">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Gutiérrez Ramírez, L. A. (2016). Los microorganismos en la agroindustria: fundamentos y aplicaciones. Editorial Lasallista.</w:t>
      </w:r>
    </w:p>
    <w:p w:rsidR="00000000" w:rsidDel="00000000" w:rsidP="00000000" w:rsidRDefault="00000000" w:rsidRPr="00000000" w14:paraId="00000096">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Ingraham, J. (1992). Microbiología. Editorial Reverté.</w:t>
      </w:r>
    </w:p>
    <w:p w:rsidR="00000000" w:rsidDel="00000000" w:rsidP="00000000" w:rsidRDefault="00000000" w:rsidRPr="00000000" w14:paraId="00000097">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Instituto Colombiano Agropecuario. (2024, 31 de mayo). ICA | La ciencia detrás de los bioinsumos - Capítulo 1 [Video]. YouTube. https://www.youtube.com/watch?v=1iu757MPHKs</w:t>
      </w:r>
    </w:p>
    <w:p w:rsidR="00000000" w:rsidDel="00000000" w:rsidP="00000000" w:rsidRDefault="00000000" w:rsidRPr="00000000" w14:paraId="00000098">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Instituto de Investigaciones Agrícolas, UCR. (2022, 20 de abril). Charla: Biofertilizantes y biocontroladores [Video]. YouTube. https://www.youtube.com/watch?v=w2R-Nt14aL0</w:t>
      </w:r>
    </w:p>
    <w:p w:rsidR="00000000" w:rsidDel="00000000" w:rsidP="00000000" w:rsidRDefault="00000000" w:rsidRPr="00000000" w14:paraId="00000099">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Journal RD. (2023, 12 de diciembre). Episodio 24 - Bioplaguicidas como sustituto de los plaguicidas químicos [Video]. YouTube. https://www.youtube.com/watch?v=wShgY3EgBN4</w:t>
      </w:r>
    </w:p>
    <w:p w:rsidR="00000000" w:rsidDel="00000000" w:rsidP="00000000" w:rsidRDefault="00000000" w:rsidRPr="00000000" w14:paraId="0000009A">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Mader, S. S. (2024). Biología. McGraw-Hill.</w:t>
      </w:r>
    </w:p>
    <w:p w:rsidR="00000000" w:rsidDel="00000000" w:rsidP="00000000" w:rsidRDefault="00000000" w:rsidRPr="00000000" w14:paraId="0000009B">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Profesor Doménech. (2024, 15 de mayo). Los microorganismos y el hombre: ¿amigos o enemigos? [Video]. YouTube. https://www.youtube.com/watch?v=L_ZBlichrWw</w:t>
      </w:r>
    </w:p>
    <w:p w:rsidR="00000000" w:rsidDel="00000000" w:rsidP="00000000" w:rsidRDefault="00000000" w:rsidRPr="00000000" w14:paraId="0000009C">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SENA Valle. (2023, 8 de julio). Organismos biológicamente modificados y su aplicación en la industria agrícola y de alimentos [Video]. YouTube. https://www.youtube.com/watch?v=geKtopzkack</w:t>
      </w:r>
    </w:p>
    <w:p w:rsidR="00000000" w:rsidDel="00000000" w:rsidP="00000000" w:rsidRDefault="00000000" w:rsidRPr="00000000" w14:paraId="0000009D">
      <w:pPr>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Velázquez Ocampo, M. P. (2020). Biología II. Cengage Learning.</w:t>
      </w:r>
    </w:p>
    <w:p w:rsidR="00000000" w:rsidDel="00000000" w:rsidP="00000000" w:rsidRDefault="00000000" w:rsidRPr="00000000" w14:paraId="0000009E">
      <w:pPr>
        <w:spacing w:line="360" w:lineRule="auto"/>
        <w:ind w:left="36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Johann Morales Moreira. (2022, 4 de enero). Fisiología animal [Video]. YouTube. https://www.youtube.com/watch?v=VsQdrysRgqw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numPr>
          <w:ilvl w:val="0"/>
          <w:numId w:val="4"/>
        </w:numPr>
        <w:spacing w:after="140" w:before="280" w:line="300" w:lineRule="auto"/>
        <w:ind w:left="360" w:hanging="360"/>
        <w:rPr>
          <w:color w:val="10145b"/>
        </w:rPr>
      </w:pPr>
      <w:r w:rsidDel="00000000" w:rsidR="00000000" w:rsidRPr="00000000">
        <w:rPr>
          <w:color w:val="10145b"/>
          <w:rtl w:val="0"/>
        </w:rPr>
        <w:t xml:space="preserve">Lista de verificación antes de entregar</w:t>
      </w:r>
    </w:p>
    <w:tbl>
      <w:tblPr>
        <w:tblStyle w:val="Table6"/>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A1">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A2">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sidR="00000000" w:rsidDel="00000000" w:rsidP="00000000" w:rsidRDefault="00000000" w:rsidRPr="00000000" w14:paraId="000000A4">
            <w:pPr>
              <w:spacing w:after="0" w:line="252.00000000000003" w:lineRule="auto"/>
              <w:jc w:val="center"/>
              <w:rPr/>
            </w:pPr>
            <w:r w:rsidDel="00000000" w:rsidR="00000000" w:rsidRPr="00000000">
              <w:rPr>
                <w:sz w:val="16"/>
                <w:szCs w:val="16"/>
                <w:rtl w:val="0"/>
              </w:rPr>
              <w:t xml:space="preserve">☐ Pendiente</w:t>
              <w:br w:type="textWrapping"/>
            </w:r>
            <w:sdt>
              <w:sdtPr>
                <w:id w:val="-228458791"/>
                <w:tag w:val="goog_rdk_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sidR="00000000" w:rsidDel="00000000" w:rsidP="00000000" w:rsidRDefault="00000000" w:rsidRPr="00000000" w14:paraId="000000A6">
            <w:pPr>
              <w:spacing w:after="0" w:line="252.00000000000003" w:lineRule="auto"/>
              <w:jc w:val="center"/>
              <w:rPr/>
            </w:pPr>
            <w:r w:rsidDel="00000000" w:rsidR="00000000" w:rsidRPr="00000000">
              <w:rPr>
                <w:sz w:val="16"/>
                <w:szCs w:val="16"/>
                <w:rtl w:val="0"/>
              </w:rPr>
              <w:t xml:space="preserve">☐ Pendiente</w:t>
              <w:br w:type="textWrapping"/>
            </w:r>
            <w:sdt>
              <w:sdtPr>
                <w:id w:val="-785730609"/>
                <w:tag w:val="goog_rdk_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sidR="00000000" w:rsidDel="00000000" w:rsidP="00000000" w:rsidRDefault="00000000" w:rsidRPr="00000000" w14:paraId="000000A8">
            <w:pPr>
              <w:spacing w:after="0" w:line="252.00000000000003" w:lineRule="auto"/>
              <w:jc w:val="center"/>
              <w:rPr/>
            </w:pPr>
            <w:r w:rsidDel="00000000" w:rsidR="00000000" w:rsidRPr="00000000">
              <w:rPr>
                <w:sz w:val="16"/>
                <w:szCs w:val="16"/>
                <w:rtl w:val="0"/>
              </w:rPr>
              <w:t xml:space="preserve">☐ Pendiente</w:t>
              <w:br w:type="textWrapping"/>
            </w:r>
            <w:sdt>
              <w:sdtPr>
                <w:id w:val="-1460020763"/>
                <w:tag w:val="goog_rdk_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sidR="00000000" w:rsidDel="00000000" w:rsidP="00000000" w:rsidRDefault="00000000" w:rsidRPr="00000000" w14:paraId="000000AA">
            <w:pPr>
              <w:spacing w:after="0" w:line="252.00000000000003" w:lineRule="auto"/>
              <w:jc w:val="center"/>
              <w:rPr/>
            </w:pPr>
            <w:r w:rsidDel="00000000" w:rsidR="00000000" w:rsidRPr="00000000">
              <w:rPr>
                <w:sz w:val="16"/>
                <w:szCs w:val="16"/>
                <w:rtl w:val="0"/>
              </w:rPr>
              <w:t xml:space="preserve">☐ Pendiente</w:t>
              <w:br w:type="textWrapping"/>
            </w:r>
            <w:sdt>
              <w:sdtPr>
                <w:id w:val="-1726060024"/>
                <w:tag w:val="goog_rdk_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sidR="00000000" w:rsidDel="00000000" w:rsidP="00000000" w:rsidRDefault="00000000" w:rsidRPr="00000000" w14:paraId="000000AC">
            <w:pPr>
              <w:spacing w:after="0" w:line="252.00000000000003" w:lineRule="auto"/>
              <w:jc w:val="center"/>
              <w:rPr/>
            </w:pPr>
            <w:r w:rsidDel="00000000" w:rsidR="00000000" w:rsidRPr="00000000">
              <w:rPr>
                <w:sz w:val="16"/>
                <w:szCs w:val="16"/>
                <w:rtl w:val="0"/>
              </w:rPr>
              <w:t xml:space="preserve">☐ Pendiente</w:t>
              <w:br w:type="textWrapping"/>
            </w:r>
            <w:sdt>
              <w:sdtPr>
                <w:id w:val="-294417671"/>
                <w:tag w:val="goog_rdk_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sidR="00000000" w:rsidDel="00000000" w:rsidP="00000000" w:rsidRDefault="00000000" w:rsidRPr="00000000" w14:paraId="000000AE">
            <w:pPr>
              <w:spacing w:after="0" w:line="252.00000000000003" w:lineRule="auto"/>
              <w:jc w:val="center"/>
              <w:rPr/>
            </w:pPr>
            <w:r w:rsidDel="00000000" w:rsidR="00000000" w:rsidRPr="00000000">
              <w:rPr>
                <w:sz w:val="16"/>
                <w:szCs w:val="16"/>
                <w:rtl w:val="0"/>
              </w:rPr>
              <w:t xml:space="preserve">☐ Pendiente</w:t>
              <w:br w:type="textWrapping"/>
            </w:r>
            <w:sdt>
              <w:sdtPr>
                <w:id w:val="196591762"/>
                <w:tag w:val="goog_rdk_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sidR="00000000" w:rsidDel="00000000" w:rsidP="00000000" w:rsidRDefault="00000000" w:rsidRPr="00000000" w14:paraId="000000B0">
            <w:pPr>
              <w:spacing w:after="0" w:line="252.00000000000003" w:lineRule="auto"/>
              <w:jc w:val="center"/>
              <w:rPr>
                <w:sz w:val="16"/>
                <w:szCs w:val="16"/>
              </w:rPr>
            </w:pPr>
            <w:r w:rsidDel="00000000" w:rsidR="00000000" w:rsidRPr="00000000">
              <w:rPr>
                <w:sz w:val="16"/>
                <w:szCs w:val="16"/>
                <w:rtl w:val="0"/>
              </w:rPr>
              <w:t xml:space="preserve">☐ Pendiente</w:t>
              <w:br w:type="textWrapping"/>
            </w:r>
            <w:sdt>
              <w:sdtPr>
                <w:id w:val="1925647565"/>
                <w:tag w:val="goog_rdk_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Verificado</w:t>
            </w:r>
          </w:p>
        </w:tc>
      </w:tr>
    </w:tbl>
    <w:p w:rsidR="00000000" w:rsidDel="00000000" w:rsidP="00000000" w:rsidRDefault="00000000" w:rsidRPr="00000000" w14:paraId="000000B1">
      <w:pPr>
        <w:keepLines w:val="1"/>
        <w:pBdr>
          <w:top w:space="0" w:sz="0" w:val="nil"/>
          <w:left w:space="0" w:sz="0" w:val="nil"/>
          <w:bottom w:space="0" w:sz="0" w:val="nil"/>
          <w:right w:space="0" w:sz="0" w:val="nil"/>
          <w:between w:space="0" w:sz="0" w:val="nil"/>
        </w:pBdr>
        <w:spacing w:after="140" w:line="276" w:lineRule="auto"/>
        <w:ind w:left="144" w:hanging="144"/>
        <w:rPr>
          <w:sz w:val="20"/>
          <w:szCs w:val="20"/>
        </w:rPr>
      </w:pPr>
      <w:r w:rsidDel="00000000" w:rsidR="00000000" w:rsidRPr="00000000">
        <w:rPr>
          <w:rtl w:val="0"/>
        </w:rPr>
      </w:r>
    </w:p>
    <w:tbl>
      <w:tblPr>
        <w:tblStyle w:val="Table7"/>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B2">
            <w:pPr>
              <w:spacing w:after="40" w:lineRule="auto"/>
              <w:rPr/>
            </w:pPr>
            <w:r w:rsidDel="00000000" w:rsidR="00000000" w:rsidRPr="00000000">
              <w:rPr>
                <w:b w:val="1"/>
                <w:bCs w:val="1"/>
                <w:color w:val="1f5a94"/>
                <w:sz w:val="18"/>
                <w:szCs w:val="18"/>
                <w:rtl w:val="0"/>
              </w:rPr>
              <w:t xml:space="preserve">ENTREGA</w:t>
            </w:r>
            <w:r w:rsidDel="00000000" w:rsidR="00000000" w:rsidRPr="00000000">
              <w:rPr>
                <w:rtl w:val="0"/>
              </w:rPr>
            </w:r>
          </w:p>
          <w:p w:rsidR="00000000" w:rsidDel="00000000" w:rsidP="00000000" w:rsidRDefault="00000000" w:rsidRPr="00000000" w14:paraId="000000B3">
            <w:pPr>
              <w:spacing w:after="0" w:line="276" w:lineRule="auto"/>
              <w:rPr/>
            </w:pPr>
            <w:r w:rsidDel="00000000" w:rsidR="00000000" w:rsidRPr="00000000">
              <w:rPr>
                <w:sz w:val="20"/>
                <w:szCs w:val="20"/>
                <w:rtl w:val="0"/>
              </w:rPr>
              <w:t xml:space="preserve">Entregue el archivo en formato .docx, con los campos completamente diligenciados, enlaces activos y nombre de archivo estandarizado según las indicaciones.</w:t>
            </w:r>
            <w:r w:rsidDel="00000000" w:rsidR="00000000" w:rsidRPr="00000000">
              <w:rPr>
                <w:rtl w:val="0"/>
              </w:rPr>
            </w:r>
          </w:p>
        </w:tc>
      </w:tr>
    </w:tbl>
    <w:p w:rsidR="00000000" w:rsidDel="00000000" w:rsidP="00000000" w:rsidRDefault="00000000" w:rsidRPr="00000000" w14:paraId="000000B4">
      <w:pPr>
        <w:spacing w:after="40" w:line="72" w:lineRule="auto"/>
        <w:rPr/>
      </w:pP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Control de revisión y aprobación</w:t>
      </w:r>
    </w:p>
    <w:tbl>
      <w:tblPr>
        <w:tblStyle w:val="Table8"/>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0B7">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0B8">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0B9">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0BA">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sidR="00000000" w:rsidDel="00000000" w:rsidP="00000000" w:rsidRDefault="00000000" w:rsidRPr="00000000" w14:paraId="000000BC">
            <w:pPr>
              <w:spacing w:after="0" w:line="252.00000000000003" w:lineRule="auto"/>
              <w:rPr/>
            </w:pPr>
            <w:r w:rsidDel="00000000" w:rsidR="00000000" w:rsidRPr="00000000">
              <w:rPr>
                <w:i w:val="1"/>
                <w:iCs w:val="1"/>
                <w:sz w:val="16"/>
                <w:szCs w:val="16"/>
                <w:rtl w:val="0"/>
              </w:rPr>
              <w:t xml:space="preserve">Camilo Ernesto Bastidas Guarnizo</w:t>
            </w:r>
            <w:r w:rsidDel="00000000" w:rsidR="00000000" w:rsidRPr="00000000">
              <w:rPr>
                <w:rtl w:val="0"/>
              </w:rPr>
            </w:r>
          </w:p>
        </w:tc>
        <w:tc>
          <w:tcPr>
            <w:vAlign w:val="center"/>
          </w:tcPr>
          <w:p w:rsidR="00000000" w:rsidDel="00000000" w:rsidP="00000000" w:rsidRDefault="00000000" w:rsidRPr="00000000" w14:paraId="000000BD">
            <w:pPr>
              <w:spacing w:after="0" w:line="252.00000000000003" w:lineRule="auto"/>
              <w:rPr/>
            </w:pPr>
            <w:r w:rsidDel="00000000" w:rsidR="00000000" w:rsidRPr="00000000">
              <w:rPr>
                <w:sz w:val="16"/>
                <w:szCs w:val="16"/>
                <w:rtl w:val="0"/>
              </w:rPr>
              <w:t xml:space="preserve">02/10/2026</w:t>
            </w:r>
            <w:r w:rsidDel="00000000" w:rsidR="00000000" w:rsidRPr="00000000">
              <w:rPr>
                <w:rtl w:val="0"/>
              </w:rPr>
            </w:r>
          </w:p>
        </w:tc>
        <w:tc>
          <w:tcPr>
            <w:vAlign w:val="center"/>
          </w:tcPr>
          <w:p w:rsidR="00000000" w:rsidDel="00000000" w:rsidP="00000000" w:rsidRDefault="00000000" w:rsidRPr="00000000" w14:paraId="000000BE">
            <w:pPr>
              <w:spacing w:after="0" w:line="252.00000000000003" w:lineRule="auto"/>
              <w:jc w:val="center"/>
              <w:rPr/>
            </w:pPr>
            <w:r w:rsidDel="00000000" w:rsidR="00000000" w:rsidRPr="00000000">
              <w:rPr>
                <w:sz w:val="16"/>
                <w:szCs w:val="16"/>
                <w:rtl w:val="0"/>
              </w:rPr>
              <w:t xml:space="preserve">☐ Pendiente</w:t>
              <w:br w:type="textWrapping"/>
            </w:r>
            <w:sdt>
              <w:sdtPr>
                <w:id w:val="-1165810231"/>
                <w:tag w:val="goog_rdk_7"/>
              </w:sdtPr>
              <w:sdtContent>
                <w:r w:rsidDel="00000000" w:rsidR="00000000" w:rsidRPr="00000000">
                  <w:rPr>
                    <w:rFonts w:ascii="Arial Unicode MS" w:cs="Arial Unicode MS" w:eastAsia="Arial Unicode MS" w:hAnsi="Arial Unicode MS"/>
                    <w:color w:val="202534"/>
                    <w:sz w:val="16"/>
                    <w:szCs w:val="16"/>
                    <w:rtl w:val="0"/>
                  </w:rPr>
                  <w:t xml:space="preserve">☒</w:t>
                </w:r>
              </w:sdtContent>
            </w:sdt>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sidR="00000000" w:rsidDel="00000000" w:rsidP="00000000" w:rsidRDefault="00000000" w:rsidRPr="00000000" w14:paraId="000000C0">
            <w:pPr>
              <w:spacing w:after="0" w:line="252.00000000000003" w:lineRule="auto"/>
              <w:rPr/>
            </w:pPr>
            <w:r w:rsidDel="00000000" w:rsidR="00000000" w:rsidRPr="00000000">
              <w:rPr>
                <w:i w:val="1"/>
                <w:iCs w:val="1"/>
                <w:sz w:val="16"/>
                <w:szCs w:val="16"/>
                <w:rtl w:val="0"/>
              </w:rPr>
              <w:t xml:space="preserve">[Diligencie aquí]</w:t>
            </w:r>
            <w:r w:rsidDel="00000000" w:rsidR="00000000" w:rsidRPr="00000000">
              <w:rPr>
                <w:rtl w:val="0"/>
              </w:rPr>
            </w:r>
          </w:p>
        </w:tc>
        <w:tc>
          <w:tcPr>
            <w:vAlign w:val="center"/>
          </w:tcPr>
          <w:p w:rsidR="00000000" w:rsidDel="00000000" w:rsidP="00000000" w:rsidRDefault="00000000" w:rsidRPr="00000000" w14:paraId="000000C1">
            <w:pPr>
              <w:spacing w:after="0" w:line="252.00000000000003" w:lineRule="auto"/>
              <w:jc w:val="center"/>
              <w:rPr/>
            </w:pPr>
            <w:r w:rsidDel="00000000" w:rsidR="00000000" w:rsidRPr="00000000">
              <w:rPr>
                <w:sz w:val="16"/>
                <w:szCs w:val="16"/>
                <w:rtl w:val="0"/>
              </w:rPr>
              <w:t xml:space="preserve">dd/mm/aaaa</w:t>
            </w:r>
            <w:r w:rsidDel="00000000" w:rsidR="00000000" w:rsidRPr="00000000">
              <w:rPr>
                <w:rtl w:val="0"/>
              </w:rPr>
            </w:r>
          </w:p>
        </w:tc>
        <w:tc>
          <w:tcPr>
            <w:vAlign w:val="center"/>
          </w:tcPr>
          <w:p w:rsidR="00000000" w:rsidDel="00000000" w:rsidP="00000000" w:rsidRDefault="00000000" w:rsidRPr="00000000" w14:paraId="000000C2">
            <w:pPr>
              <w:spacing w:after="0" w:line="252.00000000000003" w:lineRule="auto"/>
              <w:jc w:val="center"/>
              <w:rPr/>
            </w:pPr>
            <w:r w:rsidDel="00000000" w:rsidR="00000000" w:rsidRPr="00000000">
              <w:rPr>
                <w:sz w:val="16"/>
                <w:szCs w:val="16"/>
                <w:rtl w:val="0"/>
              </w:rPr>
              <w:t xml:space="preserve">☐ Pendiente</w:t>
              <w:br w:type="textWrapping"/>
              <w:t xml:space="preserve">☐ Aprobado</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color="d7dce3" w:space="5" w:sz="6" w:val="single"/>
        <w:left w:space="0" w:sz="0" w:val="nil"/>
        <w:bottom w:space="0" w:sz="0" w:val="nil"/>
        <w:right w:space="0" w:sz="0" w:val="nil"/>
        <w:between w:space="0" w:sz="0" w:val="nil"/>
      </w:pBdr>
      <w:tabs>
        <w:tab w:val="center" w:leader="none" w:pos="4680"/>
        <w:tab w:val="right" w:leader="none" w:pos="9360"/>
      </w:tabs>
      <w:spacing w:after="0" w:before="80" w:line="240" w:lineRule="auto"/>
      <w:jc w:val="center"/>
      <w:rPr/>
    </w:pPr>
    <w:r w:rsidDel="00000000" w:rsidR="00000000" w:rsidRPr="00000000">
      <w:rPr>
        <w:color w:val="5f6b78"/>
        <w:sz w:val="17"/>
        <w:szCs w:val="17"/>
        <w:rtl w:val="0"/>
      </w:rPr>
      <w:t xml:space="preserve">CTEV  |  Guía institucional  |  Página </w:t>
    </w:r>
    <w:r w:rsidDel="00000000" w:rsidR="00000000" w:rsidRPr="00000000">
      <w:rPr>
        <w:color w:val="5f6b78"/>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bookmarkStart w:colFirst="0" w:colLast="0" w:name="_heading=h.y8jsi6jkexra" w:id="4"/>
    <w:bookmarkEnd w:id="4"/>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-1637530</wp:posOffset>
          </wp:positionH>
          <wp:positionV relativeFrom="paragraph">
            <wp:posOffset>-522065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6"/>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80.0" w:type="dxa"/>
        <w:left w:w="120.0" w:type="dxa"/>
        <w:bottom w:w="80.0" w:type="dxa"/>
        <w:right w:w="120.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80.0" w:type="dxa"/>
        <w:left w:w="120.0" w:type="dxa"/>
        <w:bottom w:w="80.0" w:type="dxa"/>
        <w:right w:w="12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80.0" w:type="dxa"/>
        <w:left w:w="120.0" w:type="dxa"/>
        <w:bottom w:w="80.0" w:type="dxa"/>
        <w:right w:w="12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80.0" w:type="dxa"/>
        <w:left w:w="120.0" w:type="dxa"/>
        <w:bottom w:w="80.0" w:type="dxa"/>
        <w:right w:w="120.0" w:type="dxa"/>
      </w:tblCellMar>
    </w:tblPr>
  </w:style>
  <w:style w:type="paragraph" w:styleId="Prrafodelista">
    <w:name w:val="List Paragraph"/>
    <w:basedOn w:val="Normal"/>
    <w:uiPriority w:val="34"/>
    <w:qFormat w:val="1"/>
    <w:rsid w:val="000F0026"/>
    <w:pPr>
      <w:ind w:left="720"/>
      <w:contextualSpacing w:val="1"/>
    </w:pPr>
  </w:style>
  <w:style w:type="paragraph" w:styleId="Listaconvietas">
    <w:name w:val="List Bullet"/>
    <w:basedOn w:val="Normal"/>
    <w:uiPriority w:val="99"/>
    <w:unhideWhenUsed w:val="1"/>
    <w:rsid w:val="00DF54FF"/>
    <w:pPr>
      <w:numPr>
        <w:numId w:val="10"/>
      </w:numPr>
      <w:spacing w:line="360" w:lineRule="auto"/>
      <w:contextualSpacing w:val="1"/>
    </w:pPr>
    <w:rPr>
      <w:rFonts w:ascii="Arial" w:hAnsi="Arial" w:cstheme="minorBidi" w:eastAsiaTheme="minorEastAsia"/>
      <w:color w:val="auto"/>
      <w:sz w:val="24"/>
      <w:szCs w:val="22"/>
      <w:lang w:eastAsia="en-US" w:val="en-US"/>
    </w:rPr>
  </w:style>
  <w:style w:type="character" w:styleId="Ttulo1Car" w:customStyle="1">
    <w:name w:val="Título 1 Car"/>
    <w:basedOn w:val="Fuentedeprrafopredeter"/>
    <w:link w:val="Ttulo1"/>
    <w:uiPriority w:val="9"/>
    <w:rsid w:val="00310B2D"/>
    <w:rPr>
      <w:rFonts w:ascii="Calibri" w:cs="Calibri" w:eastAsia="Calibri" w:hAnsi="Calibri"/>
      <w:b w:val="1"/>
      <w:bCs w:val="1"/>
      <w:color w:val="1f5a94"/>
      <w:sz w:val="32"/>
      <w:szCs w:val="32"/>
    </w:rPr>
  </w:style>
  <w:style w:type="paragraph" w:styleId="Listaconnmeros">
    <w:name w:val="List Number"/>
    <w:basedOn w:val="Normal"/>
    <w:uiPriority w:val="99"/>
    <w:unhideWhenUsed w:val="1"/>
    <w:rsid w:val="00310B2D"/>
    <w:pPr>
      <w:numPr>
        <w:numId w:val="13"/>
      </w:numPr>
      <w:spacing w:line="360" w:lineRule="auto"/>
      <w:contextualSpacing w:val="1"/>
    </w:pPr>
    <w:rPr>
      <w:rFonts w:ascii="Arial" w:hAnsi="Arial" w:cstheme="minorBidi" w:eastAsiaTheme="minorEastAsia"/>
      <w:color w:val="auto"/>
      <w:sz w:val="24"/>
      <w:szCs w:val="22"/>
      <w:lang w:eastAsia="en-US" w:val="en-US"/>
    </w:rPr>
  </w:style>
  <w:style w:type="character" w:styleId="Hipervnculo">
    <w:name w:val="Hyperlink"/>
    <w:basedOn w:val="Fuentedeprrafopredeter"/>
    <w:uiPriority w:val="99"/>
    <w:unhideWhenUsed w:val="1"/>
    <w:rsid w:val="00306D37"/>
    <w:rPr>
      <w:color w:val="0000ff" w:themeColor="hyperlink"/>
      <w:u w:val="single"/>
    </w:rPr>
  </w:style>
  <w:style w:type="character" w:styleId="Mencinsinresolver">
    <w:name w:val="Unresolved Mention"/>
    <w:basedOn w:val="Fuentedeprrafopredeter"/>
    <w:uiPriority w:val="99"/>
    <w:semiHidden w:val="1"/>
    <w:unhideWhenUsed w:val="1"/>
    <w:rsid w:val="00306D37"/>
    <w:rPr>
      <w:color w:val="605e5c"/>
      <w:shd w:color="auto" w:fill="e1dfdd" w:val="clear"/>
    </w:rPr>
  </w:style>
  <w:style w:type="paragraph" w:styleId="NormalWeb">
    <w:name w:val="Normal (Web)"/>
    <w:basedOn w:val="Normal"/>
    <w:uiPriority w:val="99"/>
    <w:unhideWhenUsed w:val="1"/>
    <w:rsid w:val="004765D7"/>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Textoennegrita">
    <w:name w:val="Strong"/>
    <w:basedOn w:val="Fuentedeprrafopredeter"/>
    <w:uiPriority w:val="22"/>
    <w:qFormat w:val="1"/>
    <w:rsid w:val="004765D7"/>
    <w:rPr>
      <w:b w:val="1"/>
      <w:bCs w:val="1"/>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0o1VFXmK5k1R5Zvu9EsgBe/E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doeG9iYnFvY3JrazIOaC5uazd6MDByeDJ4MnoyDmguMWE5Z3pnYWFlMXdnMg5oLnU0a2ZzMnN0dm00ODIOaC55OGpzaTZqa2V4cmE4AHIhMXdQQnh2Z0ZkcENXR0ZldkViTHpZejhvNk4waE1wWV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2026-10-01T20:59:00Z</dcterms:created>
  <dc:creator>HP</dc:creator>
</cp:coreProperties>
</file>