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555555"/>
          <w:sz w:val="26"/>
        </w:rPr>
        <w:t>MERIDIAN BANK</w:t>
      </w:r>
    </w:p>
    <w:p>
      <w:pPr>
        <w:spacing w:after="40"/>
      </w:pPr>
      <w:r>
        <w:rPr>
          <w:b/>
          <w:color w:val="1F3A5F"/>
          <w:sz w:val="56"/>
        </w:rPr>
        <w:t>Architecture Vision</w:t>
      </w:r>
    </w:p>
    <w:p>
      <w:pPr>
        <w:spacing w:after="360"/>
      </w:pPr>
      <w:r>
        <w:rPr>
          <w:b w:val="0"/>
          <w:i w:val="0"/>
          <w:color w:val="555555"/>
          <w:sz w:val="26"/>
        </w:rPr>
        <w:t>Retail Banking Modernisation — Digital Platform Programme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fill="1F3A5F"/>
          </w:tcPr>
          <w:p>
            <w:r/>
            <w:r>
              <w:rPr>
                <w:b/>
                <w:color w:val="FFFFFF"/>
                <w:sz w:val="19"/>
              </w:rPr>
              <w:t>Document reference</w:t>
            </w:r>
          </w:p>
        </w:tc>
        <w:tc>
          <w:tcPr>
            <w:tcW w:type="dxa" w:w="1440"/>
            <w:shd w:val="clear" w:fill="1F3A5F"/>
          </w:tcPr>
          <w:p>
            <w:r/>
            <w:r>
              <w:rPr>
                <w:b/>
                <w:color w:val="FFFFFF"/>
                <w:sz w:val="19"/>
              </w:rPr>
              <w:t>Version</w:t>
            </w:r>
          </w:p>
        </w:tc>
        <w:tc>
          <w:tcPr>
            <w:tcW w:type="dxa" w:w="2016"/>
            <w:shd w:val="clear" w:fill="1F3A5F"/>
          </w:tcPr>
          <w:p>
            <w:r/>
            <w:r>
              <w:rPr>
                <w:b/>
                <w:color w:val="FFFFFF"/>
                <w:sz w:val="19"/>
              </w:rPr>
              <w:t>Date</w:t>
            </w:r>
          </w:p>
        </w:tc>
        <w:tc>
          <w:tcPr>
            <w:tcW w:type="dxa" w:w="2880"/>
            <w:shd w:val="clear" w:fill="1F3A5F"/>
          </w:tcPr>
          <w:p>
            <w:r/>
            <w:r>
              <w:rPr>
                <w:b/>
                <w:color w:val="FFFFFF"/>
                <w:sz w:val="19"/>
              </w:rPr>
              <w:t>Status</w:t>
            </w:r>
          </w:p>
        </w:tc>
      </w:tr>
      <w:tr>
        <w:tc>
          <w:tcPr>
            <w:tcW w:type="dxa" w:w="2592"/>
          </w:tcPr>
          <w:p>
            <w:r/>
            <w:r>
              <w:rPr>
                <w:sz w:val="19"/>
              </w:rPr>
              <w:t>AV-2026-001</w:t>
            </w:r>
          </w:p>
        </w:tc>
        <w:tc>
          <w:tcPr>
            <w:tcW w:type="dxa" w:w="1440"/>
          </w:tcPr>
          <w:p>
            <w:r/>
            <w:r>
              <w:rPr>
                <w:sz w:val="19"/>
              </w:rPr>
              <w:t>1.0</w:t>
            </w:r>
          </w:p>
        </w:tc>
        <w:tc>
          <w:tcPr>
            <w:tcW w:type="dxa" w:w="2016"/>
          </w:tcPr>
          <w:p>
            <w:r/>
            <w:r>
              <w:rPr>
                <w:sz w:val="19"/>
              </w:rPr>
              <w:t>3 July 2026</w:t>
            </w:r>
          </w:p>
        </w:tc>
        <w:tc>
          <w:tcPr>
            <w:tcW w:type="dxa" w:w="2880"/>
          </w:tcPr>
          <w:p>
            <w:r/>
            <w:r>
              <w:rPr>
                <w:sz w:val="19"/>
              </w:rPr>
              <w:t>Approved</w:t>
            </w:r>
          </w:p>
        </w:tc>
      </w:tr>
    </w:tbl>
    <w:p>
      <w:pPr>
        <w:spacing w:after="40"/>
      </w:pPr>
    </w:p>
    <w:p>
      <w:r>
        <w:rPr>
          <w:b w:val="0"/>
          <w:i/>
          <w:color w:val="555555"/>
          <w:sz w:val="17"/>
        </w:rPr>
        <w:t>Prepared by the Enterprise Architecture team, Office of the CIO. Fictional worked example prepared as TOGAF® 10 study material — Meridian Bank, Coastline Credit, and all names, dates, and figures are invented. TOGAF is a registered trademark of The Open Group.</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fill="1F3A5F"/>
          </w:tcPr>
          <w:p>
            <w:r/>
            <w:r>
              <w:rPr>
                <w:b/>
                <w:color w:val="FFFFFF"/>
                <w:sz w:val="19"/>
              </w:rPr>
              <w:t>Version</w:t>
            </w:r>
          </w:p>
        </w:tc>
        <w:tc>
          <w:tcPr>
            <w:tcW w:type="dxa" w:w="1728"/>
            <w:shd w:val="clear" w:fill="1F3A5F"/>
          </w:tcPr>
          <w:p>
            <w:r/>
            <w:r>
              <w:rPr>
                <w:b/>
                <w:color w:val="FFFFFF"/>
                <w:sz w:val="19"/>
              </w:rPr>
              <w:t>Date</w:t>
            </w:r>
          </w:p>
        </w:tc>
        <w:tc>
          <w:tcPr>
            <w:tcW w:type="dxa" w:w="3168"/>
            <w:shd w:val="clear" w:fill="1F3A5F"/>
          </w:tcPr>
          <w:p>
            <w:r/>
            <w:r>
              <w:rPr>
                <w:b/>
                <w:color w:val="FFFFFF"/>
                <w:sz w:val="19"/>
              </w:rPr>
              <w:t>Author</w:t>
            </w:r>
          </w:p>
        </w:tc>
        <w:tc>
          <w:tcPr>
            <w:tcW w:type="dxa" w:w="4320"/>
            <w:shd w:val="clear" w:fill="1F3A5F"/>
          </w:tcPr>
          <w:p>
            <w:r/>
            <w:r>
              <w:rPr>
                <w:b/>
                <w:color w:val="FFFFFF"/>
                <w:sz w:val="19"/>
              </w:rPr>
              <w:t>Change</w:t>
            </w:r>
          </w:p>
        </w:tc>
      </w:tr>
      <w:tr>
        <w:tc>
          <w:tcPr>
            <w:tcW w:type="dxa" w:w="1152"/>
          </w:tcPr>
          <w:p>
            <w:r/>
            <w:r>
              <w:rPr>
                <w:sz w:val="19"/>
              </w:rPr>
              <w:t>0.1</w:t>
            </w:r>
          </w:p>
        </w:tc>
        <w:tc>
          <w:tcPr>
            <w:tcW w:type="dxa" w:w="1728"/>
          </w:tcPr>
          <w:p>
            <w:r/>
            <w:r>
              <w:rPr>
                <w:sz w:val="19"/>
              </w:rPr>
              <w:t>5 Jun 2026</w:t>
            </w:r>
          </w:p>
        </w:tc>
        <w:tc>
          <w:tcPr>
            <w:tcW w:type="dxa" w:w="3168"/>
          </w:tcPr>
          <w:p>
            <w:r/>
            <w:r>
              <w:rPr>
                <w:sz w:val="19"/>
              </w:rPr>
              <w:t>A. Reyes</w:t>
            </w:r>
          </w:p>
        </w:tc>
        <w:tc>
          <w:tcPr>
            <w:tcW w:type="dxa" w:w="4320"/>
          </w:tcPr>
          <w:p>
            <w:r/>
            <w:r>
              <w:rPr>
                <w:sz w:val="19"/>
              </w:rPr>
              <w:t>Initial draft from Phase A workshops</w:t>
            </w:r>
          </w:p>
        </w:tc>
      </w:tr>
      <w:tr>
        <w:tc>
          <w:tcPr>
            <w:tcW w:type="dxa" w:w="1152"/>
            <w:shd w:val="clear" w:fill="EEF2F7"/>
          </w:tcPr>
          <w:p>
            <w:r/>
            <w:r>
              <w:rPr>
                <w:sz w:val="19"/>
              </w:rPr>
              <w:t>0.9</w:t>
            </w:r>
          </w:p>
        </w:tc>
        <w:tc>
          <w:tcPr>
            <w:tcW w:type="dxa" w:w="1728"/>
            <w:shd w:val="clear" w:fill="EEF2F7"/>
          </w:tcPr>
          <w:p>
            <w:r/>
            <w:r>
              <w:rPr>
                <w:sz w:val="19"/>
              </w:rPr>
              <w:t>26 Jun 2026</w:t>
            </w:r>
          </w:p>
        </w:tc>
        <w:tc>
          <w:tcPr>
            <w:tcW w:type="dxa" w:w="3168"/>
            <w:shd w:val="clear" w:fill="EEF2F7"/>
          </w:tcPr>
          <w:p>
            <w:r/>
            <w:r>
              <w:rPr>
                <w:sz w:val="19"/>
              </w:rPr>
              <w:t>A. Reyes</w:t>
            </w:r>
          </w:p>
        </w:tc>
        <w:tc>
          <w:tcPr>
            <w:tcW w:type="dxa" w:w="4320"/>
            <w:shd w:val="clear" w:fill="EEF2F7"/>
          </w:tcPr>
          <w:p>
            <w:r/>
            <w:r>
              <w:rPr>
                <w:sz w:val="19"/>
              </w:rPr>
              <w:t>Stakeholder review comments incorporated</w:t>
            </w:r>
          </w:p>
        </w:tc>
      </w:tr>
      <w:tr>
        <w:tc>
          <w:tcPr>
            <w:tcW w:type="dxa" w:w="1152"/>
          </w:tcPr>
          <w:p>
            <w:r/>
            <w:r>
              <w:rPr>
                <w:sz w:val="19"/>
              </w:rPr>
              <w:t>1.0</w:t>
            </w:r>
          </w:p>
        </w:tc>
        <w:tc>
          <w:tcPr>
            <w:tcW w:type="dxa" w:w="1728"/>
          </w:tcPr>
          <w:p>
            <w:r/>
            <w:r>
              <w:rPr>
                <w:sz w:val="19"/>
              </w:rPr>
              <w:t>3 Jul 2026</w:t>
            </w:r>
          </w:p>
        </w:tc>
        <w:tc>
          <w:tcPr>
            <w:tcW w:type="dxa" w:w="3168"/>
          </w:tcPr>
          <w:p>
            <w:r/>
            <w:r>
              <w:rPr>
                <w:sz w:val="19"/>
              </w:rPr>
              <w:t>A. Reyes</w:t>
            </w:r>
          </w:p>
        </w:tc>
        <w:tc>
          <w:tcPr>
            <w:tcW w:type="dxa" w:w="4320"/>
          </w:tcPr>
          <w:p>
            <w:r/>
            <w:r>
              <w:rPr>
                <w:sz w:val="19"/>
              </w:rPr>
              <w:t>Approved by sponsor at Architecture Review Board</w:t>
            </w:r>
          </w:p>
        </w:tc>
      </w:tr>
    </w:tbl>
    <w:p>
      <w:pPr>
        <w:spacing w:after="40"/>
      </w:pPr>
    </w:p>
    <w:p>
      <w:pPr>
        <w:pStyle w:val="Heading2"/>
      </w:pPr>
      <w:r>
        <w:t>Review and approval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fill="1F3A5F"/>
          </w:tcPr>
          <w:p>
            <w:r/>
            <w:r>
              <w:rPr>
                <w:b/>
                <w:color w:val="FFFFFF"/>
                <w:sz w:val="19"/>
              </w:rPr>
              <w:t>Role</w:t>
            </w:r>
          </w:p>
        </w:tc>
        <w:tc>
          <w:tcPr>
            <w:tcW w:type="dxa" w:w="2016"/>
            <w:shd w:val="clear" w:fill="1F3A5F"/>
          </w:tcPr>
          <w:p>
            <w:r/>
            <w:r>
              <w:rPr>
                <w:b/>
                <w:color w:val="FFFFFF"/>
                <w:sz w:val="19"/>
              </w:rPr>
              <w:t>Name</w:t>
            </w:r>
          </w:p>
        </w:tc>
        <w:tc>
          <w:tcPr>
            <w:tcW w:type="dxa" w:w="2304"/>
            <w:shd w:val="clear" w:fill="1F3A5F"/>
          </w:tcPr>
          <w:p>
            <w:r/>
            <w:r>
              <w:rPr>
                <w:b/>
                <w:color w:val="FFFFFF"/>
                <w:sz w:val="19"/>
              </w:rPr>
              <w:t>Action</w:t>
            </w:r>
          </w:p>
        </w:tc>
        <w:tc>
          <w:tcPr>
            <w:tcW w:type="dxa" w:w="2016"/>
            <w:shd w:val="clear" w:fill="1F3A5F"/>
          </w:tcPr>
          <w:p>
            <w:r/>
            <w:r>
              <w:rPr>
                <w:b/>
                <w:color w:val="FFFFFF"/>
                <w:sz w:val="19"/>
              </w:rPr>
              <w:t>Date</w:t>
            </w:r>
          </w:p>
        </w:tc>
      </w:tr>
      <w:tr>
        <w:tc>
          <w:tcPr>
            <w:tcW w:type="dxa" w:w="2592"/>
          </w:tcPr>
          <w:p>
            <w:r/>
            <w:r>
              <w:rPr>
                <w:sz w:val="19"/>
              </w:rPr>
              <w:t>CIO (Sponsor)</w:t>
            </w:r>
          </w:p>
        </w:tc>
        <w:tc>
          <w:tcPr>
            <w:tcW w:type="dxa" w:w="2016"/>
          </w:tcPr>
          <w:p>
            <w:r/>
            <w:r>
              <w:rPr>
                <w:sz w:val="19"/>
              </w:rPr>
              <w:t>D. Okafor</w:t>
            </w:r>
          </w:p>
        </w:tc>
        <w:tc>
          <w:tcPr>
            <w:tcW w:type="dxa" w:w="2304"/>
          </w:tcPr>
          <w:p>
            <w:r/>
            <w:r>
              <w:rPr>
                <w:sz w:val="19"/>
              </w:rPr>
              <w:t>Approved</w:t>
            </w:r>
          </w:p>
        </w:tc>
        <w:tc>
          <w:tcPr>
            <w:tcW w:type="dxa" w:w="2016"/>
          </w:tcPr>
          <w:p>
            <w:r/>
            <w:r>
              <w:rPr>
                <w:sz w:val="19"/>
              </w:rPr>
              <w:t>3 Jul 2026</w:t>
            </w:r>
          </w:p>
        </w:tc>
      </w:tr>
      <w:tr>
        <w:tc>
          <w:tcPr>
            <w:tcW w:type="dxa" w:w="2592"/>
            <w:shd w:val="clear" w:fill="EEF2F7"/>
          </w:tcPr>
          <w:p>
            <w:r/>
            <w:r>
              <w:rPr>
                <w:sz w:val="19"/>
              </w:rPr>
              <w:t>Chief Risk Officer</w:t>
            </w:r>
          </w:p>
        </w:tc>
        <w:tc>
          <w:tcPr>
            <w:tcW w:type="dxa" w:w="2016"/>
            <w:shd w:val="clear" w:fill="EEF2F7"/>
          </w:tcPr>
          <w:p>
            <w:r/>
            <w:r>
              <w:rPr>
                <w:sz w:val="19"/>
              </w:rPr>
              <w:t>S. Nakamura</w:t>
            </w:r>
          </w:p>
        </w:tc>
        <w:tc>
          <w:tcPr>
            <w:tcW w:type="dxa" w:w="2304"/>
            <w:shd w:val="clear" w:fill="EEF2F7"/>
          </w:tcPr>
          <w:p>
            <w:r/>
            <w:r>
              <w:rPr>
                <w:sz w:val="19"/>
              </w:rPr>
              <w:t>Reviewed</w:t>
            </w:r>
          </w:p>
        </w:tc>
        <w:tc>
          <w:tcPr>
            <w:tcW w:type="dxa" w:w="2016"/>
            <w:shd w:val="clear" w:fill="EEF2F7"/>
          </w:tcPr>
          <w:p>
            <w:r/>
            <w:r>
              <w:rPr>
                <w:sz w:val="19"/>
              </w:rPr>
              <w:t>1 Jul 2026</w:t>
            </w:r>
          </w:p>
        </w:tc>
      </w:tr>
      <w:tr>
        <w:tc>
          <w:tcPr>
            <w:tcW w:type="dxa" w:w="2592"/>
          </w:tcPr>
          <w:p>
            <w:r/>
            <w:r>
              <w:rPr>
                <w:sz w:val="19"/>
              </w:rPr>
              <w:t>Head of Retail Banking</w:t>
            </w:r>
          </w:p>
        </w:tc>
        <w:tc>
          <w:tcPr>
            <w:tcW w:type="dxa" w:w="2016"/>
          </w:tcPr>
          <w:p>
            <w:r/>
            <w:r>
              <w:rPr>
                <w:sz w:val="19"/>
              </w:rPr>
              <w:t>P. Costa</w:t>
            </w:r>
          </w:p>
        </w:tc>
        <w:tc>
          <w:tcPr>
            <w:tcW w:type="dxa" w:w="2304"/>
          </w:tcPr>
          <w:p>
            <w:r/>
            <w:r>
              <w:rPr>
                <w:sz w:val="19"/>
              </w:rPr>
              <w:t>Reviewed</w:t>
            </w:r>
          </w:p>
        </w:tc>
        <w:tc>
          <w:tcPr>
            <w:tcW w:type="dxa" w:w="2016"/>
          </w:tcPr>
          <w:p>
            <w:r/>
            <w:r>
              <w:rPr>
                <w:sz w:val="19"/>
              </w:rPr>
              <w:t>1 Jul 2026</w:t>
            </w:r>
          </w:p>
        </w:tc>
      </w:tr>
      <w:tr>
        <w:tc>
          <w:tcPr>
            <w:tcW w:type="dxa" w:w="2592"/>
            <w:shd w:val="clear" w:fill="EEF2F7"/>
          </w:tcPr>
          <w:p>
            <w:r/>
            <w:r>
              <w:rPr>
                <w:sz w:val="19"/>
              </w:rPr>
              <w:t>Chief Architect</w:t>
            </w:r>
          </w:p>
        </w:tc>
        <w:tc>
          <w:tcPr>
            <w:tcW w:type="dxa" w:w="2016"/>
            <w:shd w:val="clear" w:fill="EEF2F7"/>
          </w:tcPr>
          <w:p>
            <w:r/>
            <w:r>
              <w:rPr>
                <w:sz w:val="19"/>
              </w:rPr>
              <w:t>A. Reyes</w:t>
            </w:r>
          </w:p>
        </w:tc>
        <w:tc>
          <w:tcPr>
            <w:tcW w:type="dxa" w:w="2304"/>
            <w:shd w:val="clear" w:fill="EEF2F7"/>
          </w:tcPr>
          <w:p>
            <w:r/>
            <w:r>
              <w:rPr>
                <w:sz w:val="19"/>
              </w:rPr>
              <w:t>Author / submitted</w:t>
            </w:r>
          </w:p>
        </w:tc>
        <w:tc>
          <w:tcPr>
            <w:tcW w:type="dxa" w:w="2016"/>
            <w:shd w:val="clear" w:fill="EEF2F7"/>
          </w:tcPr>
          <w:p>
            <w:r/>
            <w:r>
              <w:rPr>
                <w:sz w:val="19"/>
              </w:rPr>
              <w:t>26 Jun 2026</w:t>
            </w:r>
          </w:p>
        </w:tc>
      </w:tr>
    </w:tbl>
    <w:p>
      <w:pPr>
        <w:spacing w:after="40"/>
      </w:pPr>
    </w:p>
    <w:p>
      <w:pPr>
        <w:pStyle w:val="Heading1"/>
      </w:pPr>
      <w:r>
        <w:t>1. Problem description</w:t>
      </w:r>
    </w:p>
    <w:p>
      <w:r>
        <w:rPr>
          <w:b w:val="0"/>
          <w:i w:val="0"/>
        </w:rPr>
        <w:t>Meridian Bank is a mid-tier Australian bank whose core banking platform is a 25-year-old monolith deployed in a single region. Digital channels are attached through 47 identified point-to-point integrations, making change slow, risky, and expensive. Three forces make the status quo untenable:</w:t>
      </w:r>
    </w:p>
    <w:p>
      <w:pPr>
        <w:pStyle w:val="ListBullet"/>
      </w:pPr>
      <w:r>
        <w:t>Regulatory — APRA CPS 230 requires Meridian to set, meet, and evidence impact tolerances for critical operations. The single-region deployment and manual evidencing processes cannot demonstrate the required tolerances.</w:t>
      </w:r>
    </w:p>
    <w:p>
      <w:pPr>
        <w:pStyle w:val="ListBullet"/>
      </w:pPr>
      <w:r>
        <w:t>Commercial — new product launch cycles run 9–12 months against a market norm of 6–8 weeks. The board requires digital-first products to reach market substantially faster.</w:t>
      </w:r>
    </w:p>
    <w:p>
      <w:pPr>
        <w:pStyle w:val="ListBullet"/>
      </w:pPr>
      <w:r>
        <w:t>Acquisition — the Coastline Credit acquisition adds approximately 180,000 customers on an incompatible platform, with a contractual obligation to complete customer migration by Q4 2027.</w:t>
      </w:r>
    </w:p>
    <w:p>
      <w:pPr>
        <w:pStyle w:val="Heading2"/>
      </w:pPr>
      <w:r>
        <w:t>1.1 Stakeholders and concerns</w:t>
      </w:r>
    </w:p>
    <w:p>
      <w:r>
        <w:rPr>
          <w:b w:val="0"/>
          <w:i w:val="0"/>
        </w:rPr>
        <w:t>Stakeholder analysis was performed at the start of Phase A; the full Stakeholder Map Matrix is held in the Architecture Repository. Key entries: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19"/>
              </w:rPr>
              <w:t>Stakeholder</w:t>
            </w:r>
          </w:p>
        </w:tc>
        <w:tc>
          <w:tcPr>
            <w:tcW w:type="dxa" w:w="1728"/>
            <w:shd w:val="clear" w:fill="1F3A5F"/>
          </w:tcPr>
          <w:p>
            <w:r/>
            <w:r>
              <w:rPr>
                <w:b/>
                <w:color w:val="FFFFFF"/>
                <w:sz w:val="19"/>
              </w:rPr>
              <w:t>Class</w:t>
            </w:r>
          </w:p>
        </w:tc>
        <w:tc>
          <w:tcPr>
            <w:tcW w:type="dxa" w:w="3888"/>
            <w:shd w:val="clear" w:fill="1F3A5F"/>
          </w:tcPr>
          <w:p>
            <w:r/>
            <w:r>
              <w:rPr>
                <w:b/>
                <w:color w:val="FFFFFF"/>
                <w:sz w:val="19"/>
              </w:rPr>
              <w:t>Key concerns</w:t>
            </w:r>
          </w:p>
        </w:tc>
        <w:tc>
          <w:tcPr>
            <w:tcW w:type="dxa" w:w="2304"/>
            <w:shd w:val="clear" w:fill="1F3A5F"/>
          </w:tcPr>
          <w:p>
            <w:r/>
            <w:r>
              <w:rPr>
                <w:b/>
                <w:color w:val="FFFFFF"/>
                <w:sz w:val="19"/>
              </w:rPr>
              <w:t>Engagement</w:t>
            </w:r>
          </w:p>
        </w:tc>
      </w:tr>
      <w:tr>
        <w:tc>
          <w:tcPr>
            <w:tcW w:type="dxa" w:w="2160"/>
          </w:tcPr>
          <w:p>
            <w:r/>
            <w:r>
              <w:rPr>
                <w:sz w:val="19"/>
              </w:rPr>
              <w:t>CIO (sponsor)</w:t>
            </w:r>
          </w:p>
        </w:tc>
        <w:tc>
          <w:tcPr>
            <w:tcW w:type="dxa" w:w="1728"/>
          </w:tcPr>
          <w:p>
            <w:r/>
            <w:r>
              <w:rPr>
                <w:sz w:val="19"/>
              </w:rPr>
              <w:t>Decision maker</w:t>
            </w:r>
          </w:p>
        </w:tc>
        <w:tc>
          <w:tcPr>
            <w:tcW w:type="dxa" w:w="3888"/>
          </w:tcPr>
          <w:p>
            <w:r/>
            <w:r>
              <w:rPr>
                <w:sz w:val="19"/>
              </w:rPr>
              <w:t>Delivery pace, CPS 230 compliance, cost</w:t>
            </w:r>
          </w:p>
        </w:tc>
        <w:tc>
          <w:tcPr>
            <w:tcW w:type="dxa" w:w="2304"/>
          </w:tcPr>
          <w:p>
            <w:r/>
            <w:r>
              <w:rPr>
                <w:sz w:val="19"/>
              </w:rPr>
              <w:t>Partner closely</w:t>
            </w:r>
          </w:p>
        </w:tc>
      </w:tr>
      <w:tr>
        <w:tc>
          <w:tcPr>
            <w:tcW w:type="dxa" w:w="2160"/>
            <w:shd w:val="clear" w:fill="EEF2F7"/>
          </w:tcPr>
          <w:p>
            <w:r/>
            <w:r>
              <w:rPr>
                <w:sz w:val="19"/>
              </w:rPr>
              <w:t>Head of Retail Banking</w:t>
            </w:r>
          </w:p>
        </w:tc>
        <w:tc>
          <w:tcPr>
            <w:tcW w:type="dxa" w:w="1728"/>
            <w:shd w:val="clear" w:fill="EEF2F7"/>
          </w:tcPr>
          <w:p>
            <w:r/>
            <w:r>
              <w:rPr>
                <w:sz w:val="19"/>
              </w:rPr>
              <w:t>Key player</w:t>
            </w:r>
          </w:p>
        </w:tc>
        <w:tc>
          <w:tcPr>
            <w:tcW w:type="dxa" w:w="3888"/>
            <w:shd w:val="clear" w:fill="EEF2F7"/>
          </w:tcPr>
          <w:p>
            <w:r/>
            <w:r>
              <w:rPr>
                <w:sz w:val="19"/>
              </w:rPr>
              <w:t>Time-to-market for digital products</w:t>
            </w:r>
          </w:p>
        </w:tc>
        <w:tc>
          <w:tcPr>
            <w:tcW w:type="dxa" w:w="2304"/>
            <w:shd w:val="clear" w:fill="EEF2F7"/>
          </w:tcPr>
          <w:p>
            <w:r/>
            <w:r>
              <w:rPr>
                <w:sz w:val="19"/>
              </w:rPr>
              <w:t>Partner closely</w:t>
            </w:r>
          </w:p>
        </w:tc>
      </w:tr>
      <w:tr>
        <w:tc>
          <w:tcPr>
            <w:tcW w:type="dxa" w:w="2160"/>
          </w:tcPr>
          <w:p>
            <w:r/>
            <w:r>
              <w:rPr>
                <w:sz w:val="19"/>
              </w:rPr>
              <w:t>Chief Risk Officer</w:t>
            </w:r>
          </w:p>
        </w:tc>
        <w:tc>
          <w:tcPr>
            <w:tcW w:type="dxa" w:w="1728"/>
          </w:tcPr>
          <w:p>
            <w:r/>
            <w:r>
              <w:rPr>
                <w:sz w:val="19"/>
              </w:rPr>
              <w:t>Decision maker</w:t>
            </w:r>
          </w:p>
        </w:tc>
        <w:tc>
          <w:tcPr>
            <w:tcW w:type="dxa" w:w="3888"/>
          </w:tcPr>
          <w:p>
            <w:r/>
            <w:r>
              <w:rPr>
                <w:sz w:val="19"/>
              </w:rPr>
              <w:t>Operational resilience; migration risk within CPS 230 tolerances</w:t>
            </w:r>
          </w:p>
        </w:tc>
        <w:tc>
          <w:tcPr>
            <w:tcW w:type="dxa" w:w="2304"/>
          </w:tcPr>
          <w:p>
            <w:r/>
            <w:r>
              <w:rPr>
                <w:sz w:val="19"/>
              </w:rPr>
              <w:t>Keep satisfied</w:t>
            </w:r>
          </w:p>
        </w:tc>
      </w:tr>
      <w:tr>
        <w:tc>
          <w:tcPr>
            <w:tcW w:type="dxa" w:w="2160"/>
            <w:shd w:val="clear" w:fill="EEF2F7"/>
          </w:tcPr>
          <w:p>
            <w:r/>
            <w:r>
              <w:rPr>
                <w:sz w:val="19"/>
              </w:rPr>
              <w:t>Core platform operations</w:t>
            </w:r>
          </w:p>
        </w:tc>
        <w:tc>
          <w:tcPr>
            <w:tcW w:type="dxa" w:w="1728"/>
            <w:shd w:val="clear" w:fill="EEF2F7"/>
          </w:tcPr>
          <w:p>
            <w:r/>
            <w:r>
              <w:rPr>
                <w:sz w:val="19"/>
              </w:rPr>
              <w:t>Affected party</w:t>
            </w:r>
          </w:p>
        </w:tc>
        <w:tc>
          <w:tcPr>
            <w:tcW w:type="dxa" w:w="3888"/>
            <w:shd w:val="clear" w:fill="EEF2F7"/>
          </w:tcPr>
          <w:p>
            <w:r/>
            <w:r>
              <w:rPr>
                <w:sz w:val="19"/>
              </w:rPr>
              <w:t>Job impact, cutover stability</w:t>
            </w:r>
          </w:p>
        </w:tc>
        <w:tc>
          <w:tcPr>
            <w:tcW w:type="dxa" w:w="2304"/>
            <w:shd w:val="clear" w:fill="EEF2F7"/>
          </w:tcPr>
          <w:p>
            <w:r/>
            <w:r>
              <w:rPr>
                <w:sz w:val="19"/>
              </w:rPr>
              <w:t>Keep informed</w:t>
            </w:r>
          </w:p>
        </w:tc>
      </w:tr>
      <w:tr>
        <w:tc>
          <w:tcPr>
            <w:tcW w:type="dxa" w:w="2160"/>
          </w:tcPr>
          <w:p>
            <w:r/>
            <w:r>
              <w:rPr>
                <w:sz w:val="19"/>
              </w:rPr>
              <w:t>APRA (regulator)</w:t>
            </w:r>
          </w:p>
        </w:tc>
        <w:tc>
          <w:tcPr>
            <w:tcW w:type="dxa" w:w="1728"/>
          </w:tcPr>
          <w:p>
            <w:r/>
            <w:r>
              <w:rPr>
                <w:sz w:val="19"/>
              </w:rPr>
              <w:t>External</w:t>
            </w:r>
          </w:p>
        </w:tc>
        <w:tc>
          <w:tcPr>
            <w:tcW w:type="dxa" w:w="3888"/>
          </w:tcPr>
          <w:p>
            <w:r/>
            <w:r>
              <w:rPr>
                <w:sz w:val="19"/>
              </w:rPr>
              <w:t>Evidence of CPS 230 obligations</w:t>
            </w:r>
          </w:p>
        </w:tc>
        <w:tc>
          <w:tcPr>
            <w:tcW w:type="dxa" w:w="2304"/>
          </w:tcPr>
          <w:p>
            <w:r/>
            <w:r>
              <w:rPr>
                <w:sz w:val="19"/>
              </w:rPr>
              <w:t>Keep satisfied via CRO</w:t>
            </w:r>
          </w:p>
        </w:tc>
      </w:tr>
      <w:tr>
        <w:tc>
          <w:tcPr>
            <w:tcW w:type="dxa" w:w="2160"/>
            <w:shd w:val="clear" w:fill="EEF2F7"/>
          </w:tcPr>
          <w:p>
            <w:r/>
            <w:r>
              <w:rPr>
                <w:sz w:val="19"/>
              </w:rPr>
              <w:t>Coastline customers</w:t>
            </w:r>
          </w:p>
        </w:tc>
        <w:tc>
          <w:tcPr>
            <w:tcW w:type="dxa" w:w="1728"/>
            <w:shd w:val="clear" w:fill="EEF2F7"/>
          </w:tcPr>
          <w:p>
            <w:r/>
            <w:r>
              <w:rPr>
                <w:sz w:val="19"/>
              </w:rPr>
              <w:t>Affected party</w:t>
            </w:r>
          </w:p>
        </w:tc>
        <w:tc>
          <w:tcPr>
            <w:tcW w:type="dxa" w:w="3888"/>
            <w:shd w:val="clear" w:fill="EEF2F7"/>
          </w:tcPr>
          <w:p>
            <w:r/>
            <w:r>
              <w:rPr>
                <w:sz w:val="19"/>
              </w:rPr>
              <w:t>Service continuity through migration</w:t>
            </w:r>
          </w:p>
        </w:tc>
        <w:tc>
          <w:tcPr>
            <w:tcW w:type="dxa" w:w="2304"/>
            <w:shd w:val="clear" w:fill="EEF2F7"/>
          </w:tcPr>
          <w:p>
            <w:r/>
            <w:r>
              <w:rPr>
                <w:sz w:val="19"/>
              </w:rPr>
              <w:t>Communications plan</w:t>
            </w:r>
          </w:p>
        </w:tc>
      </w:tr>
    </w:tbl>
    <w:p>
      <w:pPr>
        <w:spacing w:after="40"/>
      </w:pPr>
    </w:p>
    <w:p>
      <w:r>
        <w:rPr>
          <w:b w:val="0"/>
          <w:i/>
        </w:rPr>
        <w:t>The CRO has publicly questioned whether modernisation can proceed without breaching CPS 230 tolerances during migration. This concern is treated as a first-class architecture driver: resilience requirements appear in the requirements set (R-02, R-06) and transformation risks (section 8), not as an objection to be managed.</w:t>
      </w:r>
    </w:p>
    <w:p>
      <w:pPr>
        <w:pStyle w:val="Heading1"/>
      </w:pPr>
      <w:r>
        <w:t>2. Objective of the Statement of Architecture Work</w:t>
      </w:r>
    </w:p>
    <w:p>
      <w:r>
        <w:rPr>
          <w:b w:val="0"/>
          <w:i w:val="0"/>
        </w:rPr>
        <w:t>The objective of the accompanying Statement of Architecture Work (SAW-2026-001) is to secure sponsor approval for an architecture engagement that will develop Business, Data, Application, and Technology architectures for the Retail Banking division to the level of detail required to support investment decisions and an Implementation and Migration Plan; identify candidate roadmap components from gap analysis; and establish the governance under which implementation projects will be executed. Detailed solution design remains with delivery teams under Phase G governance.</w:t>
      </w:r>
    </w:p>
    <w:p>
      <w:pPr>
        <w:pStyle w:val="Heading1"/>
      </w:pPr>
      <w:r>
        <w:t>3. Summary views</w:t>
      </w:r>
    </w:p>
    <w:p>
      <w:pPr>
        <w:pStyle w:val="Heading2"/>
      </w:pPr>
      <w:r>
        <w:t>3.1 Value chain (summary)</w:t>
      </w:r>
    </w:p>
    <w:p>
      <w:r>
        <w:rPr>
          <w:b w:val="0"/>
          <w:i w:val="0"/>
        </w:rPr>
        <w:t>Meridian delivers value to retail customers through four primary streams — Acquire Customer, Originate Product (deposits, lending, payments), Service Account, and Resolve Issue — supported by risk and compliance, technology operations, and shared enterprise services. The Originate Home Loan value stream is a known underperformer: its Decide stage takes 11 days against a market norm of approximately 1 day.</w:t>
      </w:r>
    </w:p>
    <w:p>
      <w:pPr>
        <w:pStyle w:val="Heading2"/>
      </w:pPr>
      <w:r>
        <w:t>3.2 Solution concept</w:t>
      </w:r>
    </w:p>
    <w:p>
      <w:r>
        <w:rPr>
          <w:b w:val="0"/>
          <w:i w:val="0"/>
        </w:rPr>
        <w:t>The target concept places all channels (mobile and web banking, branch, contact centre) onto a common API and event layer, fronting modular product engines for deposits, lending, and payments, backed by a mastered customer and product data platform. The legacy core is retained in a transitional co-existence arrangement and strangled over time; Coastline customers migrate onto the data platform rather than onto the legacy core.</w:t>
      </w:r>
    </w:p>
    <w:p>
      <w:r>
        <w:rPr>
          <w:b w:val="0"/>
          <w:i/>
        </w:rPr>
        <w:t>The solution concept is deliberately capability-level: it names no products, vendors, or integration technologies. Those decisions belong to Phases C–E.</w:t>
      </w:r>
    </w:p>
    <w:p>
      <w:pPr>
        <w:pStyle w:val="Heading1"/>
      </w:pPr>
      <w:r>
        <w:t>4. Requirements (high level)</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3A5F"/>
          </w:tcPr>
          <w:p>
            <w:r/>
            <w:r>
              <w:rPr>
                <w:b/>
                <w:color w:val="FFFFFF"/>
                <w:sz w:val="19"/>
              </w:rPr>
              <w:t>ID</w:t>
            </w:r>
          </w:p>
        </w:tc>
        <w:tc>
          <w:tcPr>
            <w:tcW w:type="dxa" w:w="5184"/>
            <w:shd w:val="clear" w:fill="1F3A5F"/>
          </w:tcPr>
          <w:p>
            <w:r/>
            <w:r>
              <w:rPr>
                <w:b/>
                <w:color w:val="FFFFFF"/>
                <w:sz w:val="19"/>
              </w:rPr>
              <w:t>Requirement</w:t>
            </w:r>
          </w:p>
        </w:tc>
        <w:tc>
          <w:tcPr>
            <w:tcW w:type="dxa" w:w="3168"/>
            <w:shd w:val="clear" w:fill="1F3A5F"/>
          </w:tcPr>
          <w:p>
            <w:r/>
            <w:r>
              <w:rPr>
                <w:b/>
                <w:color w:val="FFFFFF"/>
                <w:sz w:val="19"/>
              </w:rPr>
              <w:t>Driver</w:t>
            </w:r>
          </w:p>
        </w:tc>
      </w:tr>
      <w:tr>
        <w:tc>
          <w:tcPr>
            <w:tcW w:type="dxa" w:w="864"/>
          </w:tcPr>
          <w:p>
            <w:r/>
            <w:r>
              <w:rPr>
                <w:sz w:val="19"/>
              </w:rPr>
              <w:t>R-01</w:t>
            </w:r>
          </w:p>
        </w:tc>
        <w:tc>
          <w:tcPr>
            <w:tcW w:type="dxa" w:w="5184"/>
          </w:tcPr>
          <w:p>
            <w:r/>
            <w:r>
              <w:rPr>
                <w:sz w:val="19"/>
              </w:rPr>
              <w:t>New retail products shall reach market in under 8 weeks from approved concept</w:t>
            </w:r>
          </w:p>
        </w:tc>
        <w:tc>
          <w:tcPr>
            <w:tcW w:type="dxa" w:w="3168"/>
          </w:tcPr>
          <w:p>
            <w:r/>
            <w:r>
              <w:rPr>
                <w:sz w:val="19"/>
              </w:rPr>
              <w:t>Board growth agenda</w:t>
            </w:r>
          </w:p>
        </w:tc>
      </w:tr>
      <w:tr>
        <w:tc>
          <w:tcPr>
            <w:tcW w:type="dxa" w:w="864"/>
            <w:shd w:val="clear" w:fill="EEF2F7"/>
          </w:tcPr>
          <w:p>
            <w:r/>
            <w:r>
              <w:rPr>
                <w:sz w:val="19"/>
              </w:rPr>
              <w:t>R-02</w:t>
            </w:r>
          </w:p>
        </w:tc>
        <w:tc>
          <w:tcPr>
            <w:tcW w:type="dxa" w:w="5184"/>
            <w:shd w:val="clear" w:fill="EEF2F7"/>
          </w:tcPr>
          <w:p>
            <w:r/>
            <w:r>
              <w:rPr>
                <w:sz w:val="19"/>
              </w:rPr>
              <w:t>Critical operations shall meet and evidence CPS 230 impact tolerances, with automated evidencing</w:t>
            </w:r>
          </w:p>
        </w:tc>
        <w:tc>
          <w:tcPr>
            <w:tcW w:type="dxa" w:w="3168"/>
            <w:shd w:val="clear" w:fill="EEF2F7"/>
          </w:tcPr>
          <w:p>
            <w:r/>
            <w:r>
              <w:rPr>
                <w:sz w:val="19"/>
              </w:rPr>
              <w:t>APRA CPS 230</w:t>
            </w:r>
          </w:p>
        </w:tc>
      </w:tr>
      <w:tr>
        <w:tc>
          <w:tcPr>
            <w:tcW w:type="dxa" w:w="864"/>
          </w:tcPr>
          <w:p>
            <w:r/>
            <w:r>
              <w:rPr>
                <w:sz w:val="19"/>
              </w:rPr>
              <w:t>R-03</w:t>
            </w:r>
          </w:p>
        </w:tc>
        <w:tc>
          <w:tcPr>
            <w:tcW w:type="dxa" w:w="5184"/>
          </w:tcPr>
          <w:p>
            <w:r/>
            <w:r>
              <w:rPr>
                <w:sz w:val="19"/>
              </w:rPr>
              <w:t>All Coastline customers shall be migrated with full service continuity by Q4 2027</w:t>
            </w:r>
          </w:p>
        </w:tc>
        <w:tc>
          <w:tcPr>
            <w:tcW w:type="dxa" w:w="3168"/>
          </w:tcPr>
          <w:p>
            <w:r/>
            <w:r>
              <w:rPr>
                <w:sz w:val="19"/>
              </w:rPr>
              <w:t>Acquisition contract</w:t>
            </w:r>
          </w:p>
        </w:tc>
      </w:tr>
      <w:tr>
        <w:tc>
          <w:tcPr>
            <w:tcW w:type="dxa" w:w="864"/>
            <w:shd w:val="clear" w:fill="EEF2F7"/>
          </w:tcPr>
          <w:p>
            <w:r/>
            <w:r>
              <w:rPr>
                <w:sz w:val="19"/>
              </w:rPr>
              <w:t>R-04</w:t>
            </w:r>
          </w:p>
        </w:tc>
        <w:tc>
          <w:tcPr>
            <w:tcW w:type="dxa" w:w="5184"/>
            <w:shd w:val="clear" w:fill="EEF2F7"/>
          </w:tcPr>
          <w:p>
            <w:r/>
            <w:r>
              <w:rPr>
                <w:sz w:val="19"/>
              </w:rPr>
              <w:t>Customer data shall be mastered in a single authoritative source</w:t>
            </w:r>
          </w:p>
        </w:tc>
        <w:tc>
          <w:tcPr>
            <w:tcW w:type="dxa" w:w="3168"/>
            <w:shd w:val="clear" w:fill="EEF2F7"/>
          </w:tcPr>
          <w:p>
            <w:r/>
            <w:r>
              <w:rPr>
                <w:sz w:val="19"/>
              </w:rPr>
              <w:t>Fragmentation across core + Coastline</w:t>
            </w:r>
          </w:p>
        </w:tc>
      </w:tr>
      <w:tr>
        <w:tc>
          <w:tcPr>
            <w:tcW w:type="dxa" w:w="864"/>
          </w:tcPr>
          <w:p>
            <w:r/>
            <w:r>
              <w:rPr>
                <w:sz w:val="19"/>
              </w:rPr>
              <w:t>R-05</w:t>
            </w:r>
          </w:p>
        </w:tc>
        <w:tc>
          <w:tcPr>
            <w:tcW w:type="dxa" w:w="5184"/>
          </w:tcPr>
          <w:p>
            <w:r/>
            <w:r>
              <w:rPr>
                <w:sz w:val="19"/>
              </w:rPr>
              <w:t>Channel-to-product integration shall occur only via the shared API and event layer</w:t>
            </w:r>
          </w:p>
        </w:tc>
        <w:tc>
          <w:tcPr>
            <w:tcW w:type="dxa" w:w="3168"/>
          </w:tcPr>
          <w:p>
            <w:r/>
            <w:r>
              <w:rPr>
                <w:sz w:val="19"/>
              </w:rPr>
              <w:t>47 point-to-point integrations</w:t>
            </w:r>
          </w:p>
        </w:tc>
      </w:tr>
      <w:tr>
        <w:tc>
          <w:tcPr>
            <w:tcW w:type="dxa" w:w="864"/>
            <w:shd w:val="clear" w:fill="EEF2F7"/>
          </w:tcPr>
          <w:p>
            <w:r/>
            <w:r>
              <w:rPr>
                <w:sz w:val="19"/>
              </w:rPr>
              <w:t>R-06</w:t>
            </w:r>
          </w:p>
        </w:tc>
        <w:tc>
          <w:tcPr>
            <w:tcW w:type="dxa" w:w="5184"/>
            <w:shd w:val="clear" w:fill="EEF2F7"/>
          </w:tcPr>
          <w:p>
            <w:r/>
            <w:r>
              <w:rPr>
                <w:sz w:val="19"/>
              </w:rPr>
              <w:t>Migration and transition states shall not degrade service below agreed tolerances</w:t>
            </w:r>
          </w:p>
        </w:tc>
        <w:tc>
          <w:tcPr>
            <w:tcW w:type="dxa" w:w="3168"/>
            <w:shd w:val="clear" w:fill="EEF2F7"/>
          </w:tcPr>
          <w:p>
            <w:r/>
            <w:r>
              <w:rPr>
                <w:sz w:val="19"/>
              </w:rPr>
              <w:t>CRO concern; CPS 230</w:t>
            </w:r>
          </w:p>
        </w:tc>
      </w:tr>
    </w:tbl>
    <w:p>
      <w:pPr>
        <w:spacing w:after="40"/>
      </w:pPr>
    </w:p>
    <w:p>
      <w:r>
        <w:rPr>
          <w:b w:val="0"/>
          <w:i w:val="0"/>
        </w:rPr>
        <w:t>Requirements are held in the Architecture Requirements Repository and managed through the Requirements Management phase across the ADM cycle.</w:t>
      </w:r>
    </w:p>
    <w:p>
      <w:pPr>
        <w:pStyle w:val="Heading1"/>
      </w:pPr>
      <w:r>
        <w:t>5. Summary of target architecture</w:t>
      </w:r>
    </w:p>
    <w:p>
      <w:pPr>
        <w:pStyle w:val="Heading2"/>
      </w:pPr>
      <w:r>
        <w:t>5.1 Business Architecture</w:t>
      </w:r>
    </w:p>
    <w:p>
      <w:r>
        <w:rPr>
          <w:b w:val="0"/>
          <w:i w:val="0"/>
        </w:rPr>
        <w:t>Retail product capabilities (deposits, lending, payments) are re-organised around value streams with clear capability ownership. Lending and Credit Decisioning is uplifted from maturity 1–2 to a target of 4, with the Originate Home Loan Decide stage reduced from 11 days toward the market norm. Product launch becomes a productised, repeatable capability.</w:t>
      </w:r>
    </w:p>
    <w:p>
      <w:pPr>
        <w:pStyle w:val="Heading2"/>
      </w:pPr>
      <w:r>
        <w:t>5.2 Data Architecture</w:t>
      </w:r>
    </w:p>
    <w:p>
      <w:r>
        <w:rPr>
          <w:b w:val="0"/>
          <w:i w:val="0"/>
        </w:rPr>
        <w:t>A single mastered customer and product data platform becomes the authoritative source for customer records, absorbing Coastline customer data during migration. Data management, migration, and governance considerations are addressed explicitly, with lineage and quality controls supporting CPS 230 evidencing.</w:t>
      </w:r>
    </w:p>
    <w:p>
      <w:pPr>
        <w:pStyle w:val="Heading2"/>
      </w:pPr>
      <w:r>
        <w:t>5.3 Application Architecture</w:t>
      </w:r>
    </w:p>
    <w:p>
      <w:r>
        <w:rPr>
          <w:b w:val="0"/>
          <w:i w:val="0"/>
        </w:rPr>
        <w:t>Modular product engines for deposits, lending, and payments replace monolithic product logic. Channels consume product capability exclusively through the shared API and event layer. The legacy core is strangled incrementally; no new integrations may target it directly.</w:t>
      </w:r>
    </w:p>
    <w:p>
      <w:pPr>
        <w:pStyle w:val="Heading2"/>
      </w:pPr>
      <w:r>
        <w:t>5.4 Technology Architecture</w:t>
      </w:r>
    </w:p>
    <w:p>
      <w:r>
        <w:rPr>
          <w:b w:val="0"/>
          <w:i w:val="0"/>
        </w:rPr>
        <w:t>Technology services are expressed as capability statements — container runtime platform, event streaming service, secrets management service — deployed across an active-active dual-region posture traceable to the Resilience by Design principle and CPS 230 impact tolerances. Physical product selection occurs in Phase E.</w:t>
      </w:r>
    </w:p>
    <w:p>
      <w:pPr>
        <w:pStyle w:val="Heading1"/>
      </w:pPr>
      <w:r>
        <w:t>6. Mapped requirements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fill="1F3A5F"/>
          </w:tcPr>
          <w:p>
            <w:r/>
            <w:r>
              <w:rPr>
                <w:b/>
                <w:color w:val="FFFFFF"/>
                <w:sz w:val="17"/>
              </w:rPr>
              <w:t>ID</w:t>
            </w:r>
          </w:p>
        </w:tc>
        <w:tc>
          <w:tcPr>
            <w:tcW w:type="dxa" w:w="2304"/>
            <w:shd w:val="clear" w:fill="1F3A5F"/>
          </w:tcPr>
          <w:p>
            <w:r/>
            <w:r>
              <w:rPr>
                <w:b/>
                <w:color w:val="FFFFFF"/>
                <w:sz w:val="17"/>
              </w:rPr>
              <w:t>Business</w:t>
            </w:r>
          </w:p>
        </w:tc>
        <w:tc>
          <w:tcPr>
            <w:tcW w:type="dxa" w:w="2160"/>
            <w:shd w:val="clear" w:fill="1F3A5F"/>
          </w:tcPr>
          <w:p>
            <w:r/>
            <w:r>
              <w:rPr>
                <w:b/>
                <w:color w:val="FFFFFF"/>
                <w:sz w:val="17"/>
              </w:rPr>
              <w:t>Data</w:t>
            </w:r>
          </w:p>
        </w:tc>
        <w:tc>
          <w:tcPr>
            <w:tcW w:type="dxa" w:w="2448"/>
            <w:shd w:val="clear" w:fill="1F3A5F"/>
          </w:tcPr>
          <w:p>
            <w:r/>
            <w:r>
              <w:rPr>
                <w:b/>
                <w:color w:val="FFFFFF"/>
                <w:sz w:val="17"/>
              </w:rPr>
              <w:t>Application</w:t>
            </w:r>
          </w:p>
        </w:tc>
        <w:tc>
          <w:tcPr>
            <w:tcW w:type="dxa" w:w="2304"/>
            <w:shd w:val="clear" w:fill="1F3A5F"/>
          </w:tcPr>
          <w:p>
            <w:r/>
            <w:r>
              <w:rPr>
                <w:b/>
                <w:color w:val="FFFFFF"/>
                <w:sz w:val="17"/>
              </w:rPr>
              <w:t>Technology</w:t>
            </w:r>
          </w:p>
        </w:tc>
      </w:tr>
      <w:tr>
        <w:tc>
          <w:tcPr>
            <w:tcW w:type="dxa" w:w="864"/>
          </w:tcPr>
          <w:p>
            <w:r/>
            <w:r>
              <w:rPr>
                <w:sz w:val="17"/>
              </w:rPr>
              <w:t>R-01</w:t>
            </w:r>
          </w:p>
        </w:tc>
        <w:tc>
          <w:tcPr>
            <w:tcW w:type="dxa" w:w="2304"/>
          </w:tcPr>
          <w:p>
            <w:r/>
            <w:r>
              <w:rPr>
                <w:sz w:val="17"/>
              </w:rPr>
              <w:t>Productised launch capability</w:t>
            </w:r>
          </w:p>
        </w:tc>
        <w:tc>
          <w:tcPr>
            <w:tcW w:type="dxa" w:w="2160"/>
          </w:tcPr>
          <w:p>
            <w:r/>
            <w:r>
              <w:rPr>
                <w:sz w:val="17"/>
              </w:rPr>
              <w:t>—</w:t>
            </w:r>
          </w:p>
        </w:tc>
        <w:tc>
          <w:tcPr>
            <w:tcW w:type="dxa" w:w="2448"/>
          </w:tcPr>
          <w:p>
            <w:r/>
            <w:r>
              <w:rPr>
                <w:sz w:val="17"/>
              </w:rPr>
              <w:t>Modular product engines</w:t>
            </w:r>
          </w:p>
        </w:tc>
        <w:tc>
          <w:tcPr>
            <w:tcW w:type="dxa" w:w="2304"/>
          </w:tcPr>
          <w:p>
            <w:r/>
            <w:r>
              <w:rPr>
                <w:sz w:val="17"/>
              </w:rPr>
              <w:t>Deployment automation services</w:t>
            </w:r>
          </w:p>
        </w:tc>
      </w:tr>
      <w:tr>
        <w:tc>
          <w:tcPr>
            <w:tcW w:type="dxa" w:w="864"/>
            <w:shd w:val="clear" w:fill="EEF2F7"/>
          </w:tcPr>
          <w:p>
            <w:r/>
            <w:r>
              <w:rPr>
                <w:sz w:val="17"/>
              </w:rPr>
              <w:t>R-02</w:t>
            </w:r>
          </w:p>
        </w:tc>
        <w:tc>
          <w:tcPr>
            <w:tcW w:type="dxa" w:w="2304"/>
            <w:shd w:val="clear" w:fill="EEF2F7"/>
          </w:tcPr>
          <w:p>
            <w:r/>
            <w:r>
              <w:rPr>
                <w:sz w:val="17"/>
              </w:rPr>
              <w:t>Resilience-aware operations</w:t>
            </w:r>
          </w:p>
        </w:tc>
        <w:tc>
          <w:tcPr>
            <w:tcW w:type="dxa" w:w="2160"/>
            <w:shd w:val="clear" w:fill="EEF2F7"/>
          </w:tcPr>
          <w:p>
            <w:r/>
            <w:r>
              <w:rPr>
                <w:sz w:val="17"/>
              </w:rPr>
              <w:t>Lineage for evidencing</w:t>
            </w:r>
          </w:p>
        </w:tc>
        <w:tc>
          <w:tcPr>
            <w:tcW w:type="dxa" w:w="2448"/>
            <w:shd w:val="clear" w:fill="EEF2F7"/>
          </w:tcPr>
          <w:p>
            <w:r/>
            <w:r>
              <w:rPr>
                <w:sz w:val="17"/>
              </w:rPr>
              <w:t>Health/telemetry via API layer</w:t>
            </w:r>
          </w:p>
        </w:tc>
        <w:tc>
          <w:tcPr>
            <w:tcW w:type="dxa" w:w="2304"/>
            <w:shd w:val="clear" w:fill="EEF2F7"/>
          </w:tcPr>
          <w:p>
            <w:r/>
            <w:r>
              <w:rPr>
                <w:sz w:val="17"/>
              </w:rPr>
              <w:t>Active-active dual-region</w:t>
            </w:r>
          </w:p>
        </w:tc>
      </w:tr>
      <w:tr>
        <w:tc>
          <w:tcPr>
            <w:tcW w:type="dxa" w:w="864"/>
          </w:tcPr>
          <w:p>
            <w:r/>
            <w:r>
              <w:rPr>
                <w:sz w:val="17"/>
              </w:rPr>
              <w:t>R-03</w:t>
            </w:r>
          </w:p>
        </w:tc>
        <w:tc>
          <w:tcPr>
            <w:tcW w:type="dxa" w:w="2304"/>
          </w:tcPr>
          <w:p>
            <w:r/>
            <w:r>
              <w:rPr>
                <w:sz w:val="17"/>
              </w:rPr>
              <w:t>Migration value stream</w:t>
            </w:r>
          </w:p>
        </w:tc>
        <w:tc>
          <w:tcPr>
            <w:tcW w:type="dxa" w:w="2160"/>
          </w:tcPr>
          <w:p>
            <w:r/>
            <w:r>
              <w:rPr>
                <w:sz w:val="17"/>
              </w:rPr>
              <w:t>Customer data platform</w:t>
            </w:r>
          </w:p>
        </w:tc>
        <w:tc>
          <w:tcPr>
            <w:tcW w:type="dxa" w:w="2448"/>
          </w:tcPr>
          <w:p>
            <w:r/>
            <w:r>
              <w:rPr>
                <w:sz w:val="17"/>
              </w:rPr>
              <w:t>Migration tooling boundary</w:t>
            </w:r>
          </w:p>
        </w:tc>
        <w:tc>
          <w:tcPr>
            <w:tcW w:type="dxa" w:w="2304"/>
          </w:tcPr>
          <w:p>
            <w:r/>
            <w:r>
              <w:rPr>
                <w:sz w:val="17"/>
              </w:rPr>
              <w:t>Bulk transfer services</w:t>
            </w:r>
          </w:p>
        </w:tc>
      </w:tr>
      <w:tr>
        <w:tc>
          <w:tcPr>
            <w:tcW w:type="dxa" w:w="864"/>
            <w:shd w:val="clear" w:fill="EEF2F7"/>
          </w:tcPr>
          <w:p>
            <w:r/>
            <w:r>
              <w:rPr>
                <w:sz w:val="17"/>
              </w:rPr>
              <w:t>R-04</w:t>
            </w:r>
          </w:p>
        </w:tc>
        <w:tc>
          <w:tcPr>
            <w:tcW w:type="dxa" w:w="2304"/>
            <w:shd w:val="clear" w:fill="EEF2F7"/>
          </w:tcPr>
          <w:p>
            <w:r/>
            <w:r>
              <w:rPr>
                <w:sz w:val="17"/>
              </w:rPr>
              <w:t>Single customer view ownership</w:t>
            </w:r>
          </w:p>
        </w:tc>
        <w:tc>
          <w:tcPr>
            <w:tcW w:type="dxa" w:w="2160"/>
            <w:shd w:val="clear" w:fill="EEF2F7"/>
          </w:tcPr>
          <w:p>
            <w:r/>
            <w:r>
              <w:rPr>
                <w:sz w:val="17"/>
              </w:rPr>
              <w:t>Mastered customer source</w:t>
            </w:r>
          </w:p>
        </w:tc>
        <w:tc>
          <w:tcPr>
            <w:tcW w:type="dxa" w:w="2448"/>
            <w:shd w:val="clear" w:fill="EEF2F7"/>
          </w:tcPr>
          <w:p>
            <w:r/>
            <w:r>
              <w:rPr>
                <w:sz w:val="17"/>
              </w:rPr>
              <w:t>Consumers read via API layer</w:t>
            </w:r>
          </w:p>
        </w:tc>
        <w:tc>
          <w:tcPr>
            <w:tcW w:type="dxa" w:w="2304"/>
            <w:shd w:val="clear" w:fill="EEF2F7"/>
          </w:tcPr>
          <w:p>
            <w:r/>
            <w:r>
              <w:rPr>
                <w:sz w:val="17"/>
              </w:rPr>
              <w:t>Data platform services</w:t>
            </w:r>
          </w:p>
        </w:tc>
      </w:tr>
      <w:tr>
        <w:tc>
          <w:tcPr>
            <w:tcW w:type="dxa" w:w="864"/>
          </w:tcPr>
          <w:p>
            <w:r/>
            <w:r>
              <w:rPr>
                <w:sz w:val="17"/>
              </w:rPr>
              <w:t>R-05</w:t>
            </w:r>
          </w:p>
        </w:tc>
        <w:tc>
          <w:tcPr>
            <w:tcW w:type="dxa" w:w="2304"/>
          </w:tcPr>
          <w:p>
            <w:r/>
            <w:r>
              <w:rPr>
                <w:sz w:val="17"/>
              </w:rPr>
              <w:t>—</w:t>
            </w:r>
          </w:p>
        </w:tc>
        <w:tc>
          <w:tcPr>
            <w:tcW w:type="dxa" w:w="2160"/>
          </w:tcPr>
          <w:p>
            <w:r/>
            <w:r>
              <w:rPr>
                <w:sz w:val="17"/>
              </w:rPr>
              <w:t>Event schemas governed</w:t>
            </w:r>
          </w:p>
        </w:tc>
        <w:tc>
          <w:tcPr>
            <w:tcW w:type="dxa" w:w="2448"/>
          </w:tcPr>
          <w:p>
            <w:r/>
            <w:r>
              <w:rPr>
                <w:sz w:val="17"/>
              </w:rPr>
              <w:t>API + event layer mandatory</w:t>
            </w:r>
          </w:p>
        </w:tc>
        <w:tc>
          <w:tcPr>
            <w:tcW w:type="dxa" w:w="2304"/>
          </w:tcPr>
          <w:p>
            <w:r/>
            <w:r>
              <w:rPr>
                <w:sz w:val="17"/>
              </w:rPr>
              <w:t>Event streaming service</w:t>
            </w:r>
          </w:p>
        </w:tc>
      </w:tr>
      <w:tr>
        <w:tc>
          <w:tcPr>
            <w:tcW w:type="dxa" w:w="864"/>
            <w:shd w:val="clear" w:fill="EEF2F7"/>
          </w:tcPr>
          <w:p>
            <w:r/>
            <w:r>
              <w:rPr>
                <w:sz w:val="17"/>
              </w:rPr>
              <w:t>R-06</w:t>
            </w:r>
          </w:p>
        </w:tc>
        <w:tc>
          <w:tcPr>
            <w:tcW w:type="dxa" w:w="2304"/>
            <w:shd w:val="clear" w:fill="EEF2F7"/>
          </w:tcPr>
          <w:p>
            <w:r/>
            <w:r>
              <w:rPr>
                <w:sz w:val="17"/>
              </w:rPr>
              <w:t>Transition-state service levels</w:t>
            </w:r>
          </w:p>
        </w:tc>
        <w:tc>
          <w:tcPr>
            <w:tcW w:type="dxa" w:w="2160"/>
            <w:shd w:val="clear" w:fill="EEF2F7"/>
          </w:tcPr>
          <w:p>
            <w:r/>
            <w:r>
              <w:rPr>
                <w:sz w:val="17"/>
              </w:rPr>
              <w:t>Dual-run reconciliation</w:t>
            </w:r>
          </w:p>
        </w:tc>
        <w:tc>
          <w:tcPr>
            <w:tcW w:type="dxa" w:w="2448"/>
            <w:shd w:val="clear" w:fill="EEF2F7"/>
          </w:tcPr>
          <w:p>
            <w:r/>
            <w:r>
              <w:rPr>
                <w:sz w:val="17"/>
              </w:rPr>
              <w:t>Co-existence patterns</w:t>
            </w:r>
          </w:p>
        </w:tc>
        <w:tc>
          <w:tcPr>
            <w:tcW w:type="dxa" w:w="2304"/>
            <w:shd w:val="clear" w:fill="EEF2F7"/>
          </w:tcPr>
          <w:p>
            <w:r/>
            <w:r>
              <w:rPr>
                <w:sz w:val="17"/>
              </w:rPr>
              <w:t>Tolerance-aware cutover</w:t>
            </w:r>
          </w:p>
        </w:tc>
      </w:tr>
    </w:tbl>
    <w:p>
      <w:pPr>
        <w:spacing w:after="40"/>
      </w:pPr>
    </w:p>
    <w:p>
      <w:pPr>
        <w:pStyle w:val="Heading1"/>
      </w:pPr>
      <w:r>
        <w:t>7. Value proposition and KPIs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fill="1F3A5F"/>
          </w:tcPr>
          <w:p>
            <w:r/>
            <w:r>
              <w:rPr>
                <w:b/>
                <w:color w:val="FFFFFF"/>
                <w:sz w:val="19"/>
              </w:rPr>
              <w:t>KPI</w:t>
            </w:r>
          </w:p>
        </w:tc>
        <w:tc>
          <w:tcPr>
            <w:tcW w:type="dxa" w:w="2160"/>
            <w:shd w:val="clear" w:fill="1F3A5F"/>
          </w:tcPr>
          <w:p>
            <w:r/>
            <w:r>
              <w:rPr>
                <w:b/>
                <w:color w:val="FFFFFF"/>
                <w:sz w:val="19"/>
              </w:rPr>
              <w:t>Baseline</w:t>
            </w:r>
          </w:p>
        </w:tc>
        <w:tc>
          <w:tcPr>
            <w:tcW w:type="dxa" w:w="2448"/>
            <w:shd w:val="clear" w:fill="1F3A5F"/>
          </w:tcPr>
          <w:p>
            <w:r/>
            <w:r>
              <w:rPr>
                <w:b/>
                <w:color w:val="FFFFFF"/>
                <w:sz w:val="19"/>
              </w:rPr>
              <w:t>Target</w:t>
            </w:r>
          </w:p>
        </w:tc>
        <w:tc>
          <w:tcPr>
            <w:tcW w:type="dxa" w:w="2592"/>
            <w:shd w:val="clear" w:fill="1F3A5F"/>
          </w:tcPr>
          <w:p>
            <w:r/>
            <w:r>
              <w:rPr>
                <w:b/>
                <w:color w:val="FFFFFF"/>
                <w:sz w:val="19"/>
              </w:rPr>
              <w:t>Measured from</w:t>
            </w:r>
          </w:p>
        </w:tc>
      </w:tr>
      <w:tr>
        <w:tc>
          <w:tcPr>
            <w:tcW w:type="dxa" w:w="2880"/>
          </w:tcPr>
          <w:p>
            <w:r/>
            <w:r>
              <w:rPr>
                <w:sz w:val="19"/>
              </w:rPr>
              <w:t>Product launch cycle</w:t>
            </w:r>
          </w:p>
        </w:tc>
        <w:tc>
          <w:tcPr>
            <w:tcW w:type="dxa" w:w="2160"/>
          </w:tcPr>
          <w:p>
            <w:r/>
            <w:r>
              <w:rPr>
                <w:sz w:val="19"/>
              </w:rPr>
              <w:t>9–12 months</w:t>
            </w:r>
          </w:p>
        </w:tc>
        <w:tc>
          <w:tcPr>
            <w:tcW w:type="dxa" w:w="2448"/>
          </w:tcPr>
          <w:p>
            <w:r/>
            <w:r>
              <w:rPr>
                <w:sz w:val="19"/>
              </w:rPr>
              <w:t>&lt; 8 weeks</w:t>
            </w:r>
          </w:p>
        </w:tc>
        <w:tc>
          <w:tcPr>
            <w:tcW w:type="dxa" w:w="2592"/>
          </w:tcPr>
          <w:p>
            <w:r/>
            <w:r>
              <w:rPr>
                <w:sz w:val="19"/>
              </w:rPr>
              <w:t>First transition architecture</w:t>
            </w:r>
          </w:p>
        </w:tc>
      </w:tr>
      <w:tr>
        <w:tc>
          <w:tcPr>
            <w:tcW w:type="dxa" w:w="2880"/>
            <w:shd w:val="clear" w:fill="EEF2F7"/>
          </w:tcPr>
          <w:p>
            <w:r/>
            <w:r>
              <w:rPr>
                <w:sz w:val="19"/>
              </w:rPr>
              <w:t>CPS 230 tolerance evidencing</w:t>
            </w:r>
          </w:p>
        </w:tc>
        <w:tc>
          <w:tcPr>
            <w:tcW w:type="dxa" w:w="2160"/>
            <w:shd w:val="clear" w:fill="EEF2F7"/>
          </w:tcPr>
          <w:p>
            <w:r/>
            <w:r>
              <w:rPr>
                <w:sz w:val="19"/>
              </w:rPr>
              <w:t>Manual, partial</w:t>
            </w:r>
          </w:p>
        </w:tc>
        <w:tc>
          <w:tcPr>
            <w:tcW w:type="dxa" w:w="2448"/>
            <w:shd w:val="clear" w:fill="EEF2F7"/>
          </w:tcPr>
          <w:p>
            <w:r/>
            <w:r>
              <w:rPr>
                <w:sz w:val="19"/>
              </w:rPr>
              <w:t>Automated, complete</w:t>
            </w:r>
          </w:p>
        </w:tc>
        <w:tc>
          <w:tcPr>
            <w:tcW w:type="dxa" w:w="2592"/>
            <w:shd w:val="clear" w:fill="EEF2F7"/>
          </w:tcPr>
          <w:p>
            <w:r/>
            <w:r>
              <w:rPr>
                <w:sz w:val="19"/>
              </w:rPr>
              <w:t>Target state</w:t>
            </w:r>
          </w:p>
        </w:tc>
      </w:tr>
      <w:tr>
        <w:tc>
          <w:tcPr>
            <w:tcW w:type="dxa" w:w="2880"/>
          </w:tcPr>
          <w:p>
            <w:r/>
            <w:r>
              <w:rPr>
                <w:sz w:val="19"/>
              </w:rPr>
              <w:t>Coastline migration completion</w:t>
            </w:r>
          </w:p>
        </w:tc>
        <w:tc>
          <w:tcPr>
            <w:tcW w:type="dxa" w:w="2160"/>
          </w:tcPr>
          <w:p>
            <w:r/>
            <w:r>
              <w:rPr>
                <w:sz w:val="19"/>
              </w:rPr>
              <w:t>0%</w:t>
            </w:r>
          </w:p>
        </w:tc>
        <w:tc>
          <w:tcPr>
            <w:tcW w:type="dxa" w:w="2448"/>
          </w:tcPr>
          <w:p>
            <w:r/>
            <w:r>
              <w:rPr>
                <w:sz w:val="19"/>
              </w:rPr>
              <w:t>100% by Q4 2027</w:t>
            </w:r>
          </w:p>
        </w:tc>
        <w:tc>
          <w:tcPr>
            <w:tcW w:type="dxa" w:w="2592"/>
          </w:tcPr>
          <w:p>
            <w:r/>
            <w:r>
              <w:rPr>
                <w:sz w:val="19"/>
              </w:rPr>
              <w:t>Contractual clock</w:t>
            </w:r>
          </w:p>
        </w:tc>
      </w:tr>
      <w:tr>
        <w:tc>
          <w:tcPr>
            <w:tcW w:type="dxa" w:w="2880"/>
            <w:shd w:val="clear" w:fill="EEF2F7"/>
          </w:tcPr>
          <w:p>
            <w:r/>
            <w:r>
              <w:rPr>
                <w:sz w:val="19"/>
              </w:rPr>
              <w:t>Point-to-point channel integrations</w:t>
            </w:r>
          </w:p>
        </w:tc>
        <w:tc>
          <w:tcPr>
            <w:tcW w:type="dxa" w:w="2160"/>
            <w:shd w:val="clear" w:fill="EEF2F7"/>
          </w:tcPr>
          <w:p>
            <w:r/>
            <w:r>
              <w:rPr>
                <w:sz w:val="19"/>
              </w:rPr>
              <w:t>47</w:t>
            </w:r>
          </w:p>
        </w:tc>
        <w:tc>
          <w:tcPr>
            <w:tcW w:type="dxa" w:w="2448"/>
            <w:shd w:val="clear" w:fill="EEF2F7"/>
          </w:tcPr>
          <w:p>
            <w:r/>
            <w:r>
              <w:rPr>
                <w:sz w:val="19"/>
              </w:rPr>
              <w:t>0 (all via API/event layer)</w:t>
            </w:r>
          </w:p>
        </w:tc>
        <w:tc>
          <w:tcPr>
            <w:tcW w:type="dxa" w:w="2592"/>
            <w:shd w:val="clear" w:fill="EEF2F7"/>
          </w:tcPr>
          <w:p>
            <w:r/>
            <w:r>
              <w:rPr>
                <w:sz w:val="19"/>
              </w:rPr>
              <w:t>Target state</w:t>
            </w:r>
          </w:p>
        </w:tc>
      </w:tr>
      <w:tr>
        <w:tc>
          <w:tcPr>
            <w:tcW w:type="dxa" w:w="2880"/>
          </w:tcPr>
          <w:p>
            <w:r/>
            <w:r>
              <w:rPr>
                <w:sz w:val="19"/>
              </w:rPr>
              <w:t>Home-loan Decide stage duration</w:t>
            </w:r>
          </w:p>
        </w:tc>
        <w:tc>
          <w:tcPr>
            <w:tcW w:type="dxa" w:w="2160"/>
          </w:tcPr>
          <w:p>
            <w:r/>
            <w:r>
              <w:rPr>
                <w:sz w:val="19"/>
              </w:rPr>
              <w:t>11 days</w:t>
            </w:r>
          </w:p>
        </w:tc>
        <w:tc>
          <w:tcPr>
            <w:tcW w:type="dxa" w:w="2448"/>
          </w:tcPr>
          <w:p>
            <w:r/>
            <w:r>
              <w:rPr>
                <w:sz w:val="19"/>
              </w:rPr>
              <w:t>≤ 2 days</w:t>
            </w:r>
          </w:p>
        </w:tc>
        <w:tc>
          <w:tcPr>
            <w:tcW w:type="dxa" w:w="2592"/>
          </w:tcPr>
          <w:p>
            <w:r/>
            <w:r>
              <w:rPr>
                <w:sz w:val="19"/>
              </w:rPr>
              <w:t>Lending uplift increment</w:t>
            </w:r>
          </w:p>
        </w:tc>
      </w:tr>
    </w:tbl>
    <w:p>
      <w:pPr>
        <w:spacing w:after="40"/>
      </w:pPr>
    </w:p>
    <w:p>
      <w:pPr>
        <w:pStyle w:val="Heading1"/>
      </w:pPr>
      <w:r>
        <w:t>8. Transformation risks and mitigations</w:t>
      </w:r>
    </w:p>
    <w:p>
      <w:r>
        <w:rPr>
          <w:b w:val="0"/>
          <w:i w:val="0"/>
        </w:rPr>
        <w:t>Risks were identified in Phase A (step 10) alongside the Business Transformation Readiness Assessment; they feed risk management and the Capability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fill="1F3A5F"/>
          </w:tcPr>
          <w:p>
            <w:r/>
            <w:r>
              <w:rPr>
                <w:b/>
                <w:color w:val="FFFFFF"/>
                <w:sz w:val="18"/>
              </w:rPr>
              <w:t>Risk</w:t>
            </w:r>
          </w:p>
        </w:tc>
        <w:tc>
          <w:tcPr>
            <w:tcW w:type="dxa" w:w="1152"/>
            <w:shd w:val="clear" w:fill="1F3A5F"/>
          </w:tcPr>
          <w:p>
            <w:r/>
            <w:r>
              <w:rPr>
                <w:b/>
                <w:color w:val="FFFFFF"/>
                <w:sz w:val="18"/>
              </w:rPr>
              <w:t>Rating</w:t>
            </w:r>
          </w:p>
        </w:tc>
        <w:tc>
          <w:tcPr>
            <w:tcW w:type="dxa" w:w="4896"/>
            <w:shd w:val="clear" w:fill="1F3A5F"/>
          </w:tcPr>
          <w:p>
            <w:r/>
            <w:r>
              <w:rPr>
                <w:b/>
                <w:color w:val="FFFFFF"/>
                <w:sz w:val="18"/>
              </w:rPr>
              <w:t>Mitigation</w:t>
            </w:r>
          </w:p>
        </w:tc>
      </w:tr>
      <w:tr>
        <w:tc>
          <w:tcPr>
            <w:tcW w:type="dxa" w:w="3744"/>
          </w:tcPr>
          <w:p>
            <w:r/>
            <w:r>
              <w:rPr>
                <w:sz w:val="18"/>
              </w:rPr>
              <w:t>Migration activity breaches CPS 230 tolerances during dual-run or cutover</w:t>
            </w:r>
          </w:p>
        </w:tc>
        <w:tc>
          <w:tcPr>
            <w:tcW w:type="dxa" w:w="1152"/>
          </w:tcPr>
          <w:p>
            <w:r/>
            <w:r>
              <w:rPr>
                <w:sz w:val="18"/>
              </w:rPr>
              <w:t>High</w:t>
            </w:r>
          </w:p>
        </w:tc>
        <w:tc>
          <w:tcPr>
            <w:tcW w:type="dxa" w:w="4896"/>
          </w:tcPr>
          <w:p>
            <w:r/>
            <w:r>
              <w:rPr>
                <w:sz w:val="18"/>
              </w:rPr>
              <w:t>Tolerance-aware cutover design (R-06); rehearsed reversible migration waves; CRO sign-off gate per wave</w:t>
            </w:r>
          </w:p>
        </w:tc>
      </w:tr>
      <w:tr>
        <w:tc>
          <w:tcPr>
            <w:tcW w:type="dxa" w:w="3744"/>
            <w:shd w:val="clear" w:fill="EEF2F7"/>
          </w:tcPr>
          <w:p>
            <w:r/>
            <w:r>
              <w:rPr>
                <w:sz w:val="18"/>
              </w:rPr>
              <w:t>Coastline contractual deadline (Q4 2027) compresses architecture time</w:t>
            </w:r>
          </w:p>
        </w:tc>
        <w:tc>
          <w:tcPr>
            <w:tcW w:type="dxa" w:w="1152"/>
            <w:shd w:val="clear" w:fill="EEF2F7"/>
          </w:tcPr>
          <w:p>
            <w:r/>
            <w:r>
              <w:rPr>
                <w:sz w:val="18"/>
              </w:rPr>
              <w:t>High</w:t>
            </w:r>
          </w:p>
        </w:tc>
        <w:tc>
          <w:tcPr>
            <w:tcW w:type="dxa" w:w="4896"/>
            <w:shd w:val="clear" w:fill="EEF2F7"/>
          </w:tcPr>
          <w:p>
            <w:r/>
            <w:r>
              <w:rPr>
                <w:sz w:val="18"/>
              </w:rPr>
              <w:t>Treat deadline as a constraint in the SoAW; sequence migration-enabling work packages first</w:t>
            </w:r>
          </w:p>
        </w:tc>
      </w:tr>
      <w:tr>
        <w:tc>
          <w:tcPr>
            <w:tcW w:type="dxa" w:w="3744"/>
          </w:tcPr>
          <w:p>
            <w:r/>
            <w:r>
              <w:rPr>
                <w:sz w:val="18"/>
              </w:rPr>
              <w:t>Core platform operations team lacks target-platform skills</w:t>
            </w:r>
          </w:p>
        </w:tc>
        <w:tc>
          <w:tcPr>
            <w:tcW w:type="dxa" w:w="1152"/>
          </w:tcPr>
          <w:p>
            <w:r/>
            <w:r>
              <w:rPr>
                <w:sz w:val="18"/>
              </w:rPr>
              <w:t>Medium</w:t>
            </w:r>
          </w:p>
        </w:tc>
        <w:tc>
          <w:tcPr>
            <w:tcW w:type="dxa" w:w="4896"/>
          </w:tcPr>
          <w:p>
            <w:r/>
            <w:r>
              <w:rPr>
                <w:sz w:val="18"/>
              </w:rPr>
              <w:t>Readiness uplift in Implementation and Migration Plan; ops embedded in delivery teams from Phase E</w:t>
            </w:r>
          </w:p>
        </w:tc>
      </w:tr>
      <w:tr>
        <w:tc>
          <w:tcPr>
            <w:tcW w:type="dxa" w:w="3744"/>
            <w:shd w:val="clear" w:fill="EEF2F7"/>
          </w:tcPr>
          <w:p>
            <w:r/>
            <w:r>
              <w:rPr>
                <w:sz w:val="18"/>
              </w:rPr>
              <w:t>Change fatigue across concurrent regulatory and delivery programmes</w:t>
            </w:r>
          </w:p>
        </w:tc>
        <w:tc>
          <w:tcPr>
            <w:tcW w:type="dxa" w:w="1152"/>
            <w:shd w:val="clear" w:fill="EEF2F7"/>
          </w:tcPr>
          <w:p>
            <w:r/>
            <w:r>
              <w:rPr>
                <w:sz w:val="18"/>
              </w:rPr>
              <w:t>Medium</w:t>
            </w:r>
          </w:p>
        </w:tc>
        <w:tc>
          <w:tcPr>
            <w:tcW w:type="dxa" w:w="4896"/>
            <w:shd w:val="clear" w:fill="EEF2F7"/>
          </w:tcPr>
          <w:p>
            <w:r/>
            <w:r>
              <w:rPr>
                <w:sz w:val="18"/>
              </w:rPr>
              <w:t>Communications Plan; increments deliver visible business value per transition architecture</w:t>
            </w:r>
          </w:p>
        </w:tc>
      </w:tr>
      <w:tr>
        <w:tc>
          <w:tcPr>
            <w:tcW w:type="dxa" w:w="3744"/>
          </w:tcPr>
          <w:p>
            <w:r/>
            <w:r>
              <w:rPr>
                <w:sz w:val="18"/>
              </w:rPr>
              <w:t>Dual-run operating cost erodes business case</w:t>
            </w:r>
          </w:p>
        </w:tc>
        <w:tc>
          <w:tcPr>
            <w:tcW w:type="dxa" w:w="1152"/>
          </w:tcPr>
          <w:p>
            <w:r/>
            <w:r>
              <w:rPr>
                <w:sz w:val="18"/>
              </w:rPr>
              <w:t>Medium</w:t>
            </w:r>
          </w:p>
        </w:tc>
        <w:tc>
          <w:tcPr>
            <w:tcW w:type="dxa" w:w="4896"/>
          </w:tcPr>
          <w:p>
            <w:r/>
            <w:r>
              <w:rPr>
                <w:sz w:val="18"/>
              </w:rPr>
              <w:t>Time-boxed co-existence windows; strangler increments retire legacy integration points progressively</w:t>
            </w:r>
          </w:p>
        </w:tc>
      </w:tr>
    </w:tbl>
    <w:p>
      <w:pPr>
        <w:spacing w:after="40"/>
      </w:pPr>
    </w:p>
    <w:p>
      <w:pPr>
        <w:pStyle w:val="Heading1"/>
      </w:pPr>
      <w:r>
        <w:t>Appendix A — References</w:t>
      </w:r>
    </w:p>
    <w:p>
      <w:pPr>
        <w:pStyle w:val="ListBullet"/>
      </w:pPr>
      <w:r>
        <w:t>Request for Architecture Work RAW-2026-004 (Office of the CIO, 12 May 2026)</w:t>
      </w:r>
    </w:p>
    <w:p>
      <w:pPr>
        <w:pStyle w:val="ListBullet"/>
      </w:pPr>
      <w:r>
        <w:t>Statement of Architecture Work SAW-2026-001 (companion deliverable)</w:t>
      </w:r>
    </w:p>
    <w:p>
      <w:pPr>
        <w:pStyle w:val="ListBullet"/>
      </w:pPr>
      <w:r>
        <w:t>Organizational Model for Enterprise Architecture v1.2 (Preliminary Phase)</w:t>
      </w:r>
    </w:p>
    <w:p>
      <w:pPr>
        <w:pStyle w:val="ListBullet"/>
      </w:pPr>
      <w:r>
        <w:t>Architecture Principles v1.1 — including Resilience by Design; Reuse before Buy before Build</w:t>
      </w:r>
    </w:p>
    <w:p>
      <w:pPr>
        <w:pStyle w:val="ListBullet"/>
      </w:pPr>
      <w:r>
        <w:t>Business Transformation Readiness Assessment, June 2026</w:t>
      </w:r>
    </w:p>
    <w:p>
      <w:pPr>
        <w:pStyle w:val="ListBullet"/>
      </w:pPr>
      <w:r>
        <w:t>Capability Assessment,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