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555555"/>
          <w:sz w:val="26"/>
        </w:rPr>
        <w:t>MERIDIAN BANK</w:t>
      </w:r>
    </w:p>
    <w:p>
      <w:pPr>
        <w:spacing w:after="40"/>
      </w:pPr>
      <w:r>
        <w:rPr>
          <w:b/>
          <w:color w:val="1F3A5F"/>
          <w:sz w:val="56"/>
        </w:rPr>
        <w:t>Statement of Architecture Work</w:t>
      </w:r>
    </w:p>
    <w:p>
      <w:pPr>
        <w:spacing w:after="360"/>
      </w:pPr>
      <w:r>
        <w:rPr>
          <w:b w:val="0"/>
          <w:i w:val="0"/>
          <w:color w:val="555555"/>
          <w:sz w:val="26"/>
        </w:rPr>
        <w:t>Retail Banking Modernisation — Digital Platform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Document reference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SAW-2026-001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10 July 2026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Approved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555"/>
          <w:sz w:val="17"/>
        </w:rPr>
        <w:t>Prepared by the Enterprise Architecture team, Office of the CIO. Fictional worked example prepared as TOGAF® 10 study material — Meridian Bank, Coastline Credit, and all names, dates, and figures are invented. TOGAF is a registered trademark of The Open Group.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 Jun 2026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A. Reyes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Initial draft</w:t>
            </w:r>
          </w:p>
        </w:tc>
      </w:tr>
      <w:tr>
        <w:tc>
          <w:tcPr>
            <w:tcW w:type="dxa" w:w="1152"/>
            <w:shd w:val="clear" w:fill="EEF2F7"/>
          </w:tcPr>
          <w:p>
            <w:r/>
            <w:r>
              <w:rPr>
                <w:sz w:val="19"/>
              </w:rPr>
              <w:t>0.9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9"/>
              </w:rPr>
              <w:t>3 Jul 2026</w:t>
            </w:r>
          </w:p>
        </w:tc>
        <w:tc>
          <w:tcPr>
            <w:tcW w:type="dxa" w:w="3168"/>
            <w:shd w:val="clear" w:fill="EEF2F7"/>
          </w:tcPr>
          <w:p>
            <w:r/>
            <w:r>
              <w:rPr>
                <w:sz w:val="19"/>
              </w:rPr>
              <w:t>A. Reyes</w:t>
            </w:r>
          </w:p>
        </w:tc>
        <w:tc>
          <w:tcPr>
            <w:tcW w:type="dxa" w:w="4320"/>
            <w:shd w:val="clear" w:fill="EEF2F7"/>
          </w:tcPr>
          <w:p>
            <w:r/>
            <w:r>
              <w:rPr>
                <w:sz w:val="19"/>
              </w:rPr>
              <w:t>Aligned to approved Architecture Vision v1.0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 Jul 2026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A. Reyes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Approved by sponsor — engagement authorised</w:t>
            </w:r>
          </w:p>
        </w:tc>
      </w:tr>
    </w:tbl>
    <w:p>
      <w:pPr>
        <w:spacing w:after="40"/>
      </w:pPr>
    </w:p>
    <w:p>
      <w:pPr>
        <w:pStyle w:val="Heading2"/>
      </w:pPr>
      <w:r>
        <w:t>Review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CIO (Sponsor)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D. Okafor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Approved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 Jul 2026</w:t>
            </w:r>
          </w:p>
        </w:tc>
      </w:tr>
      <w:tr>
        <w:tc>
          <w:tcPr>
            <w:tcW w:type="dxa" w:w="2592"/>
            <w:shd w:val="clear" w:fill="EEF2F7"/>
          </w:tcPr>
          <w:p>
            <w:r/>
            <w:r>
              <w:rPr>
                <w:sz w:val="19"/>
              </w:rPr>
              <w:t>Chief Risk Officer</w:t>
            </w:r>
          </w:p>
        </w:tc>
        <w:tc>
          <w:tcPr>
            <w:tcW w:type="dxa" w:w="2016"/>
            <w:shd w:val="clear" w:fill="EEF2F7"/>
          </w:tcPr>
          <w:p>
            <w:r/>
            <w:r>
              <w:rPr>
                <w:sz w:val="19"/>
              </w:rPr>
              <w:t>S. Nakamura</w:t>
            </w:r>
          </w:p>
        </w:tc>
        <w:tc>
          <w:tcPr>
            <w:tcW w:type="dxa" w:w="2304"/>
            <w:shd w:val="clear" w:fill="EEF2F7"/>
          </w:tcPr>
          <w:p>
            <w:r/>
            <w:r>
              <w:rPr>
                <w:sz w:val="19"/>
              </w:rPr>
              <w:t>Reviewed</w:t>
            </w:r>
          </w:p>
        </w:tc>
        <w:tc>
          <w:tcPr>
            <w:tcW w:type="dxa" w:w="2016"/>
            <w:shd w:val="clear" w:fill="EEF2F7"/>
          </w:tcPr>
          <w:p>
            <w:r/>
            <w:r>
              <w:rPr>
                <w:sz w:val="19"/>
              </w:rPr>
              <w:t>1 Jul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Head of Retail Banking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P. Costa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Reviewed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 Jul 2026</w:t>
            </w:r>
          </w:p>
        </w:tc>
      </w:tr>
      <w:tr>
        <w:tc>
          <w:tcPr>
            <w:tcW w:type="dxa" w:w="2592"/>
            <w:shd w:val="clear" w:fill="EEF2F7"/>
          </w:tcPr>
          <w:p>
            <w:r/>
            <w:r>
              <w:rPr>
                <w:sz w:val="19"/>
              </w:rPr>
              <w:t>Chief Architect</w:t>
            </w:r>
          </w:p>
        </w:tc>
        <w:tc>
          <w:tcPr>
            <w:tcW w:type="dxa" w:w="2016"/>
            <w:shd w:val="clear" w:fill="EEF2F7"/>
          </w:tcPr>
          <w:p>
            <w:r/>
            <w:r>
              <w:rPr>
                <w:sz w:val="19"/>
              </w:rPr>
              <w:t>A. Reyes</w:t>
            </w:r>
          </w:p>
        </w:tc>
        <w:tc>
          <w:tcPr>
            <w:tcW w:type="dxa" w:w="2304"/>
            <w:shd w:val="clear" w:fill="EEF2F7"/>
          </w:tcPr>
          <w:p>
            <w:r/>
            <w:r>
              <w:rPr>
                <w:sz w:val="19"/>
              </w:rPr>
              <w:t>Author / submitted</w:t>
            </w:r>
          </w:p>
        </w:tc>
        <w:tc>
          <w:tcPr>
            <w:tcW w:type="dxa" w:w="2016"/>
            <w:shd w:val="clear" w:fill="EEF2F7"/>
          </w:tcPr>
          <w:p>
            <w:r/>
            <w:r>
              <w:rPr>
                <w:sz w:val="19"/>
              </w:rPr>
              <w:t>26 Jun 2026</w:t>
            </w:r>
          </w:p>
        </w:tc>
      </w:tr>
    </w:tbl>
    <w:p>
      <w:pPr>
        <w:spacing w:after="40"/>
      </w:pPr>
    </w:p>
    <w:p>
      <w:pPr>
        <w:pStyle w:val="Heading1"/>
      </w:pPr>
      <w:r>
        <w:t>1. Title and request reference</w:t>
      </w:r>
    </w:p>
    <w:p>
      <w:r>
        <w:rPr>
          <w:b w:val="0"/>
          <w:i w:val="0"/>
        </w:rPr>
        <w:t>Title: Retail Banking Modernisation — Digital Platform Programme, architecture development engagement.</w:t>
      </w:r>
    </w:p>
    <w:p>
      <w:r>
        <w:rPr>
          <w:b w:val="0"/>
          <w:i w:val="0"/>
        </w:rPr>
        <w:t>This Statement of Architecture Work responds to Request for Architecture Work RAW-2026-004, issued by the Office of the CIO on 12 May 2026 following board approval of the modernisation mandate and completion of the Preliminary Phase (Organizational Model for EA v1.2; Tailored Architecture Framework v1.0). Approval of this document by the sponsor authorises the engagement and concludes Phase A.</w:t>
      </w:r>
    </w:p>
    <w:p>
      <w:pPr>
        <w:pStyle w:val="Heading1"/>
      </w:pPr>
      <w:r>
        <w:t>2. Project description and scope</w:t>
      </w:r>
    </w:p>
    <w:p>
      <w:r>
        <w:rPr>
          <w:b w:val="0"/>
          <w:i w:val="0"/>
        </w:rPr>
        <w:t>An ADM cycle covering Phases B through F to develop Business, Data, Application, and Technology architectures for the Retail Banking division, produce an Architecture Roadmap, and deliver an Implementation and Migration Plan. Implementation is governed under Phase G; changes under Phase H.</w:t>
      </w:r>
    </w:p>
    <w:p>
      <w:pPr>
        <w:pStyle w:val="Heading2"/>
      </w:pPr>
      <w:r>
        <w:t>2.1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388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Enterprise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Retail Banking division; Coastline Credit customer migration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Wealth Management; Institutional division</w:t>
            </w:r>
          </w:p>
        </w:tc>
      </w:tr>
      <w:tr>
        <w:tc>
          <w:tcPr>
            <w:tcW w:type="dxa" w:w="1584"/>
            <w:shd w:val="clear" w:fill="EEF2F7"/>
          </w:tcPr>
          <w:p>
            <w:r/>
            <w:r>
              <w:rPr>
                <w:sz w:val="18"/>
              </w:rPr>
              <w:t>Domains</w:t>
            </w:r>
          </w:p>
        </w:tc>
        <w:tc>
          <w:tcPr>
            <w:tcW w:type="dxa" w:w="4320"/>
            <w:shd w:val="clear" w:fill="EEF2F7"/>
          </w:tcPr>
          <w:p>
            <w:r/>
            <w:r>
              <w:rPr>
                <w:sz w:val="18"/>
              </w:rPr>
              <w:t>Business, Data, Application, Technology (full BDAT)</w:t>
            </w:r>
          </w:p>
        </w:tc>
        <w:tc>
          <w:tcPr>
            <w:tcW w:type="dxa" w:w="3888"/>
            <w:shd w:val="clear" w:fill="EEF2F7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Capabilities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Deposits, lending, payments; channel integration; customer data mastering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General ledger replacement; HR and corporate systems</w:t>
            </w:r>
          </w:p>
        </w:tc>
      </w:tr>
      <w:tr>
        <w:tc>
          <w:tcPr>
            <w:tcW w:type="dxa" w:w="1584"/>
            <w:shd w:val="clear" w:fill="EEF2F7"/>
          </w:tcPr>
          <w:p>
            <w:r/>
            <w:r>
              <w:rPr>
                <w:sz w:val="18"/>
              </w:rPr>
              <w:t>Depth</w:t>
            </w:r>
          </w:p>
        </w:tc>
        <w:tc>
          <w:tcPr>
            <w:tcW w:type="dxa" w:w="4320"/>
            <w:shd w:val="clear" w:fill="EEF2F7"/>
          </w:tcPr>
          <w:p>
            <w:r/>
            <w:r>
              <w:rPr>
                <w:sz w:val="18"/>
              </w:rPr>
              <w:t>To the level required to support investment decisions and the Implementation and Migration Plan</w:t>
            </w:r>
          </w:p>
        </w:tc>
        <w:tc>
          <w:tcPr>
            <w:tcW w:type="dxa" w:w="3888"/>
            <w:shd w:val="clear" w:fill="EEF2F7"/>
          </w:tcPr>
          <w:p>
            <w:r/>
            <w:r>
              <w:rPr>
                <w:sz w:val="18"/>
              </w:rPr>
              <w:t>Detailed solution design (delivery teams, under Phase G governance)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Time horizon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Target state 2029; transition architectures 2027 and 2028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2.2 Constraints</w:t>
      </w:r>
    </w:p>
    <w:p>
      <w:pPr>
        <w:pStyle w:val="ListBullet"/>
      </w:pPr>
      <w:r>
        <w:t>Coastline customer migration must complete by Q4 2027 (contractual). Recorded as a constraint, not a requirement, and reflected in risk identification.</w:t>
      </w:r>
    </w:p>
    <w:p>
      <w:pPr>
        <w:pStyle w:val="ListBullet"/>
      </w:pPr>
      <w:r>
        <w:t>CPS 230 impact tolerances apply throughout, including all transition states.</w:t>
      </w:r>
    </w:p>
    <w:p>
      <w:pPr>
        <w:pStyle w:val="ListBullet"/>
      </w:pPr>
      <w:r>
        <w:t>Delivery teams operate SAFe; architecture work integrates with PI cadence rather than replacing it.</w:t>
      </w:r>
    </w:p>
    <w:p>
      <w:pPr>
        <w:pStyle w:val="ListBullet"/>
      </w:pPr>
      <w:r>
        <w:t>Architecture budget as per approved business case MB-BC-2026-11.</w:t>
      </w:r>
    </w:p>
    <w:p>
      <w:pPr>
        <w:pStyle w:val="Heading1"/>
      </w:pPr>
      <w:r>
        <w:t>3. Architecture Vision (reference)</w:t>
      </w:r>
    </w:p>
    <w:p>
      <w:r>
        <w:rPr>
          <w:b w:val="0"/>
          <w:i w:val="0"/>
        </w:rPr>
        <w:t>The approved Architecture Vision AV-2026-001 v1.0 (3 July 2026) forms part of this Statement of Architecture Work by reference. It defines the problem, stakeholders and concerns, high-level requirements R-01 to R-06, summary target architecture, value proposition and KPIs, and transformation risks.</w:t>
      </w:r>
    </w:p>
    <w:p>
      <w:pPr>
        <w:pStyle w:val="Heading1"/>
      </w:pPr>
      <w:r>
        <w:t>4. Managerial approach</w:t>
      </w:r>
    </w:p>
    <w:p>
      <w:pPr>
        <w:pStyle w:val="ListBullet"/>
      </w:pPr>
      <w:r>
        <w:t>Iteration: architecture development proceeds baseline-then-target per domain, scoped per iteration; level of detail is fit for gap analysis and impact assessment, no further.</w:t>
      </w:r>
    </w:p>
    <w:p>
      <w:pPr>
        <w:pStyle w:val="ListBullet"/>
      </w:pPr>
      <w:r>
        <w:t>SAFe integration: per the Tailored Architecture Framework, architecture iterations align to PI cadence; Architecture Contracts are implemented as enabler epics with compliance criteria.</w:t>
      </w:r>
    </w:p>
    <w:p>
      <w:pPr>
        <w:pStyle w:val="ListBullet"/>
      </w:pPr>
      <w:r>
        <w:t>Governance: the Architecture Review Board meets fortnightly; phase-end reviews gate progression; the Governance Log records all decisions and dispensations.</w:t>
      </w:r>
    </w:p>
    <w:p>
      <w:pPr>
        <w:pStyle w:val="ListBullet"/>
      </w:pPr>
      <w:r>
        <w:t>Requirements: managed continuously via the Requirements Management phase; disposal of a requirement occurs within the relevant phase and is recorded.</w:t>
      </w:r>
    </w:p>
    <w:p>
      <w:pPr>
        <w:pStyle w:val="ListBullet"/>
      </w:pPr>
      <w:r>
        <w:t>Risk: transformation risks reviewed at each ARB; CRO holds a standing seat for migration-wave sign-off.</w:t>
      </w:r>
    </w:p>
    <w:p>
      <w:pPr>
        <w:pStyle w:val="Heading1"/>
      </w:pPr>
      <w:r>
        <w:t>5. Change of scope procedures</w:t>
      </w:r>
    </w:p>
    <w:p>
      <w:pPr>
        <w:pStyle w:val="ListNumber"/>
      </w:pPr>
      <w:r>
        <w:t>Any party may raise a change request against scope, constraints, or planned deliverables; requests are logged in the Governance Log.</w:t>
      </w:r>
    </w:p>
    <w:p>
      <w:pPr>
        <w:pStyle w:val="ListNumber"/>
      </w:pPr>
      <w:r>
        <w:t>The Chief Architect assesses impact on architecture work in flight, the roadmap, and the Q4 2027 migration constraint.</w:t>
      </w:r>
    </w:p>
    <w:p>
      <w:pPr>
        <w:pStyle w:val="ListNumber"/>
      </w:pPr>
      <w:r>
        <w:t>Changes within the approved budget and time horizon are decided by the Architecture Review Board.</w:t>
      </w:r>
    </w:p>
    <w:p>
      <w:pPr>
        <w:pStyle w:val="ListNumber"/>
      </w:pPr>
      <w:r>
        <w:t>Changes affecting budget, the migration deadline, or enterprise scope (for example further acquisitions) are escalated to the sponsor; a material enterprise-scope change triggers a revisit of the Preliminary Phase.</w:t>
      </w:r>
    </w:p>
    <w:p>
      <w:pPr>
        <w:pStyle w:val="ListNumber"/>
      </w:pPr>
      <w:r>
        <w:t>Approved changes produce a revised Statement of Architecture Work version; work continues against the prior version until approval.</w:t>
      </w:r>
    </w:p>
    <w:p>
      <w:pPr>
        <w:pStyle w:val="Heading1"/>
      </w:pPr>
      <w:r>
        <w:t>6. Roles, responsibilities, and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561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Sponsor (CIO)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D. Okafor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Owns the engagement; approves SoAW and phase-end gates; resolves escalations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sz w:val="18"/>
              </w:rPr>
              <w:t>Chief Architect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8"/>
              </w:rPr>
              <w:t>A. Reyes</w:t>
            </w:r>
          </w:p>
        </w:tc>
        <w:tc>
          <w:tcPr>
            <w:tcW w:type="dxa" w:w="5616"/>
            <w:shd w:val="clear" w:fill="EEF2F7"/>
          </w:tcPr>
          <w:p>
            <w:r/>
            <w:r>
              <w:rPr>
                <w:sz w:val="18"/>
              </w:rPr>
              <w:t>Leads the ADM cycle; accountable for deliverables and ARB submissions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Lead Business Architect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M. Haddad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Phase B; capability and value-stream models; gap analysis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sz w:val="18"/>
              </w:rPr>
              <w:t>Lead Data Architect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8"/>
              </w:rPr>
              <w:t>J. Lindqvist</w:t>
            </w:r>
          </w:p>
        </w:tc>
        <w:tc>
          <w:tcPr>
            <w:tcW w:type="dxa" w:w="5616"/>
            <w:shd w:val="clear" w:fill="EEF2F7"/>
          </w:tcPr>
          <w:p>
            <w:r/>
            <w:r>
              <w:rPr>
                <w:sz w:val="18"/>
              </w:rPr>
              <w:t>Phase C (Data); customer data platform; migration data architecture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Lead Application Architect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K. Osei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Phase C (Application); product engines; API and event layer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sz w:val="18"/>
              </w:rPr>
              <w:t>Lead Technology Architect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8"/>
              </w:rPr>
              <w:t>R. Petrova</w:t>
            </w:r>
          </w:p>
        </w:tc>
        <w:tc>
          <w:tcPr>
            <w:tcW w:type="dxa" w:w="5616"/>
            <w:shd w:val="clear" w:fill="EEF2F7"/>
          </w:tcPr>
          <w:p>
            <w:r/>
            <w:r>
              <w:rPr>
                <w:sz w:val="18"/>
              </w:rPr>
              <w:t>Phase D; technology services; dual-region resilience posture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CRO delegate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T. Nguyen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Risk review; CPS 230 tolerance assurance; migration-wave sign-off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sz w:val="18"/>
              </w:rPr>
              <w:t>SAFe RTE liaison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8"/>
              </w:rPr>
              <w:t>L. Marino</w:t>
            </w:r>
          </w:p>
        </w:tc>
        <w:tc>
          <w:tcPr>
            <w:tcW w:type="dxa" w:w="5616"/>
            <w:shd w:val="clear" w:fill="EEF2F7"/>
          </w:tcPr>
          <w:p>
            <w:r/>
            <w:r>
              <w:rPr>
                <w:sz w:val="18"/>
              </w:rPr>
              <w:t>PI alignment; enabler epic scheduling with delivery trains</w:t>
            </w:r>
          </w:p>
        </w:tc>
      </w:tr>
    </w:tbl>
    <w:p>
      <w:pPr>
        <w:spacing w:after="40"/>
      </w:pPr>
    </w:p>
    <w:p>
      <w:pPr>
        <w:pStyle w:val="Heading2"/>
      </w:pPr>
      <w:r>
        <w:t>6.1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61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Acceptance gate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Business Architecture (ADD increment); gap analysis; candidate roadmap components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ARB phase-end review</w:t>
            </w:r>
          </w:p>
        </w:tc>
      </w:tr>
      <w:tr>
        <w:tc>
          <w:tcPr>
            <w:tcW w:type="dxa" w:w="1296"/>
            <w:shd w:val="clear" w:fill="EEF2F7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5616"/>
            <w:shd w:val="clear" w:fill="EEF2F7"/>
          </w:tcPr>
          <w:p>
            <w:r/>
            <w:r>
              <w:rPr>
                <w:sz w:val="18"/>
              </w:rPr>
              <w:t>Data and Application Architectures (ADD increments); candidate roadmap components</w:t>
            </w:r>
          </w:p>
        </w:tc>
        <w:tc>
          <w:tcPr>
            <w:tcW w:type="dxa" w:w="2880"/>
            <w:shd w:val="clear" w:fill="EEF2F7"/>
          </w:tcPr>
          <w:p>
            <w:r/>
            <w:r>
              <w:rPr>
                <w:sz w:val="18"/>
              </w:rPr>
              <w:t>ARB phase-end review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Technology Architecture (ADD increment); candidate roadmap components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ARB phase-end review</w:t>
            </w:r>
          </w:p>
        </w:tc>
      </w:tr>
      <w:tr>
        <w:tc>
          <w:tcPr>
            <w:tcW w:type="dxa" w:w="1296"/>
            <w:shd w:val="clear" w:fill="EEF2F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5616"/>
            <w:shd w:val="clear" w:fill="EEF2F7"/>
          </w:tcPr>
          <w:p>
            <w:r/>
            <w:r>
              <w:rPr>
                <w:sz w:val="18"/>
              </w:rPr>
              <w:t>Consolidated Architecture Roadmap; transition architectures; work packages</w:t>
            </w:r>
          </w:p>
        </w:tc>
        <w:tc>
          <w:tcPr>
            <w:tcW w:type="dxa" w:w="2880"/>
            <w:shd w:val="clear" w:fill="EEF2F7"/>
          </w:tcPr>
          <w:p>
            <w:r/>
            <w:r>
              <w:rPr>
                <w:sz w:val="18"/>
              </w:rPr>
              <w:t>ARB + sponsor review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Implementation and Migration Plan (finalised); Architecture Contracts drafted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Sponsor approval</w:t>
            </w:r>
          </w:p>
        </w:tc>
      </w:tr>
      <w:tr>
        <w:tc>
          <w:tcPr>
            <w:tcW w:type="dxa" w:w="1296"/>
            <w:shd w:val="clear" w:fill="EEF2F7"/>
          </w:tcPr>
          <w:p>
            <w:r/>
            <w:r>
              <w:rPr>
                <w:sz w:val="18"/>
              </w:rPr>
              <w:t>Continuous</w:t>
            </w:r>
          </w:p>
        </w:tc>
        <w:tc>
          <w:tcPr>
            <w:tcW w:type="dxa" w:w="5616"/>
            <w:shd w:val="clear" w:fill="EEF2F7"/>
          </w:tcPr>
          <w:p>
            <w:r/>
            <w:r>
              <w:rPr>
                <w:sz w:val="18"/>
              </w:rPr>
              <w:t>Requirements Repository maintenance; Governance Log; risk register updates</w:t>
            </w:r>
          </w:p>
        </w:tc>
        <w:tc>
          <w:tcPr>
            <w:tcW w:type="dxa" w:w="2880"/>
            <w:shd w:val="clear" w:fill="EEF2F7"/>
          </w:tcPr>
          <w:p>
            <w:r/>
            <w:r>
              <w:rPr>
                <w:sz w:val="18"/>
              </w:rPr>
              <w:t>Fortnightly ARB</w:t>
            </w:r>
          </w:p>
        </w:tc>
      </w:tr>
    </w:tbl>
    <w:p>
      <w:pPr>
        <w:spacing w:after="40"/>
      </w:pPr>
    </w:p>
    <w:p>
      <w:pPr>
        <w:pStyle w:val="Heading1"/>
      </w:pPr>
      <w:r>
        <w:t>7. Acceptance criteria and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8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Criterion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AC-1</w:t>
            </w:r>
          </w:p>
        </w:tc>
        <w:tc>
          <w:tcPr>
            <w:tcW w:type="dxa" w:w="8784"/>
          </w:tcPr>
          <w:p>
            <w:r/>
            <w:r>
              <w:rPr>
                <w:sz w:val="18"/>
              </w:rPr>
              <w:t>Each domain architecture demonstrates traceability from requirements (R-01 to R-06) through gaps to candidate roadmap components</w:t>
            </w:r>
          </w:p>
        </w:tc>
      </w:tr>
      <w:tr>
        <w:tc>
          <w:tcPr>
            <w:tcW w:type="dxa" w:w="1008"/>
            <w:shd w:val="clear" w:fill="EEF2F7"/>
          </w:tcPr>
          <w:p>
            <w:r/>
            <w:r>
              <w:rPr>
                <w:sz w:val="18"/>
              </w:rPr>
              <w:t>AC-2</w:t>
            </w:r>
          </w:p>
        </w:tc>
        <w:tc>
          <w:tcPr>
            <w:tcW w:type="dxa" w:w="8784"/>
            <w:shd w:val="clear" w:fill="EEF2F7"/>
          </w:tcPr>
          <w:p>
            <w:r/>
            <w:r>
              <w:rPr>
                <w:sz w:val="18"/>
              </w:rPr>
              <w:t>All transition states are assessed against CPS 230 impact tolerances and carry CRO delegate sign-off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AC-3</w:t>
            </w:r>
          </w:p>
        </w:tc>
        <w:tc>
          <w:tcPr>
            <w:tcW w:type="dxa" w:w="8784"/>
          </w:tcPr>
          <w:p>
            <w:r/>
            <w:r>
              <w:rPr>
                <w:sz w:val="18"/>
              </w:rPr>
              <w:t>The Architecture Roadmap sequences migration-enabling work packages to meet the Q4 2027 constraint with schedule contingency</w:t>
            </w:r>
          </w:p>
        </w:tc>
      </w:tr>
      <w:tr>
        <w:tc>
          <w:tcPr>
            <w:tcW w:type="dxa" w:w="1008"/>
            <w:shd w:val="clear" w:fill="EEF2F7"/>
          </w:tcPr>
          <w:p>
            <w:r/>
            <w:r>
              <w:rPr>
                <w:sz w:val="18"/>
              </w:rPr>
              <w:t>AC-4</w:t>
            </w:r>
          </w:p>
        </w:tc>
        <w:tc>
          <w:tcPr>
            <w:tcW w:type="dxa" w:w="8784"/>
            <w:shd w:val="clear" w:fill="EEF2F7"/>
          </w:tcPr>
          <w:p>
            <w:r/>
            <w:r>
              <w:rPr>
                <w:sz w:val="18"/>
              </w:rPr>
              <w:t>Every transition architecture delivers identifiable business value, not solely technical milestones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AC-5</w:t>
            </w:r>
          </w:p>
        </w:tc>
        <w:tc>
          <w:tcPr>
            <w:tcW w:type="dxa" w:w="8784"/>
          </w:tcPr>
          <w:p>
            <w:r/>
            <w:r>
              <w:rPr>
                <w:sz w:val="18"/>
              </w:rPr>
              <w:t>Reuse assessment (Architecture Repository, then industry reference models such as BIAN) is evidenced before any bespoke building block is proposed</w:t>
            </w:r>
          </w:p>
        </w:tc>
      </w:tr>
      <w:tr>
        <w:tc>
          <w:tcPr>
            <w:tcW w:type="dxa" w:w="1008"/>
            <w:shd w:val="clear" w:fill="EEF2F7"/>
          </w:tcPr>
          <w:p>
            <w:r/>
            <w:r>
              <w:rPr>
                <w:sz w:val="18"/>
              </w:rPr>
              <w:t>AC-6</w:t>
            </w:r>
          </w:p>
        </w:tc>
        <w:tc>
          <w:tcPr>
            <w:tcW w:type="dxa" w:w="8784"/>
            <w:shd w:val="clear" w:fill="EEF2F7"/>
          </w:tcPr>
          <w:p>
            <w:r/>
            <w:r>
              <w:rPr>
                <w:sz w:val="18"/>
              </w:rPr>
              <w:t>Deliverables conform to the Tailored Architecture Framework templates and are lodged in the Architecture Repository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Procedure: the Chief Architect submits each deliverable to the ARB with a self-assessment against these criteria; the ARB accepts, accepts with conditions, or returns with findings. Sponsor approval at the Phase F gate constitutes acceptance of the engagement's outputs.</w:t>
      </w:r>
    </w:p>
    <w:p>
      <w:pPr>
        <w:pStyle w:val="Heading1"/>
      </w:pPr>
      <w:r>
        <w:t>8. Plan and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PI alignment</w:t>
            </w:r>
          </w:p>
        </w:tc>
        <w:tc>
          <w:tcPr>
            <w:tcW w:type="dxa" w:w="417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Key milestone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 — Business Architecture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Jul – Sep 2026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PI-3 2026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Capability and value-stream models; gaps agreed</w:t>
            </w:r>
          </w:p>
        </w:tc>
      </w:tr>
      <w:tr>
        <w:tc>
          <w:tcPr>
            <w:tcW w:type="dxa" w:w="3168"/>
            <w:shd w:val="clear" w:fill="EEF2F7"/>
          </w:tcPr>
          <w:p>
            <w:r/>
            <w:r>
              <w:rPr>
                <w:sz w:val="18"/>
              </w:rPr>
              <w:t>C — Information Systems</w:t>
            </w:r>
          </w:p>
        </w:tc>
        <w:tc>
          <w:tcPr>
            <w:tcW w:type="dxa" w:w="2160"/>
            <w:shd w:val="clear" w:fill="EEF2F7"/>
          </w:tcPr>
          <w:p>
            <w:r/>
            <w:r>
              <w:rPr>
                <w:sz w:val="18"/>
              </w:rPr>
              <w:t>Sep – Dec 2026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8"/>
              </w:rPr>
              <w:t>PI-4 2026</w:t>
            </w:r>
          </w:p>
        </w:tc>
        <w:tc>
          <w:tcPr>
            <w:tcW w:type="dxa" w:w="4176"/>
            <w:shd w:val="clear" w:fill="EEF2F7"/>
          </w:tcPr>
          <w:p>
            <w:r/>
            <w:r>
              <w:rPr>
                <w:sz w:val="18"/>
              </w:rPr>
              <w:t>Data platform and product-engine architectures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 — Technology Architecture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 2026 – Feb 2027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PI-1 2027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Dual-region technology services defined</w:t>
            </w:r>
          </w:p>
        </w:tc>
      </w:tr>
      <w:tr>
        <w:tc>
          <w:tcPr>
            <w:tcW w:type="dxa" w:w="3168"/>
            <w:shd w:val="clear" w:fill="EEF2F7"/>
          </w:tcPr>
          <w:p>
            <w:r/>
            <w:r>
              <w:rPr>
                <w:sz w:val="18"/>
              </w:rPr>
              <w:t>E — Opportunities and Solutions</w:t>
            </w:r>
          </w:p>
        </w:tc>
        <w:tc>
          <w:tcPr>
            <w:tcW w:type="dxa" w:w="2160"/>
            <w:shd w:val="clear" w:fill="EEF2F7"/>
          </w:tcPr>
          <w:p>
            <w:r/>
            <w:r>
              <w:rPr>
                <w:sz w:val="18"/>
              </w:rPr>
              <w:t>Feb – Apr 2027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8"/>
              </w:rPr>
              <w:t>PI-2 2027</w:t>
            </w:r>
          </w:p>
        </w:tc>
        <w:tc>
          <w:tcPr>
            <w:tcW w:type="dxa" w:w="4176"/>
            <w:shd w:val="clear" w:fill="EEF2F7"/>
          </w:tcPr>
          <w:p>
            <w:r/>
            <w:r>
              <w:rPr>
                <w:sz w:val="18"/>
              </w:rPr>
              <w:t>Roadmap consolidated; migration waves shaped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F — Migration Planning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Apr – Jun 2027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PI-2/3 2027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Implementation and Migration Plan approved</w:t>
            </w:r>
          </w:p>
        </w:tc>
      </w:tr>
      <w:tr>
        <w:tc>
          <w:tcPr>
            <w:tcW w:type="dxa" w:w="3168"/>
            <w:shd w:val="clear" w:fill="EEF2F7"/>
          </w:tcPr>
          <w:p>
            <w:r/>
            <w:r>
              <w:rPr>
                <w:sz w:val="18"/>
              </w:rPr>
              <w:t>Migration execution (Phase G governance)</w:t>
            </w:r>
          </w:p>
        </w:tc>
        <w:tc>
          <w:tcPr>
            <w:tcW w:type="dxa" w:w="2160"/>
            <w:shd w:val="clear" w:fill="EEF2F7"/>
          </w:tcPr>
          <w:p>
            <w:r/>
            <w:r>
              <w:rPr>
                <w:sz w:val="18"/>
              </w:rPr>
              <w:t>Jun – Dec 2027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8"/>
              </w:rPr>
              <w:t>PI-3/4 2027</w:t>
            </w:r>
          </w:p>
        </w:tc>
        <w:tc>
          <w:tcPr>
            <w:tcW w:type="dxa" w:w="4176"/>
            <w:shd w:val="clear" w:fill="EEF2F7"/>
          </w:tcPr>
          <w:p>
            <w:r/>
            <w:r>
              <w:rPr>
                <w:sz w:val="18"/>
              </w:rPr>
              <w:t>Coastline migration complete by Q4 2027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Schedule contingency of one PI is held between the Phase F gate and the final Coastline migration wave. Any consumption of contingency is reported to the sponsor.</w:t>
      </w:r>
    </w:p>
    <w:p>
      <w:pPr>
        <w:pStyle w:val="Heading1"/>
      </w:pPr>
      <w:r>
        <w:t>9. Approval</w:t>
      </w:r>
    </w:p>
    <w:p>
      <w:r>
        <w:rPr>
          <w:b w:val="0"/>
          <w:i w:val="0"/>
        </w:rPr>
        <w:t>Approval of this Statement of Architecture Work by the sponsor authorises the architecture engagement described above and concludes Phase A of the ADM 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Sponsor — Chief Information Officer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D. Okafor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(signed)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 Jul 2026</w:t>
            </w:r>
          </w:p>
        </w:tc>
      </w:tr>
      <w:tr>
        <w:tc>
          <w:tcPr>
            <w:tcW w:type="dxa" w:w="3456"/>
            <w:shd w:val="clear" w:fill="EEF2F7"/>
          </w:tcPr>
          <w:p>
            <w:r/>
            <w:r>
              <w:rPr>
                <w:sz w:val="19"/>
              </w:rPr>
              <w:t>Chief Architect</w:t>
            </w:r>
          </w:p>
        </w:tc>
        <w:tc>
          <w:tcPr>
            <w:tcW w:type="dxa" w:w="2016"/>
            <w:shd w:val="clear" w:fill="EEF2F7"/>
          </w:tcPr>
          <w:p>
            <w:r/>
            <w:r>
              <w:rPr>
                <w:sz w:val="19"/>
              </w:rPr>
              <w:t>A. Reyes</w:t>
            </w:r>
          </w:p>
        </w:tc>
        <w:tc>
          <w:tcPr>
            <w:tcW w:type="dxa" w:w="2016"/>
            <w:shd w:val="clear" w:fill="EEF2F7"/>
          </w:tcPr>
          <w:p>
            <w:r/>
            <w:r>
              <w:rPr>
                <w:sz w:val="19"/>
              </w:rPr>
              <w:t>(signed)</w:t>
            </w:r>
          </w:p>
        </w:tc>
        <w:tc>
          <w:tcPr>
            <w:tcW w:type="dxa" w:w="1728"/>
            <w:shd w:val="clear" w:fill="EEF2F7"/>
          </w:tcPr>
          <w:p>
            <w:r/>
            <w:r>
              <w:rPr>
                <w:sz w:val="19"/>
              </w:rPr>
              <w:t>10 Jul 2026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