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right="-1234" w:firstLine="0"/>
        <w:rPr/>
      </w:pPr>
      <w:r w:rsidDel="00000000" w:rsidR="00000000" w:rsidRPr="00000000">
        <w:rPr>
          <w:rtl w:val="0"/>
        </w:rPr>
      </w:r>
    </w:p>
    <w:p w:rsidR="00000000" w:rsidDel="00000000" w:rsidP="00000000" w:rsidRDefault="00000000" w:rsidRPr="00000000" w14:paraId="00000002">
      <w:pPr>
        <w:ind w:left="-1170" w:right="-1234" w:firstLine="0"/>
        <w:rPr/>
      </w:pPr>
      <w:r w:rsidDel="00000000" w:rsidR="00000000" w:rsidRPr="00000000">
        <w:rPr>
          <w:rtl w:val="0"/>
        </w:rPr>
      </w:r>
    </w:p>
    <w:p w:rsidR="00000000" w:rsidDel="00000000" w:rsidP="00000000" w:rsidRDefault="00000000" w:rsidRPr="00000000" w14:paraId="00000003">
      <w:pPr>
        <w:ind w:left="-1170" w:right="-1234" w:firstLine="0"/>
        <w:rPr/>
      </w:pPr>
      <w:r w:rsidDel="00000000" w:rsidR="00000000" w:rsidRPr="00000000">
        <w:rPr>
          <w:rtl w:val="0"/>
        </w:rPr>
      </w:r>
    </w:p>
    <w:p w:rsidR="00000000" w:rsidDel="00000000" w:rsidP="00000000" w:rsidRDefault="00000000" w:rsidRPr="00000000" w14:paraId="00000004">
      <w:pPr>
        <w:ind w:left="-1170" w:right="-1234" w:firstLine="0"/>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VISION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To become a leading contributor to the world by building a vibrant multicultural learning environment founded on value-based academic principles, wherein all involved shall contribute effectively, efficiently, and responsibly to the local, national, and international community.</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MISSION</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Our mission is to build future leaders and this mission is woven into every CT experience.</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Starting in the classroom with an orientation to new ideas, new scopes of understanding, and new ways of gathering knowledge, students can launch into the journey of intellectual transformation.</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In a diverse and dynamic learning environment, students learn collaboratively with other students from different walks of life, cultures, and backgrounds. Through this intellectual transformation is deepened and essentials for social transformation open up</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By acquiring intellectual and social transformation, students realize their talents and skill sets, leading them to model their gifts and assets into serving the world better.</w:t>
      </w:r>
    </w:p>
    <w:p w:rsidR="00000000" w:rsidDel="00000000" w:rsidP="00000000" w:rsidRDefault="00000000" w:rsidRPr="00000000" w14:paraId="0000000D">
      <w:pPr>
        <w:spacing w:after="240" w:line="240" w:lineRule="auto"/>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CTIMIT</w:t>
      </w:r>
    </w:p>
    <w:p w:rsidR="00000000" w:rsidDel="00000000" w:rsidP="00000000" w:rsidRDefault="00000000" w:rsidRPr="00000000" w14:paraId="0000000E">
      <w:pPr>
        <w:spacing w:after="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CTIMIT</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is a co-educational institution affiliated with I. K. Gujral Punjab Technical University. The institute follows the guidelines provided by the AICTE, UGC, and I. K. Gujral Punjab Technical University.</w:t>
      </w:r>
    </w:p>
    <w:p w:rsidR="00000000" w:rsidDel="00000000" w:rsidP="00000000" w:rsidRDefault="00000000" w:rsidRPr="00000000" w14:paraId="0000000F">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Nature of Governance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Governing Body: </w:t>
      </w:r>
      <w:r w:rsidDel="00000000" w:rsidR="00000000" w:rsidRPr="00000000">
        <w:rPr>
          <w:rFonts w:ascii="Times New Roman" w:cs="Times New Roman" w:eastAsia="Times New Roman" w:hAnsi="Times New Roman"/>
          <w:sz w:val="24"/>
          <w:szCs w:val="24"/>
          <w:rtl w:val="0"/>
        </w:rPr>
        <w:t xml:space="preserve">CTIMIT has a governing body or management committee responsible for overseeing the overall administration and functioning of the institute.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Leadership:</w:t>
      </w:r>
      <w:r w:rsidDel="00000000" w:rsidR="00000000" w:rsidRPr="00000000">
        <w:rPr>
          <w:rFonts w:ascii="Times New Roman" w:cs="Times New Roman" w:eastAsia="Times New Roman" w:hAnsi="Times New Roman"/>
          <w:sz w:val="24"/>
          <w:szCs w:val="24"/>
          <w:rtl w:val="0"/>
        </w:rPr>
        <w:t xml:space="preserve"> The institute has a director who acts as the academic and administrative head. They are responsible for implementing policies, managing faculty and staff, coordinating academic programs, and ensuring the smooth functioning of the institute.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Academic Council: </w:t>
      </w:r>
      <w:r w:rsidDel="00000000" w:rsidR="00000000" w:rsidRPr="00000000">
        <w:rPr>
          <w:rFonts w:ascii="Times New Roman" w:cs="Times New Roman" w:eastAsia="Times New Roman" w:hAnsi="Times New Roman"/>
          <w:sz w:val="24"/>
          <w:szCs w:val="24"/>
          <w:rtl w:val="0"/>
        </w:rPr>
        <w:t xml:space="preserve">CTIMIT has an Academic Council that includes senior faculty members and academic experts. This council plays a crucial role in formulating and reviewing academic policies, curriculums, and examination-related matters.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Board of Studies:</w:t>
      </w:r>
      <w:r w:rsidDel="00000000" w:rsidR="00000000" w:rsidRPr="00000000">
        <w:rPr>
          <w:rFonts w:ascii="Times New Roman" w:cs="Times New Roman" w:eastAsia="Times New Roman" w:hAnsi="Times New Roman"/>
          <w:sz w:val="24"/>
          <w:szCs w:val="24"/>
          <w:rtl w:val="0"/>
        </w:rPr>
        <w:t xml:space="preserve"> The institute has separate Boards of Studies for different disciplines or departments. These boards consist of subject experts, faculty members, and industry representatives. They are responsible for, recommending teaching methodologies, and ensuring the quality and relevance of academic programs.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Faculty and Staff: </w:t>
      </w:r>
      <w:r w:rsidDel="00000000" w:rsidR="00000000" w:rsidRPr="00000000">
        <w:rPr>
          <w:rFonts w:ascii="Times New Roman" w:cs="Times New Roman" w:eastAsia="Times New Roman" w:hAnsi="Times New Roman"/>
          <w:sz w:val="24"/>
          <w:szCs w:val="24"/>
          <w:rtl w:val="0"/>
        </w:rPr>
        <w:t xml:space="preserve">CTIMIT has a team of qualified faculty members appointed as per the norms of AICTE, UGC, and the affiliating university. The institute also employs supporting staff members responsible for various administrative and technical functions.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Committees: </w:t>
      </w:r>
      <w:r w:rsidDel="00000000" w:rsidR="00000000" w:rsidRPr="00000000">
        <w:rPr>
          <w:rFonts w:ascii="Times New Roman" w:cs="Times New Roman" w:eastAsia="Times New Roman" w:hAnsi="Times New Roman"/>
          <w:sz w:val="24"/>
          <w:szCs w:val="24"/>
          <w:rtl w:val="0"/>
        </w:rPr>
        <w:t xml:space="preserve">CTIMIT has various committees, such as the Examination Committee, Admission Committee, Anti-Ragging Committee, Grievance Redressal Committee, and others. These committees help in the effective implementation of policies, addressing specific issues, and maintaining a conducive learning environment.</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240" w:lineRule="auto"/>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The Committees or Cells are as follows:</w:t>
      </w:r>
    </w:p>
    <w:p w:rsidR="00000000" w:rsidDel="00000000" w:rsidP="00000000" w:rsidRDefault="00000000" w:rsidRPr="00000000" w14:paraId="00000020">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Examination Cell</w:t>
      </w:r>
    </w:p>
    <w:p w:rsidR="00000000" w:rsidDel="00000000" w:rsidP="00000000" w:rsidRDefault="00000000" w:rsidRPr="00000000" w14:paraId="00000021">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Internal Quality Assurance Cell</w:t>
      </w:r>
    </w:p>
    <w:p w:rsidR="00000000" w:rsidDel="00000000" w:rsidP="00000000" w:rsidRDefault="00000000" w:rsidRPr="00000000" w14:paraId="00000022">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Women Empowerment Cell</w:t>
      </w:r>
    </w:p>
    <w:p w:rsidR="00000000" w:rsidDel="00000000" w:rsidP="00000000" w:rsidRDefault="00000000" w:rsidRPr="00000000" w14:paraId="00000023">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Anti-Ragging Cell</w:t>
      </w:r>
    </w:p>
    <w:p w:rsidR="00000000" w:rsidDel="00000000" w:rsidP="00000000" w:rsidRDefault="00000000" w:rsidRPr="00000000" w14:paraId="00000024">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Admission Cell</w:t>
      </w:r>
    </w:p>
    <w:p w:rsidR="00000000" w:rsidDel="00000000" w:rsidP="00000000" w:rsidRDefault="00000000" w:rsidRPr="00000000" w14:paraId="00000025">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CCPC</w:t>
      </w:r>
    </w:p>
    <w:p w:rsidR="00000000" w:rsidDel="00000000" w:rsidP="00000000" w:rsidRDefault="00000000" w:rsidRPr="00000000" w14:paraId="00000026">
      <w:pPr>
        <w:numPr>
          <w:ilvl w:val="0"/>
          <w:numId w:val="1"/>
        </w:numPr>
        <w:spacing w:after="0" w:afterAutospacing="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Human Resource Department</w:t>
      </w:r>
    </w:p>
    <w:p w:rsidR="00000000" w:rsidDel="00000000" w:rsidP="00000000" w:rsidRDefault="00000000" w:rsidRPr="00000000" w14:paraId="00000027">
      <w:pPr>
        <w:numPr>
          <w:ilvl w:val="0"/>
          <w:numId w:val="1"/>
        </w:numPr>
        <w:spacing w:after="240" w:line="240" w:lineRule="auto"/>
        <w:ind w:left="720" w:hanging="360"/>
        <w:rPr>
          <w:rFonts w:ascii="Times New Roman" w:cs="Times New Roman" w:eastAsia="Times New Roman" w:hAnsi="Times New Roman"/>
          <w:b w:val="1"/>
          <w:color w:val="212529"/>
          <w:sz w:val="28"/>
          <w:szCs w:val="28"/>
          <w:u w:val="none"/>
        </w:rPr>
      </w:pPr>
      <w:r w:rsidDel="00000000" w:rsidR="00000000" w:rsidRPr="00000000">
        <w:rPr>
          <w:rFonts w:ascii="Times New Roman" w:cs="Times New Roman" w:eastAsia="Times New Roman" w:hAnsi="Times New Roman"/>
          <w:b w:val="1"/>
          <w:color w:val="212529"/>
          <w:sz w:val="28"/>
          <w:szCs w:val="28"/>
          <w:rtl w:val="0"/>
        </w:rPr>
        <w:t xml:space="preserve">Student Grievance Cell</w:t>
      </w:r>
      <w:r w:rsidDel="00000000" w:rsidR="00000000" w:rsidRPr="00000000">
        <w:rPr>
          <w:rtl w:val="0"/>
        </w:rPr>
      </w:r>
    </w:p>
    <w:p w:rsidR="00000000" w:rsidDel="00000000" w:rsidP="00000000" w:rsidRDefault="00000000" w:rsidRPr="00000000" w14:paraId="00000028">
      <w:pPr>
        <w:spacing w:after="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9">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1170" w:right="-12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1170" w:right="-12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1170" w:right="-12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1170" w:right="-12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1170" w:right="-12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1170" w:right="-12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right="-60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Exam Committee</w:t>
      </w:r>
    </w:p>
    <w:p w:rsidR="00000000" w:rsidDel="00000000" w:rsidP="00000000" w:rsidRDefault="00000000" w:rsidRPr="00000000" w14:paraId="00000035">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tbl>
      <w:tblPr>
        <w:tblStyle w:val="Table1"/>
        <w:tblW w:w="97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4350"/>
        <w:gridCol w:w="4080"/>
        <w:tblGridChange w:id="0">
          <w:tblGrid>
            <w:gridCol w:w="1290"/>
            <w:gridCol w:w="435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Yogesh Chhabra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of Examination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Kawaljit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Controller of Examination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Ramandeep Gautam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Center Superintendent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Sahil kashyap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Deputy Superintendent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Kunal Verma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Printing cell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Manoj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Helper Printing 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Kuleep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(Clerk)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Akhilesh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(Destry)</w:t>
            </w:r>
          </w:p>
        </w:tc>
      </w:tr>
    </w:tbl>
    <w:p w:rsidR="00000000" w:rsidDel="00000000" w:rsidP="00000000" w:rsidRDefault="00000000" w:rsidRPr="00000000" w14:paraId="00000051">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2">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3">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4">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5">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6">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7">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8">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9">
      <w:pPr>
        <w:spacing w:after="0" w:line="360" w:lineRule="auto"/>
        <w:ind w:right="180"/>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A">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B">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C">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D">
      <w:pPr>
        <w:ind w:left="-720" w:right="-60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Governing Council</w:t>
      </w:r>
    </w:p>
    <w:p w:rsidR="00000000" w:rsidDel="00000000" w:rsidP="00000000" w:rsidRDefault="00000000" w:rsidRPr="00000000" w14:paraId="0000005E">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tbl>
      <w:tblPr>
        <w:tblStyle w:val="Table2"/>
        <w:tblW w:w="982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5550"/>
        <w:gridCol w:w="2925"/>
        <w:tblGridChange w:id="0">
          <w:tblGrid>
            <w:gridCol w:w="1350"/>
            <w:gridCol w:w="555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Charanjit Singh Channi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Chairman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Harpreet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Vice Chairman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 Parminder Kaur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Manbir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Secretary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Jasraj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Joint Secretary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 Tanika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Treasurer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 Nancy Randhawa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Execure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Prithvi Pal Singh Bawa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Executive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 Rajesh Vij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Executive Member</w:t>
            </w:r>
          </w:p>
        </w:tc>
      </w:tr>
    </w:tbl>
    <w:p w:rsidR="00000000" w:rsidDel="00000000" w:rsidP="00000000" w:rsidRDefault="00000000" w:rsidRPr="00000000" w14:paraId="0000007D">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7E">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7F">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0">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1">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2">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3">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4">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5">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6">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7">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8">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89">
      <w:pPr>
        <w:ind w:left="-720" w:right="-60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Internal Complaint Committee</w:t>
      </w:r>
    </w:p>
    <w:p w:rsidR="00000000" w:rsidDel="00000000" w:rsidP="00000000" w:rsidRDefault="00000000" w:rsidRPr="00000000" w14:paraId="0000008A">
      <w:pPr>
        <w:ind w:left="-720" w:right="-600" w:firstLine="0"/>
        <w:rPr>
          <w:rFonts w:ascii="Times New Roman" w:cs="Times New Roman" w:eastAsia="Times New Roman" w:hAnsi="Times New Roman"/>
          <w:b w:val="1"/>
          <w:sz w:val="38"/>
          <w:szCs w:val="38"/>
        </w:rPr>
      </w:pPr>
      <w:r w:rsidDel="00000000" w:rsidR="00000000" w:rsidRPr="00000000">
        <w:rPr>
          <w:rtl w:val="0"/>
        </w:rPr>
      </w:r>
    </w:p>
    <w:tbl>
      <w:tblPr>
        <w:tblStyle w:val="Table3"/>
        <w:tblW w:w="96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520"/>
        <w:gridCol w:w="3210"/>
        <w:gridCol w:w="2415"/>
        <w:tblGridChange w:id="0">
          <w:tblGrid>
            <w:gridCol w:w="1515"/>
            <w:gridCol w:w="2520"/>
            <w:gridCol w:w="321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Anisha Kundra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(Media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Preceding Officer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Neeti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Kamini Chhabra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7">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8">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9">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A">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B">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C">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D">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E">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AF">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B0">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B1">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B2">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B3">
      <w:pPr>
        <w:ind w:left="-720" w:right="-60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B4">
      <w:pPr>
        <w:ind w:left="-720" w:right="-60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Grievance Redressal Committee</w:t>
      </w:r>
    </w:p>
    <w:p w:rsidR="00000000" w:rsidDel="00000000" w:rsidP="00000000" w:rsidRDefault="00000000" w:rsidRPr="00000000" w14:paraId="000000B5">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tbl>
      <w:tblPr>
        <w:tblStyle w:val="Table4"/>
        <w:tblW w:w="96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075"/>
        <w:gridCol w:w="2850"/>
        <w:gridCol w:w="2415"/>
        <w:tblGridChange w:id="0">
          <w:tblGrid>
            <w:gridCol w:w="1320"/>
            <w:gridCol w:w="3075"/>
            <w:gridCol w:w="285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Ramandeep Gautam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Chairperson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Anisha Kundra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(Media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Sahil Kashyap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 (Hotel 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Deeksha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Kunal verma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 (CA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Meenu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Neeti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Kuldeep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bl>
    <w:p w:rsidR="00000000" w:rsidDel="00000000" w:rsidP="00000000" w:rsidRDefault="00000000" w:rsidRPr="00000000" w14:paraId="000000DA">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DB">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DC">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DD">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DE">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DF">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0">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1">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2">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3">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4">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5">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6">
      <w:pPr>
        <w:ind w:left="-720" w:right="-60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Anti Ragging Committee</w:t>
      </w:r>
    </w:p>
    <w:p w:rsidR="00000000" w:rsidDel="00000000" w:rsidP="00000000" w:rsidRDefault="00000000" w:rsidRPr="00000000" w14:paraId="000000E7">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tbl>
      <w:tblPr>
        <w:tblStyle w:val="Table5"/>
        <w:tblW w:w="99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075"/>
        <w:gridCol w:w="2850"/>
        <w:gridCol w:w="2745"/>
        <w:tblGridChange w:id="0">
          <w:tblGrid>
            <w:gridCol w:w="1320"/>
            <w:gridCol w:w="3075"/>
            <w:gridCol w:w="285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Ramandeep Gautam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Chairperson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Anisha Kundra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(Media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Tarun Sharma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(CA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Sahil Kashyap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 (Hotel 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Kunal verma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 (CA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Pawana Kumari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Rahil Kapahi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Manoj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bl>
    <w:p w:rsidR="00000000" w:rsidDel="00000000" w:rsidP="00000000" w:rsidRDefault="00000000" w:rsidRPr="00000000" w14:paraId="0000010C">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0D">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0E">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0F">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0">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1">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2">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3">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4">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5">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6">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7">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8">
      <w:pPr>
        <w:ind w:left="-720" w:right="-60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IQAC</w:t>
      </w:r>
    </w:p>
    <w:p w:rsidR="00000000" w:rsidDel="00000000" w:rsidP="00000000" w:rsidRDefault="00000000" w:rsidRPr="00000000" w14:paraId="00000119">
      <w:pPr>
        <w:ind w:left="-720" w:right="-600" w:firstLine="0"/>
        <w:jc w:val="center"/>
        <w:rPr>
          <w:rFonts w:ascii="Times New Roman" w:cs="Times New Roman" w:eastAsia="Times New Roman" w:hAnsi="Times New Roman"/>
          <w:b w:val="1"/>
          <w:sz w:val="38"/>
          <w:szCs w:val="38"/>
        </w:rPr>
      </w:pPr>
      <w:r w:rsidDel="00000000" w:rsidR="00000000" w:rsidRPr="00000000">
        <w:rPr>
          <w:rtl w:val="0"/>
        </w:rPr>
      </w:r>
    </w:p>
    <w:tbl>
      <w:tblPr>
        <w:tblStyle w:val="Table6"/>
        <w:tblW w:w="99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075"/>
        <w:gridCol w:w="2760"/>
        <w:gridCol w:w="2835"/>
        <w:tblGridChange w:id="0">
          <w:tblGrid>
            <w:gridCol w:w="1320"/>
            <w:gridCol w:w="3075"/>
            <w:gridCol w:w="276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Manbir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General Secretary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Ramandeep Gautam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Chairperson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Kawalijit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Deputy 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 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Anisha Kundra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(Media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Tarun Sharma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HOD (CA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Sahil Kashyap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 (Hotel 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Kunal Verma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 (CA Department)</w:t>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teachers as the coordinator/Director of the IQAC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Neeti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Bhupinder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360" w:lineRule="auto"/>
              <w:ind w:right="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Mr. Vikas Rattan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LKCE, Jalandhar</w:t>
            </w:r>
          </w:p>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360" w:lineRule="auto"/>
              <w:ind w:right="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Nominees from local society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Jaspal Singh</w:t>
            </w:r>
          </w:p>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360" w:lineRule="auto"/>
              <w:ind w:right="1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Alumni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&amp;  Alumni</w:t>
            </w:r>
          </w:p>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Gagandeep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Founder Member, Solitaire Infosys</w:t>
            </w:r>
          </w:p>
          <w:p w:rsidR="00000000" w:rsidDel="00000000" w:rsidP="00000000" w:rsidRDefault="00000000" w:rsidRPr="00000000" w14:paraId="00000151">
            <w:pPr>
              <w:spacing w:after="0" w:line="360" w:lineRule="auto"/>
              <w:ind w:right="18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36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Nominees from Employers /Industrialists /stakeholders</w:t>
            </w:r>
          </w:p>
        </w:tc>
      </w:tr>
    </w:tbl>
    <w:p w:rsidR="00000000" w:rsidDel="00000000" w:rsidP="00000000" w:rsidRDefault="00000000" w:rsidRPr="00000000" w14:paraId="00000153">
      <w:pPr>
        <w:ind w:left="-1170" w:right="-1234" w:firstLine="0"/>
        <w:rPr/>
      </w:pPr>
      <w:r w:rsidDel="00000000" w:rsidR="00000000" w:rsidRPr="00000000">
        <w:rPr>
          <w:rtl w:val="0"/>
        </w:rPr>
      </w:r>
    </w:p>
    <w:sectPr>
      <w:headerReference r:id="rId7" w:type="default"/>
      <w:pgSz w:h="16838" w:w="11906" w:orient="portrait"/>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-761999</wp:posOffset>
          </wp:positionH>
          <wp:positionV relativeFrom="paragraph">
            <wp:posOffset>0</wp:posOffset>
          </wp:positionV>
          <wp:extent cx="7304405" cy="1354701"/>
          <wp:effectExtent b="0" l="0" r="0" t="0"/>
          <wp:wrapNone/>
          <wp:docPr id="29274034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304405" cy="1354701"/>
                  </a:xfrm>
                  <a:prstGeom prst="rect"/>
                  <a:ln/>
                </pic:spPr>
              </pic:pic>
            </a:graphicData>
          </a:graphic>
        </wp:anchor>
      </w:drawing>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505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055A"/>
  </w:style>
  <w:style w:type="paragraph" w:styleId="Footer">
    <w:name w:val="footer"/>
    <w:basedOn w:val="Normal"/>
    <w:link w:val="FooterChar"/>
    <w:uiPriority w:val="99"/>
    <w:unhideWhenUsed w:val="1"/>
    <w:rsid w:val="001505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055A"/>
  </w:style>
  <w:style w:type="paragraph" w:styleId="NormalWeb">
    <w:name w:val="Normal (Web)"/>
    <w:basedOn w:val="Normal"/>
    <w:uiPriority w:val="99"/>
    <w:semiHidden w:val="1"/>
    <w:unhideWhenUsed w:val="1"/>
    <w:rsid w:val="00092FB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8vaMcBgYrXg6bkuRPb3hLgcSg==">CgMxLjA4AHIhMXFveXNOdGRmcDBoSUl6aV94eU91VmU1Q2duNjNhQUw2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2023-07-05T07:11:00Z</dcterms:created>
  <dc:creator>Desktop</dc:creator>
</cp:coreProperties>
</file>