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20"/>
          <w:shd w:fill="FF0000" w:val="clear"/>
        </w:rPr>
      </w:pPr>
      <w:r>
        <w:object w:dxaOrig="4110" w:dyaOrig="1680">
          <v:rect xmlns:o="urn:schemas-microsoft-com:office:office" xmlns:v="urn:schemas-microsoft-com:vml" id="rectole0000000000" style="width:205.50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center"/>
        <w:rPr>
          <w:rFonts w:ascii="Arial" w:hAnsi="Arial" w:cs="Arial" w:eastAsia="Arial"/>
          <w:color w:val="auto"/>
          <w:spacing w:val="0"/>
          <w:position w:val="0"/>
          <w:sz w:val="20"/>
          <w:shd w:fill="auto" w:val="clear"/>
        </w:rPr>
      </w:pPr>
    </w:p>
    <w:p>
      <w:pPr>
        <w:spacing w:before="0" w:after="0" w:line="276"/>
        <w:ind w:right="0" w:left="0" w:firstLine="0"/>
        <w:jc w:val="center"/>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Ingeniería en Sistemas de Información</w:t>
      </w:r>
    </w:p>
    <w:p>
      <w:pPr>
        <w:spacing w:before="0" w:after="0" w:line="240"/>
        <w:ind w:right="0" w:left="0" w:firstLine="720"/>
        <w:jc w:val="center"/>
        <w:rPr>
          <w:rFonts w:ascii="Arial" w:hAnsi="Arial" w:cs="Arial" w:eastAsia="Arial"/>
          <w:b/>
          <w:color w:val="000000"/>
          <w:spacing w:val="0"/>
          <w:position w:val="0"/>
          <w:sz w:val="28"/>
          <w:shd w:fill="auto" w:val="clear"/>
        </w:rPr>
      </w:pPr>
    </w:p>
    <w:p>
      <w:pPr>
        <w:spacing w:before="0" w:after="0" w:line="240"/>
        <w:ind w:right="0" w:left="0" w:firstLine="720"/>
        <w:jc w:val="center"/>
        <w:rPr>
          <w:rFonts w:ascii="Arial" w:hAnsi="Arial" w:cs="Arial" w:eastAsia="Arial"/>
          <w:b/>
          <w:color w:val="auto"/>
          <w:spacing w:val="0"/>
          <w:position w:val="0"/>
          <w:sz w:val="28"/>
          <w:shd w:fill="auto" w:val="clear"/>
        </w:rPr>
      </w:pPr>
      <w:r>
        <w:rPr>
          <w:rFonts w:ascii="Arial" w:hAnsi="Arial" w:cs="Arial" w:eastAsia="Arial"/>
          <w:b/>
          <w:color w:val="000000"/>
          <w:spacing w:val="0"/>
          <w:position w:val="0"/>
          <w:sz w:val="28"/>
          <w:shd w:fill="auto" w:val="clear"/>
        </w:rPr>
        <w:t xml:space="preserve">Trabajo Práctico Anual</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720"/>
        <w:jc w:val="left"/>
        <w:rPr>
          <w:rFonts w:ascii="Arial" w:hAnsi="Arial" w:cs="Arial" w:eastAsia="Arial"/>
          <w:color w:val="auto"/>
          <w:spacing w:val="0"/>
          <w:position w:val="0"/>
          <w:sz w:val="28"/>
          <w:shd w:fill="auto" w:val="clear"/>
        </w:rPr>
      </w:pPr>
    </w:p>
    <w:p>
      <w:pPr>
        <w:spacing w:before="0" w:after="0" w:line="240"/>
        <w:ind w:right="0" w:left="0" w:firstLine="720"/>
        <w:jc w:val="center"/>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p>
    <w:p>
      <w:pPr>
        <w:spacing w:before="0" w:after="0" w:line="240"/>
        <w:ind w:right="0" w:left="0" w:firstLine="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Materia: </w:t>
      </w:r>
    </w:p>
    <w:p>
      <w:pPr>
        <w:spacing w:before="0" w:after="0" w:line="240"/>
        <w:ind w:right="0" w:left="1404" w:firstLine="72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Gestión de datos.</w:t>
      </w:r>
    </w:p>
    <w:p>
      <w:pPr>
        <w:spacing w:before="0" w:after="0" w:line="240"/>
        <w:ind w:right="0" w:left="0" w:firstLine="720"/>
        <w:jc w:val="left"/>
        <w:rPr>
          <w:rFonts w:ascii="Arial" w:hAnsi="Arial" w:cs="Arial" w:eastAsia="Arial"/>
          <w:color w:val="000000"/>
          <w:spacing w:val="0"/>
          <w:position w:val="0"/>
          <w:sz w:val="28"/>
          <w:shd w:fill="auto" w:val="clear"/>
        </w:rPr>
      </w:pPr>
    </w:p>
    <w:p>
      <w:pPr>
        <w:spacing w:before="0" w:after="0" w:line="240"/>
        <w:ind w:right="0" w:left="0" w:firstLine="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Docente/s: </w:t>
      </w:r>
    </w:p>
    <w:p>
      <w:pPr>
        <w:spacing w:before="0" w:after="0" w:line="240"/>
        <w:ind w:right="0" w:left="1404" w:firstLine="72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Moscuzza Marcelo.</w:t>
        <w:tab/>
        <w:tab/>
        <w:t xml:space="preserve">   </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Curso:</w:t>
      </w:r>
    </w:p>
    <w:p>
      <w:pPr>
        <w:spacing w:before="0" w:after="0" w:line="240"/>
        <w:ind w:right="0" w:left="0" w:firstLine="72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ab/>
        <w:t xml:space="preserve">K3173.</w:t>
      </w:r>
    </w:p>
    <w:p>
      <w:pPr>
        <w:spacing w:before="0" w:after="0" w:line="240"/>
        <w:ind w:right="0" w:left="0" w:firstLine="720"/>
        <w:jc w:val="left"/>
        <w:rPr>
          <w:rFonts w:ascii="Arial" w:hAnsi="Arial" w:cs="Arial" w:eastAsia="Arial"/>
          <w:color w:val="000000"/>
          <w:spacing w:val="0"/>
          <w:position w:val="0"/>
          <w:sz w:val="28"/>
          <w:shd w:fill="auto" w:val="clear"/>
        </w:rPr>
      </w:pPr>
    </w:p>
    <w:p>
      <w:pPr>
        <w:spacing w:before="0" w:after="0" w:line="240"/>
        <w:ind w:right="0" w:left="0" w:firstLine="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Año:</w:t>
      </w:r>
    </w:p>
    <w:p>
      <w:pPr>
        <w:spacing w:before="0" w:after="0" w:line="240"/>
        <w:ind w:right="0" w:left="0" w:firstLine="72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ab/>
        <w:t xml:space="preserve">2014.</w:t>
      </w:r>
    </w:p>
    <w:p>
      <w:pPr>
        <w:spacing w:before="0" w:after="0" w:line="240"/>
        <w:ind w:right="0" w:left="0" w:firstLine="720"/>
        <w:jc w:val="left"/>
        <w:rPr>
          <w:rFonts w:ascii="Arial" w:hAnsi="Arial" w:cs="Arial" w:eastAsia="Arial"/>
          <w:color w:val="000000"/>
          <w:spacing w:val="0"/>
          <w:position w:val="0"/>
          <w:sz w:val="28"/>
          <w:shd w:fill="auto" w:val="clear"/>
        </w:rPr>
      </w:pPr>
    </w:p>
    <w:p>
      <w:pPr>
        <w:spacing w:before="0" w:after="0" w:line="240"/>
        <w:ind w:right="0" w:left="0" w:firstLine="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Grupo: </w:t>
      </w:r>
    </w:p>
    <w:p>
      <w:pPr>
        <w:spacing w:before="0" w:after="0" w:line="240"/>
        <w:ind w:right="0" w:left="1404" w:firstLine="720"/>
        <w:jc w:val="left"/>
        <w:rPr>
          <w:rFonts w:ascii="Arial" w:hAnsi="Arial" w:cs="Arial" w:eastAsia="Arial"/>
          <w:color w:val="auto"/>
          <w:spacing w:val="0"/>
          <w:position w:val="0"/>
          <w:sz w:val="28"/>
          <w:shd w:fill="auto" w:val="clear"/>
        </w:rPr>
      </w:pPr>
      <w:r>
        <w:rPr>
          <w:rFonts w:ascii="Arial" w:hAnsi="Arial" w:cs="Arial" w:eastAsia="Arial"/>
          <w:color w:val="000000"/>
          <w:spacing w:val="0"/>
          <w:position w:val="0"/>
          <w:sz w:val="28"/>
          <w:shd w:fill="auto" w:val="clear"/>
        </w:rPr>
        <w:t xml:space="preserve">NINIRODIE.</w:t>
      </w:r>
    </w:p>
    <w:p>
      <w:pPr>
        <w:spacing w:before="0" w:after="0" w:line="240"/>
        <w:ind w:right="0" w:left="0" w:firstLine="720"/>
        <w:jc w:val="left"/>
        <w:rPr>
          <w:rFonts w:ascii="Arial" w:hAnsi="Arial" w:cs="Arial" w:eastAsia="Arial"/>
          <w:color w:val="auto"/>
          <w:spacing w:val="0"/>
          <w:position w:val="0"/>
          <w:sz w:val="28"/>
          <w:shd w:fill="auto" w:val="clear"/>
        </w:rPr>
      </w:pPr>
    </w:p>
    <w:p>
      <w:pPr>
        <w:spacing w:before="0" w:after="0" w:line="240"/>
        <w:ind w:right="0" w:left="0" w:firstLine="708"/>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Entrega:</w:t>
      </w:r>
    </w:p>
    <w:p>
      <w:pPr>
        <w:spacing w:before="0" w:after="0" w:line="240"/>
        <w:ind w:right="0" w:left="0" w:firstLine="708"/>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ab/>
        <w:tab/>
        <w:t xml:space="preserve">Primera entrega - 12 de Noviembre de 2014.</w:t>
      </w:r>
    </w:p>
    <w:p>
      <w:pPr>
        <w:spacing w:before="0" w:after="0" w:line="240"/>
        <w:ind w:right="0" w:left="0" w:firstLine="708"/>
        <w:jc w:val="left"/>
        <w:rPr>
          <w:rFonts w:ascii="Arial" w:hAnsi="Arial" w:cs="Arial" w:eastAsia="Arial"/>
          <w:color w:val="000000"/>
          <w:spacing w:val="0"/>
          <w:position w:val="0"/>
          <w:sz w:val="28"/>
          <w:shd w:fill="auto" w:val="clear"/>
        </w:rPr>
      </w:pPr>
    </w:p>
    <w:p>
      <w:pPr>
        <w:spacing w:before="0" w:after="0" w:line="240"/>
        <w:ind w:right="0" w:left="0" w:firstLine="708"/>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Integrantes:</w:t>
      </w:r>
    </w:p>
    <w:p>
      <w:pPr>
        <w:numPr>
          <w:ilvl w:val="0"/>
          <w:numId w:val="18"/>
        </w:numPr>
        <w:spacing w:before="0" w:after="0" w:line="240"/>
        <w:ind w:right="0" w:left="2484" w:hanging="36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Barchiesi, Diego – Legajo: 141834-8.</w:t>
      </w:r>
    </w:p>
    <w:p>
      <w:pPr>
        <w:numPr>
          <w:ilvl w:val="0"/>
          <w:numId w:val="18"/>
        </w:numPr>
        <w:spacing w:before="0" w:after="0" w:line="240"/>
        <w:ind w:right="0" w:left="2484" w:hanging="36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Braná, Nicolas – Legajo: 123365-8.</w:t>
      </w:r>
    </w:p>
    <w:p>
      <w:pPr>
        <w:numPr>
          <w:ilvl w:val="0"/>
          <w:numId w:val="18"/>
        </w:numPr>
        <w:spacing w:before="0" w:after="0" w:line="240"/>
        <w:ind w:right="0" w:left="2484" w:hanging="36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Pasquali, Nicolas – Legajo: 137297-0.</w:t>
      </w:r>
    </w:p>
    <w:p>
      <w:pPr>
        <w:numPr>
          <w:ilvl w:val="0"/>
          <w:numId w:val="18"/>
        </w:numPr>
        <w:spacing w:before="0" w:after="0" w:line="240"/>
        <w:ind w:right="0" w:left="2484" w:hanging="36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Vargas Villagra Rodrigo – Legajo: 141957-2.</w:t>
      </w: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center"/>
        <w:rPr>
          <w:rFonts w:ascii="Century" w:hAnsi="Century" w:cs="Century" w:eastAsia="Century"/>
          <w:b/>
          <w:color w:val="000000"/>
          <w:spacing w:val="0"/>
          <w:position w:val="0"/>
          <w:sz w:val="36"/>
          <w:u w:val="single"/>
          <w:shd w:fill="auto" w:val="clear"/>
        </w:rPr>
      </w:pPr>
      <w:r>
        <w:rPr>
          <w:rFonts w:ascii="Century" w:hAnsi="Century" w:cs="Century" w:eastAsia="Century"/>
          <w:b/>
          <w:color w:val="000000"/>
          <w:spacing w:val="0"/>
          <w:position w:val="0"/>
          <w:sz w:val="36"/>
          <w:u w:val="single"/>
          <w:shd w:fill="auto" w:val="clear"/>
        </w:rPr>
        <w:t xml:space="preserve">Estrategia</w:t>
      </w:r>
    </w:p>
    <w:p>
      <w:pPr>
        <w:spacing w:before="0" w:after="0" w:line="240"/>
        <w:ind w:right="0" w:left="0" w:firstLine="0"/>
        <w:jc w:val="left"/>
        <w:rPr>
          <w:rFonts w:ascii="Century" w:hAnsi="Century" w:cs="Century" w:eastAsia="Century"/>
          <w:b/>
          <w:color w:val="000000"/>
          <w:spacing w:val="0"/>
          <w:position w:val="0"/>
          <w:sz w:val="36"/>
          <w:u w:val="single"/>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p>
    <w:p>
      <w:pPr>
        <w:spacing w:before="0" w:after="0" w:line="240"/>
        <w:ind w:right="0" w:left="0" w:firstLine="0"/>
        <w:jc w:val="both"/>
        <w:rPr>
          <w:rFonts w:ascii="Century" w:hAnsi="Century" w:cs="Century" w:eastAsia="Century"/>
          <w:color w:val="000000"/>
          <w:spacing w:val="0"/>
          <w:position w:val="0"/>
          <w:sz w:val="23"/>
          <w:shd w:fill="auto" w:val="clear"/>
        </w:rPr>
      </w:pPr>
      <w:r>
        <w:rPr>
          <w:rFonts w:ascii="Century" w:hAnsi="Century" w:cs="Century" w:eastAsia="Century"/>
          <w:color w:val="000000"/>
          <w:spacing w:val="0"/>
          <w:position w:val="0"/>
          <w:sz w:val="23"/>
          <w:shd w:fill="auto" w:val="clear"/>
        </w:rPr>
        <w:t xml:space="preserve">Con el objetivo de cumplir con la totalidad de los requerimiento implicados en el Trabajo Práctico, a continuación presentamos el Diagrama de Entidad Relación, en donde se puede observar en detalle la estructura del Modelo de Datos diseñado, con sus respectivas entidades y relaciones.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8807">
          <v:rect xmlns:o="urn:schemas-microsoft-com:office:office" xmlns:v="urn:schemas-microsoft-com:vml" id="rectole0000000001" style="width:437.350000pt;height:440.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000000"/>
          <w:spacing w:val="0"/>
          <w:position w:val="0"/>
          <w:sz w:val="23"/>
          <w:shd w:fill="auto" w:val="clear"/>
        </w:rPr>
      </w:pPr>
    </w:p>
    <w:p>
      <w:pPr>
        <w:spacing w:before="0" w:after="0" w:line="240"/>
        <w:ind w:right="0" w:left="0" w:firstLine="0"/>
        <w:jc w:val="left"/>
        <w:rPr>
          <w:rFonts w:ascii="Arial" w:hAnsi="Arial" w:cs="Arial" w:eastAsia="Arial"/>
          <w:color w:val="000000"/>
          <w:spacing w:val="0"/>
          <w:position w:val="0"/>
          <w:sz w:val="23"/>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Century" w:hAnsi="Century" w:cs="Century" w:eastAsia="Century"/>
          <w:color w:val="auto"/>
          <w:spacing w:val="0"/>
          <w:position w:val="0"/>
          <w:sz w:val="24"/>
          <w:shd w:fill="auto" w:val="clear"/>
        </w:rPr>
      </w:pPr>
      <w:r>
        <w:rPr>
          <w:rFonts w:ascii="Century" w:hAnsi="Century" w:cs="Century" w:eastAsia="Century"/>
          <w:color w:val="000000"/>
          <w:spacing w:val="0"/>
          <w:position w:val="0"/>
          <w:sz w:val="23"/>
          <w:shd w:fill="auto" w:val="clear"/>
        </w:rPr>
        <w:t xml:space="preserve">A partir de un análisis de variados cuestionamientos que surgieron durante la creación del modelo, se determinaron un sería de decisiones implicadas directamente al diseño, que creemos las más oportunas. En dichas decisiones se buscó siempre un equilibrio entre las Buenas Prácticas de Diseño de Base de Datos, la implicancia en la performance de la aplicación que hará uso del Modelo y la robustez del mismo. Cabe aclarar que algunas de ellas, un poco alejadas de considerarse las “correctas”, fueron elegidas a fin de facilitar el trabajo implicado desde la Aplicación Desktop y su comunicación con el modelo.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5"/>
        </w:numPr>
        <w:spacing w:before="0" w:after="0" w:line="240"/>
        <w:ind w:right="0" w:left="720" w:hanging="360"/>
        <w:jc w:val="both"/>
        <w:rPr>
          <w:rFonts w:ascii="Century" w:hAnsi="Century" w:cs="Century" w:eastAsia="Century"/>
          <w:color w:val="000000"/>
          <w:spacing w:val="0"/>
          <w:position w:val="0"/>
          <w:sz w:val="23"/>
          <w:shd w:fill="auto" w:val="clear"/>
        </w:rPr>
      </w:pPr>
      <w:r>
        <w:rPr>
          <w:rFonts w:ascii="Century" w:hAnsi="Century" w:cs="Century" w:eastAsia="Century"/>
          <w:b/>
          <w:color w:val="000000"/>
          <w:spacing w:val="0"/>
          <w:position w:val="0"/>
          <w:sz w:val="23"/>
          <w:shd w:fill="auto" w:val="clear"/>
        </w:rPr>
        <w:t xml:space="preserve">Nombres de tablas: </w:t>
      </w:r>
      <w:r>
        <w:rPr>
          <w:rFonts w:ascii="Century" w:hAnsi="Century" w:cs="Century" w:eastAsia="Century"/>
          <w:color w:val="000000"/>
          <w:spacing w:val="0"/>
          <w:position w:val="0"/>
          <w:sz w:val="23"/>
          <w:shd w:fill="auto" w:val="clear"/>
        </w:rPr>
        <w:t xml:space="preserve">A cada tabla creada, se le asignó un nombre particular que permita identificar a simple vista el conjunto de datos que almacena.</w:t>
      </w:r>
    </w:p>
    <w:p>
      <w:pPr>
        <w:spacing w:before="0" w:after="0" w:line="240"/>
        <w:ind w:right="0" w:left="720" w:firstLine="0"/>
        <w:jc w:val="both"/>
        <w:rPr>
          <w:rFonts w:ascii="Century" w:hAnsi="Century" w:cs="Century" w:eastAsia="Century"/>
          <w:color w:val="000000"/>
          <w:spacing w:val="0"/>
          <w:position w:val="0"/>
          <w:sz w:val="23"/>
          <w:shd w:fill="auto" w:val="clear"/>
        </w:rPr>
      </w:pPr>
    </w:p>
    <w:p>
      <w:pPr>
        <w:numPr>
          <w:ilvl w:val="0"/>
          <w:numId w:val="27"/>
        </w:numPr>
        <w:spacing w:before="0" w:after="0" w:line="240"/>
        <w:ind w:right="0" w:left="720" w:hanging="360"/>
        <w:jc w:val="both"/>
        <w:rPr>
          <w:rFonts w:ascii="Century" w:hAnsi="Century" w:cs="Century" w:eastAsia="Century"/>
          <w:color w:val="000000"/>
          <w:spacing w:val="0"/>
          <w:position w:val="0"/>
          <w:sz w:val="23"/>
          <w:shd w:fill="auto" w:val="clear"/>
        </w:rPr>
      </w:pPr>
      <w:r>
        <w:rPr>
          <w:rFonts w:ascii="Century" w:hAnsi="Century" w:cs="Century" w:eastAsia="Century"/>
          <w:b/>
          <w:color w:val="000000"/>
          <w:spacing w:val="0"/>
          <w:position w:val="0"/>
          <w:sz w:val="23"/>
          <w:shd w:fill="auto" w:val="clear"/>
        </w:rPr>
        <w:t xml:space="preserve">Tipos de datos: </w:t>
      </w:r>
      <w:r>
        <w:rPr>
          <w:rFonts w:ascii="Century" w:hAnsi="Century" w:cs="Century" w:eastAsia="Century"/>
          <w:color w:val="000000"/>
          <w:spacing w:val="0"/>
          <w:position w:val="0"/>
          <w:sz w:val="23"/>
          <w:shd w:fill="auto" w:val="clear"/>
        </w:rPr>
        <w:t xml:space="preserve">Se establecieron ciertos tipos de datos a utilizar, de forma estricta, en todo el modelo de datos, los mismos se detallan a continuación:</w:t>
      </w:r>
    </w:p>
    <w:p>
      <w:pPr>
        <w:spacing w:before="0" w:after="200" w:line="276"/>
        <w:ind w:right="0" w:left="720" w:firstLine="0"/>
        <w:jc w:val="both"/>
        <w:rPr>
          <w:rFonts w:ascii="Century" w:hAnsi="Century" w:cs="Century" w:eastAsia="Century"/>
          <w:color w:val="000000"/>
          <w:spacing w:val="0"/>
          <w:position w:val="0"/>
          <w:sz w:val="23"/>
          <w:shd w:fill="auto" w:val="clear"/>
        </w:rPr>
      </w:pPr>
    </w:p>
    <w:p>
      <w:pPr>
        <w:numPr>
          <w:ilvl w:val="0"/>
          <w:numId w:val="29"/>
        </w:numPr>
        <w:spacing w:before="0" w:after="0" w:line="240"/>
        <w:ind w:right="0" w:left="1440" w:hanging="360"/>
        <w:jc w:val="both"/>
        <w:rPr>
          <w:rFonts w:ascii="Century" w:hAnsi="Century" w:cs="Century" w:eastAsia="Century"/>
          <w:color w:val="000000"/>
          <w:spacing w:val="0"/>
          <w:position w:val="0"/>
          <w:sz w:val="23"/>
          <w:shd w:fill="auto" w:val="clear"/>
        </w:rPr>
      </w:pPr>
      <w:r>
        <w:rPr>
          <w:rFonts w:ascii="Century" w:hAnsi="Century" w:cs="Century" w:eastAsia="Century"/>
          <w:color w:val="000000"/>
          <w:spacing w:val="0"/>
          <w:position w:val="0"/>
          <w:sz w:val="23"/>
          <w:shd w:fill="auto" w:val="clear"/>
        </w:rPr>
        <w:t xml:space="preserve">Para los campos numéricos: “NUMERIC (18,0)” / “NUMERIC (18,2)”.</w:t>
      </w:r>
    </w:p>
    <w:p>
      <w:pPr>
        <w:numPr>
          <w:ilvl w:val="0"/>
          <w:numId w:val="29"/>
        </w:numPr>
        <w:spacing w:before="0" w:after="0" w:line="240"/>
        <w:ind w:right="0" w:left="1440" w:hanging="360"/>
        <w:jc w:val="both"/>
        <w:rPr>
          <w:rFonts w:ascii="Century" w:hAnsi="Century" w:cs="Century" w:eastAsia="Century"/>
          <w:color w:val="000000"/>
          <w:spacing w:val="0"/>
          <w:position w:val="0"/>
          <w:sz w:val="23"/>
          <w:shd w:fill="auto" w:val="clear"/>
        </w:rPr>
      </w:pPr>
      <w:r>
        <w:rPr>
          <w:rFonts w:ascii="Century" w:hAnsi="Century" w:cs="Century" w:eastAsia="Century"/>
          <w:color w:val="000000"/>
          <w:spacing w:val="0"/>
          <w:position w:val="0"/>
          <w:sz w:val="23"/>
          <w:shd w:fill="auto" w:val="clear"/>
        </w:rPr>
        <w:t xml:space="preserve">Para los campos que deben almacenar letras, números y/o caracteres especiales: “NVARCHAR (255)”.</w:t>
      </w:r>
    </w:p>
    <w:p>
      <w:pPr>
        <w:numPr>
          <w:ilvl w:val="0"/>
          <w:numId w:val="29"/>
        </w:numPr>
        <w:spacing w:before="0" w:after="0" w:line="240"/>
        <w:ind w:right="0" w:left="1440" w:hanging="360"/>
        <w:jc w:val="both"/>
        <w:rPr>
          <w:rFonts w:ascii="Century" w:hAnsi="Century" w:cs="Century" w:eastAsia="Century"/>
          <w:color w:val="000000"/>
          <w:spacing w:val="0"/>
          <w:position w:val="0"/>
          <w:sz w:val="23"/>
          <w:shd w:fill="auto" w:val="clear"/>
        </w:rPr>
      </w:pPr>
      <w:r>
        <w:rPr>
          <w:rFonts w:ascii="Century" w:hAnsi="Century" w:cs="Century" w:eastAsia="Century"/>
          <w:color w:val="000000"/>
          <w:spacing w:val="0"/>
          <w:position w:val="0"/>
          <w:sz w:val="23"/>
          <w:shd w:fill="auto" w:val="clear"/>
        </w:rPr>
        <w:t xml:space="preserve">Para el caso de campos “booleanos” (1 y 0): “BIT”.</w:t>
      </w:r>
    </w:p>
    <w:p>
      <w:pPr>
        <w:numPr>
          <w:ilvl w:val="0"/>
          <w:numId w:val="29"/>
        </w:numPr>
        <w:spacing w:before="0" w:after="0" w:line="240"/>
        <w:ind w:right="0" w:left="1440" w:hanging="360"/>
        <w:jc w:val="both"/>
        <w:rPr>
          <w:rFonts w:ascii="Century" w:hAnsi="Century" w:cs="Century" w:eastAsia="Century"/>
          <w:color w:val="000000"/>
          <w:spacing w:val="0"/>
          <w:position w:val="0"/>
          <w:sz w:val="23"/>
          <w:shd w:fill="auto" w:val="clear"/>
        </w:rPr>
      </w:pPr>
      <w:r>
        <w:rPr>
          <w:rFonts w:ascii="Century" w:hAnsi="Century" w:cs="Century" w:eastAsia="Century"/>
          <w:color w:val="000000"/>
          <w:spacing w:val="0"/>
          <w:position w:val="0"/>
          <w:sz w:val="23"/>
          <w:shd w:fill="auto" w:val="clear"/>
        </w:rPr>
        <w:t xml:space="preserve">Para las fechas: “DATETIME”.</w:t>
      </w:r>
    </w:p>
    <w:p>
      <w:pPr>
        <w:spacing w:before="0" w:after="0" w:line="240"/>
        <w:ind w:right="0" w:left="1440" w:firstLine="0"/>
        <w:jc w:val="both"/>
        <w:rPr>
          <w:rFonts w:ascii="Century" w:hAnsi="Century" w:cs="Century" w:eastAsia="Century"/>
          <w:color w:val="000000"/>
          <w:spacing w:val="0"/>
          <w:position w:val="0"/>
          <w:sz w:val="23"/>
          <w:shd w:fill="auto" w:val="clear"/>
        </w:rPr>
      </w:pPr>
    </w:p>
    <w:p>
      <w:pPr>
        <w:numPr>
          <w:ilvl w:val="0"/>
          <w:numId w:val="31"/>
        </w:numPr>
        <w:spacing w:before="0" w:after="0" w:line="240"/>
        <w:ind w:right="0" w:left="720" w:hanging="360"/>
        <w:jc w:val="both"/>
        <w:rPr>
          <w:rFonts w:ascii="Century" w:hAnsi="Century" w:cs="Century" w:eastAsia="Century"/>
          <w:color w:val="000000"/>
          <w:spacing w:val="0"/>
          <w:position w:val="0"/>
          <w:sz w:val="23"/>
          <w:shd w:fill="auto" w:val="clear"/>
        </w:rPr>
      </w:pPr>
      <w:r>
        <w:rPr>
          <w:rFonts w:ascii="Century" w:hAnsi="Century" w:cs="Century" w:eastAsia="Century"/>
          <w:b/>
          <w:color w:val="000000"/>
          <w:spacing w:val="0"/>
          <w:position w:val="0"/>
          <w:sz w:val="23"/>
          <w:shd w:fill="auto" w:val="clear"/>
        </w:rPr>
        <w:t xml:space="preserve">Restricciones</w:t>
      </w:r>
      <w:r>
        <w:rPr>
          <w:rFonts w:ascii="Century" w:hAnsi="Century" w:cs="Century" w:eastAsia="Century"/>
          <w:color w:val="000000"/>
          <w:spacing w:val="0"/>
          <w:position w:val="0"/>
          <w:sz w:val="23"/>
          <w:shd w:fill="auto" w:val="clear"/>
        </w:rPr>
        <w:t xml:space="preserve">: A los campos que deben tener algún tipo de restricción específica, se les aplicó las  CONSTRAINTS: UNIQUE y  NOT NULL.</w:t>
      </w:r>
    </w:p>
    <w:p>
      <w:pPr>
        <w:spacing w:before="0" w:after="0" w:line="240"/>
        <w:ind w:right="0" w:left="720" w:firstLine="0"/>
        <w:jc w:val="both"/>
        <w:rPr>
          <w:rFonts w:ascii="Century" w:hAnsi="Century" w:cs="Century" w:eastAsia="Century"/>
          <w:color w:val="000000"/>
          <w:spacing w:val="0"/>
          <w:position w:val="0"/>
          <w:sz w:val="23"/>
          <w:shd w:fill="auto" w:val="clear"/>
        </w:rPr>
      </w:pPr>
      <w:r>
        <w:rPr>
          <w:rFonts w:ascii="Century" w:hAnsi="Century" w:cs="Century" w:eastAsia="Century"/>
          <w:color w:val="000000"/>
          <w:spacing w:val="0"/>
          <w:position w:val="0"/>
          <w:sz w:val="23"/>
          <w:shd w:fill="auto" w:val="clear"/>
        </w:rPr>
        <w:t xml:space="preserve">En el caso de algunos  campos, también se les asignó valores por default.</w:t>
      </w:r>
    </w:p>
    <w:p>
      <w:pPr>
        <w:spacing w:before="0" w:after="0" w:line="240"/>
        <w:ind w:right="0" w:left="720" w:firstLine="0"/>
        <w:jc w:val="both"/>
        <w:rPr>
          <w:rFonts w:ascii="Century" w:hAnsi="Century" w:cs="Century" w:eastAsia="Century"/>
          <w:color w:val="000000"/>
          <w:spacing w:val="0"/>
          <w:position w:val="0"/>
          <w:sz w:val="23"/>
          <w:shd w:fill="auto" w:val="clear"/>
        </w:rPr>
      </w:pPr>
    </w:p>
    <w:p>
      <w:pPr>
        <w:numPr>
          <w:ilvl w:val="0"/>
          <w:numId w:val="33"/>
        </w:numPr>
        <w:spacing w:before="0" w:after="0" w:line="240"/>
        <w:ind w:right="0" w:left="720" w:hanging="360"/>
        <w:jc w:val="both"/>
        <w:rPr>
          <w:rFonts w:ascii="Century" w:hAnsi="Century" w:cs="Century" w:eastAsia="Century"/>
          <w:color w:val="000000"/>
          <w:spacing w:val="0"/>
          <w:position w:val="0"/>
          <w:sz w:val="23"/>
          <w:shd w:fill="auto" w:val="clear"/>
        </w:rPr>
      </w:pPr>
      <w:r>
        <w:rPr>
          <w:rFonts w:ascii="Century" w:hAnsi="Century" w:cs="Century" w:eastAsia="Century"/>
          <w:color w:val="000000"/>
          <w:spacing w:val="0"/>
          <w:position w:val="0"/>
          <w:sz w:val="23"/>
          <w:shd w:fill="auto" w:val="clear"/>
        </w:rPr>
        <w:t xml:space="preserve">Todos los datos relacionados a la </w:t>
      </w:r>
      <w:r>
        <w:rPr>
          <w:rFonts w:ascii="Century" w:hAnsi="Century" w:cs="Century" w:eastAsia="Century"/>
          <w:b/>
          <w:color w:val="000000"/>
          <w:spacing w:val="0"/>
          <w:position w:val="0"/>
          <w:sz w:val="23"/>
          <w:shd w:fill="auto" w:val="clear"/>
        </w:rPr>
        <w:t xml:space="preserve">dirección</w:t>
      </w:r>
      <w:r>
        <w:rPr>
          <w:rFonts w:ascii="Century" w:hAnsi="Century" w:cs="Century" w:eastAsia="Century"/>
          <w:color w:val="000000"/>
          <w:spacing w:val="0"/>
          <w:position w:val="0"/>
          <w:sz w:val="23"/>
          <w:shd w:fill="auto" w:val="clear"/>
        </w:rPr>
        <w:t xml:space="preserve">, como ser calle, altura, piso, departamento, entre otros, se ubicaron en las tablas de Cliente y Personal, evitando la normalización de los mismos a fin de tener todos los datos referidos a un Cliente o Personal del hotel en una misma tabla, respectivamente para cada uno.</w:t>
      </w:r>
    </w:p>
    <w:p>
      <w:pPr>
        <w:spacing w:before="0" w:after="0" w:line="240"/>
        <w:ind w:right="0" w:left="720" w:firstLine="0"/>
        <w:jc w:val="both"/>
        <w:rPr>
          <w:rFonts w:ascii="Century" w:hAnsi="Century" w:cs="Century" w:eastAsia="Century"/>
          <w:color w:val="000000"/>
          <w:spacing w:val="0"/>
          <w:position w:val="0"/>
          <w:sz w:val="23"/>
          <w:shd w:fill="auto" w:val="clear"/>
        </w:rPr>
      </w:pPr>
    </w:p>
    <w:p>
      <w:pPr>
        <w:numPr>
          <w:ilvl w:val="0"/>
          <w:numId w:val="35"/>
        </w:numPr>
        <w:spacing w:before="0" w:after="0" w:line="240"/>
        <w:ind w:right="0" w:left="720" w:hanging="360"/>
        <w:jc w:val="both"/>
        <w:rPr>
          <w:rFonts w:ascii="Century" w:hAnsi="Century" w:cs="Century" w:eastAsia="Century"/>
          <w:color w:val="000000"/>
          <w:spacing w:val="0"/>
          <w:position w:val="0"/>
          <w:sz w:val="23"/>
          <w:shd w:fill="auto" w:val="clear"/>
        </w:rPr>
      </w:pPr>
      <w:r>
        <w:rPr>
          <w:rFonts w:ascii="Century" w:hAnsi="Century" w:cs="Century" w:eastAsia="Century"/>
          <w:color w:val="000000"/>
          <w:spacing w:val="0"/>
          <w:position w:val="0"/>
          <w:sz w:val="23"/>
          <w:shd w:fill="auto" w:val="clear"/>
        </w:rPr>
        <w:t xml:space="preserve">Se modelo la tabla de </w:t>
      </w:r>
      <w:r>
        <w:rPr>
          <w:rFonts w:ascii="Century" w:hAnsi="Century" w:cs="Century" w:eastAsia="Century"/>
          <w:b/>
          <w:color w:val="000000"/>
          <w:spacing w:val="0"/>
          <w:position w:val="0"/>
          <w:sz w:val="23"/>
          <w:shd w:fill="auto" w:val="clear"/>
        </w:rPr>
        <w:t xml:space="preserve">Usuario</w:t>
      </w:r>
      <w:r>
        <w:rPr>
          <w:rFonts w:ascii="Century" w:hAnsi="Century" w:cs="Century" w:eastAsia="Century"/>
          <w:color w:val="000000"/>
          <w:spacing w:val="0"/>
          <w:position w:val="0"/>
          <w:sz w:val="23"/>
          <w:shd w:fill="auto" w:val="clear"/>
        </w:rPr>
        <w:t xml:space="preserve">, que contiene toda la información referida a los usuarios en sí, abstrayéndose de los datos particulares dependiendo de si es Cliente o Personal. Dicha tabla posee el campo booleano "usu_habilitado" que determina si un usuario puede o no logearse en la aplicación. </w:t>
      </w:r>
    </w:p>
    <w:p>
      <w:pPr>
        <w:spacing w:before="0" w:after="0" w:line="240"/>
        <w:ind w:right="0" w:left="708" w:firstLine="0"/>
        <w:jc w:val="both"/>
        <w:rPr>
          <w:rFonts w:ascii="Century" w:hAnsi="Century" w:cs="Century" w:eastAsia="Century"/>
          <w:color w:val="000000"/>
          <w:spacing w:val="0"/>
          <w:position w:val="0"/>
          <w:sz w:val="23"/>
          <w:shd w:fill="auto" w:val="clear"/>
        </w:rPr>
      </w:pPr>
    </w:p>
    <w:p>
      <w:pPr>
        <w:numPr>
          <w:ilvl w:val="0"/>
          <w:numId w:val="37"/>
        </w:numPr>
        <w:spacing w:before="0" w:after="0" w:line="240"/>
        <w:ind w:right="0" w:left="720" w:hanging="360"/>
        <w:jc w:val="both"/>
        <w:rPr>
          <w:rFonts w:ascii="Century" w:hAnsi="Century" w:cs="Century" w:eastAsia="Century"/>
          <w:color w:val="000000"/>
          <w:spacing w:val="0"/>
          <w:position w:val="0"/>
          <w:sz w:val="23"/>
          <w:shd w:fill="auto" w:val="clear"/>
        </w:rPr>
      </w:pPr>
      <w:r>
        <w:rPr>
          <w:rFonts w:ascii="Century" w:hAnsi="Century" w:cs="Century" w:eastAsia="Century"/>
          <w:color w:val="000000"/>
          <w:spacing w:val="0"/>
          <w:position w:val="0"/>
          <w:sz w:val="23"/>
          <w:shd w:fill="auto" w:val="clear"/>
        </w:rPr>
        <w:t xml:space="preserve">Se contempló a nivel Modelo de Datos únicamente,  que un usuario pueda tener varios roles. </w:t>
      </w:r>
    </w:p>
    <w:p>
      <w:pPr>
        <w:spacing w:before="0" w:after="0" w:line="240"/>
        <w:ind w:right="0" w:left="720" w:firstLine="0"/>
        <w:jc w:val="both"/>
        <w:rPr>
          <w:rFonts w:ascii="Century" w:hAnsi="Century" w:cs="Century" w:eastAsia="Century"/>
          <w:color w:val="000000"/>
          <w:spacing w:val="0"/>
          <w:position w:val="0"/>
          <w:sz w:val="23"/>
          <w:shd w:fill="auto" w:val="clear"/>
        </w:rPr>
      </w:pPr>
    </w:p>
    <w:p>
      <w:pPr>
        <w:numPr>
          <w:ilvl w:val="0"/>
          <w:numId w:val="39"/>
        </w:numPr>
        <w:spacing w:before="0" w:after="0" w:line="240"/>
        <w:ind w:right="0" w:left="720" w:hanging="360"/>
        <w:jc w:val="both"/>
        <w:rPr>
          <w:rFonts w:ascii="Century" w:hAnsi="Century" w:cs="Century" w:eastAsia="Century"/>
          <w:color w:val="auto"/>
          <w:spacing w:val="0"/>
          <w:position w:val="0"/>
          <w:sz w:val="24"/>
          <w:shd w:fill="auto" w:val="clear"/>
        </w:rPr>
      </w:pPr>
      <w:r>
        <w:rPr>
          <w:rFonts w:ascii="Century" w:hAnsi="Century" w:cs="Century" w:eastAsia="Century"/>
          <w:color w:val="000000"/>
          <w:spacing w:val="0"/>
          <w:position w:val="0"/>
          <w:sz w:val="23"/>
          <w:shd w:fill="auto" w:val="clear"/>
        </w:rPr>
        <w:t xml:space="preserve">Para cumplir con la Baja lógica, se creó un campo, en cada tabla que lo requería, denominado “Habilitado” que permite el ingreso de los valores 1 y 0 y NULLS, pero en todos los casos el mismo tiene asignado por “default” el valor 1.</w:t>
      </w:r>
    </w:p>
    <w:p>
      <w:pPr>
        <w:spacing w:before="0" w:after="0" w:line="240"/>
        <w:ind w:right="0" w:left="720" w:firstLine="0"/>
        <w:jc w:val="both"/>
        <w:rPr>
          <w:rFonts w:ascii="Century" w:hAnsi="Century" w:cs="Century" w:eastAsia="Century"/>
          <w:color w:val="000000"/>
          <w:spacing w:val="0"/>
          <w:position w:val="0"/>
          <w:sz w:val="23"/>
          <w:shd w:fill="auto" w:val="clear"/>
        </w:rPr>
      </w:pPr>
    </w:p>
    <w:p>
      <w:pPr>
        <w:numPr>
          <w:ilvl w:val="0"/>
          <w:numId w:val="41"/>
        </w:numPr>
        <w:spacing w:before="0" w:after="0" w:line="240"/>
        <w:ind w:right="0" w:left="720" w:hanging="360"/>
        <w:jc w:val="both"/>
        <w:rPr>
          <w:rFonts w:ascii="Century" w:hAnsi="Century" w:cs="Century" w:eastAsia="Century"/>
          <w:color w:val="000000"/>
          <w:spacing w:val="0"/>
          <w:position w:val="0"/>
          <w:sz w:val="23"/>
          <w:shd w:fill="auto" w:val="clear"/>
        </w:rPr>
      </w:pPr>
      <w:r>
        <w:rPr>
          <w:rFonts w:ascii="Century" w:hAnsi="Century" w:cs="Century" w:eastAsia="Century"/>
          <w:b/>
          <w:color w:val="000000"/>
          <w:spacing w:val="0"/>
          <w:position w:val="0"/>
          <w:sz w:val="23"/>
          <w:shd w:fill="auto" w:val="clear"/>
        </w:rPr>
        <w:t xml:space="preserve">Seguridad y validaciones:</w:t>
      </w:r>
      <w:r>
        <w:rPr>
          <w:rFonts w:ascii="Century" w:hAnsi="Century" w:cs="Century" w:eastAsia="Century"/>
          <w:color w:val="000000"/>
          <w:spacing w:val="0"/>
          <w:position w:val="0"/>
          <w:sz w:val="23"/>
          <w:shd w:fill="auto" w:val="clear"/>
        </w:rPr>
        <w:t xml:space="preserve"> Se crearon trigger que contemplan la mayoría de las restricciones impuestas para el Modelo de Datos. A su vez la aplicación Desktop también realiza las validaciones a nivel objeto.</w:t>
      </w:r>
    </w:p>
    <w:p>
      <w:pPr>
        <w:spacing w:before="0" w:after="200" w:line="276"/>
        <w:ind w:right="0" w:left="720" w:firstLine="0"/>
        <w:jc w:val="left"/>
        <w:rPr>
          <w:rFonts w:ascii="Century" w:hAnsi="Century" w:cs="Century" w:eastAsia="Century"/>
          <w:color w:val="000000"/>
          <w:spacing w:val="0"/>
          <w:position w:val="0"/>
          <w:sz w:val="23"/>
          <w:shd w:fill="auto" w:val="clear"/>
        </w:rPr>
      </w:pPr>
    </w:p>
    <w:p>
      <w:pPr>
        <w:spacing w:before="0" w:after="200" w:line="276"/>
        <w:ind w:right="0" w:left="720" w:firstLine="0"/>
        <w:jc w:val="left"/>
        <w:rPr>
          <w:rFonts w:ascii="Century" w:hAnsi="Century" w:cs="Century" w:eastAsia="Century"/>
          <w:color w:val="000000"/>
          <w:spacing w:val="0"/>
          <w:position w:val="0"/>
          <w:sz w:val="23"/>
          <w:shd w:fill="auto" w:val="clear"/>
        </w:rPr>
      </w:pPr>
      <w:r>
        <w:rPr>
          <w:rFonts w:ascii="Century" w:hAnsi="Century" w:cs="Century" w:eastAsia="Century"/>
          <w:b/>
          <w:color w:val="000000"/>
          <w:spacing w:val="0"/>
          <w:position w:val="0"/>
          <w:sz w:val="23"/>
          <w:shd w:fill="auto" w:val="clear"/>
        </w:rPr>
        <w:t xml:space="preserve">Aclaración</w:t>
      </w:r>
      <w:r>
        <w:rPr>
          <w:rFonts w:ascii="Century" w:hAnsi="Century" w:cs="Century" w:eastAsia="Century"/>
          <w:color w:val="000000"/>
          <w:spacing w:val="0"/>
          <w:position w:val="0"/>
          <w:sz w:val="23"/>
          <w:shd w:fill="auto" w:val="clear"/>
        </w:rPr>
        <w:t xml:space="preserve">: La ventana que permite realizar el "checkin" de una reservar, por cuestiones que desconocemos, aparece escondida a simple vista; basta con hacer click en ella en el icono de la barra de tareas para que se la visualice con normalidad.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8">
    <w:abstractNumId w:val="54"/>
  </w:num>
  <w:num w:numId="25">
    <w:abstractNumId w:val="48"/>
  </w:num>
  <w:num w:numId="27">
    <w:abstractNumId w:val="42"/>
  </w:num>
  <w:num w:numId="29">
    <w:abstractNumId w:val="36"/>
  </w:num>
  <w:num w:numId="31">
    <w:abstractNumId w:val="30"/>
  </w:num>
  <w:num w:numId="33">
    <w:abstractNumId w:val="24"/>
  </w:num>
  <w:num w:numId="35">
    <w:abstractNumId w:val="18"/>
  </w:num>
  <w:num w:numId="37">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