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  <w:gridCol w:w="3810"/>
      </w:tblGrid>
      <w:tr w:rsidR="00980F95" w:rsidRPr="00980F95" w14:paraId="36A514BD" w14:textId="77777777" w:rsidTr="00980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3C09" w14:textId="780CFBE1" w:rsidR="00980F95" w:rsidRPr="00980F95" w:rsidRDefault="0017408E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0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PropJMvisDropCompMLE</w:t>
            </w:r>
          </w:p>
        </w:tc>
        <w:tc>
          <w:tcPr>
            <w:tcW w:w="0" w:type="auto"/>
            <w:vAlign w:val="center"/>
            <w:hideMark/>
          </w:tcPr>
          <w:p w14:paraId="1048099A" w14:textId="77777777" w:rsidR="00980F95" w:rsidRPr="00980F95" w:rsidRDefault="00980F95" w:rsidP="00980F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76196E8C" w14:textId="718FC641" w:rsidR="00501A55" w:rsidRDefault="00501A5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501A55">
        <w:rPr>
          <w:rFonts w:ascii="Arial" w:eastAsia="Times New Roman" w:hAnsi="Arial" w:cs="Arial"/>
          <w:color w:val="000000"/>
          <w:sz w:val="48"/>
          <w:szCs w:val="48"/>
        </w:rPr>
        <w:t xml:space="preserve">Joint modeling of </w:t>
      </w:r>
      <w:r w:rsidR="00EC2FF1">
        <w:rPr>
          <w:rFonts w:ascii="Arial" w:eastAsia="Times New Roman" w:hAnsi="Arial" w:cs="Arial"/>
          <w:color w:val="000000"/>
          <w:sz w:val="48"/>
          <w:szCs w:val="48"/>
        </w:rPr>
        <w:t>longitudinal data, visiting process, and competing risks</w:t>
      </w:r>
    </w:p>
    <w:p w14:paraId="48B2F389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47244346" w14:textId="48FDD828" w:rsidR="00622763" w:rsidRDefault="00FC17C9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fits joint models of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normal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ly distributed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longitud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inal marker</w:t>
      </w:r>
      <w:r w:rsidR="00622763">
        <w:rPr>
          <w:rFonts w:ascii="Arial" w:eastAsia="Times New Roman" w:hAnsi="Arial" w:cs="Arial"/>
          <w:color w:val="000000"/>
          <w:sz w:val="20"/>
          <w:szCs w:val="20"/>
        </w:rPr>
        <w:t>, the visiting process, and competing risks under a shared parameter framework. The visiting process can be based either on a gap</w:t>
      </w:r>
      <w:r w:rsidR="006B38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2763">
        <w:rPr>
          <w:rFonts w:ascii="Arial" w:eastAsia="Times New Roman" w:hAnsi="Arial" w:cs="Arial"/>
          <w:color w:val="000000"/>
          <w:sz w:val="20"/>
          <w:szCs w:val="20"/>
        </w:rPr>
        <w:t>time or calendar time scale and the competing risks are modeled through cause-specific hazard</w:t>
      </w:r>
      <w:r w:rsidR="006B38AA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622763">
        <w:rPr>
          <w:rFonts w:ascii="Arial" w:eastAsia="Times New Roman" w:hAnsi="Arial" w:cs="Arial"/>
          <w:color w:val="000000"/>
          <w:sz w:val="20"/>
          <w:szCs w:val="20"/>
        </w:rPr>
        <w:t xml:space="preserve">. The fitting procedure is performed through maximum likelihood using </w:t>
      </w:r>
      <w:r w:rsidR="00AC249C" w:rsidRPr="00AC249C">
        <w:rPr>
          <w:rFonts w:ascii="Arial" w:eastAsia="Times New Roman" w:hAnsi="Arial" w:cs="Arial"/>
          <w:color w:val="000000"/>
          <w:sz w:val="20"/>
          <w:szCs w:val="20"/>
        </w:rPr>
        <w:t>Gauss–Hermite quadrature</w:t>
      </w:r>
      <w:r w:rsidR="00AC249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85048D3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6B06C79A" w14:textId="6683FF27" w:rsidR="00053CCD" w:rsidRPr="00BE39FB" w:rsidRDefault="00BE39FB" w:rsidP="00980F9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E39FB">
        <w:rPr>
          <w:rFonts w:ascii="Courier New" w:eastAsia="Times New Roman" w:hAnsi="Courier New" w:cs="Courier New"/>
          <w:color w:val="000000"/>
          <w:sz w:val="20"/>
          <w:szCs w:val="20"/>
        </w:rPr>
        <w:t>PropJMvisDropCompMLE(fitlme, fitCoxDrop1, fitCoxDrop2, fitCoxVis, maxit = 50, epsilon = 1e-06, nknotsDrop1 = 3, nknotsDrop2 = 3, nknotsVis = 3, nGH = 10, alpha = 0.05, timeVar = "times", Gauleg_points = 30, useGauleg = F, epsDerXZ = 1e-07, ttBas = 0)</w:t>
      </w:r>
    </w:p>
    <w:p w14:paraId="7E244FEF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587"/>
      </w:tblGrid>
      <w:tr w:rsidR="00980F95" w:rsidRPr="00980F95" w14:paraId="4E0A0E0D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1B80BB" w14:textId="77777777" w:rsidR="00980F95" w:rsidRPr="00980F95" w:rsidRDefault="00D21820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fitlme</w:t>
            </w:r>
          </w:p>
        </w:tc>
        <w:tc>
          <w:tcPr>
            <w:tcW w:w="0" w:type="auto"/>
            <w:hideMark/>
          </w:tcPr>
          <w:p w14:paraId="042657FC" w14:textId="1A1AB633" w:rsidR="00980F95" w:rsidRPr="00980F95" w:rsidRDefault="00980F95" w:rsidP="00C134E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 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B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regarding the marker model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980F95" w:rsidRPr="00980F95" w14:paraId="2E99AAF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2C9E8B4" w14:textId="77777777" w:rsidR="00980F95" w:rsidRPr="00980F95" w:rsidRDefault="008D2578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</w:p>
        </w:tc>
        <w:tc>
          <w:tcPr>
            <w:tcW w:w="0" w:type="auto"/>
            <w:hideMark/>
          </w:tcPr>
          <w:p w14:paraId="46F13561" w14:textId="18299EF4" w:rsidR="00980F95" w:rsidRPr="00980F95" w:rsidRDefault="00A909B2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</w:t>
            </w:r>
            <w:r w:rsidR="00482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 w:rsidR="00AA7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proportional cause</w:t>
            </w:r>
            <w:r w:rsidR="002951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-specific hazards for cause 1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 w:rsidR="00F469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484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 must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</w:t>
            </w:r>
            <w:r w:rsidR="00153C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argument </w:t>
            </w:r>
            <w:r w:rsidR="00153CAE" w:rsidRPr="00153C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cluster(id)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153C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define the rows of the same individual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="00980F95"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2345E2A6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840D90A" w14:textId="77777777" w:rsidR="00980F95" w:rsidRPr="00980F95" w:rsidRDefault="007B54D5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fitCoxCause2</w:t>
            </w:r>
          </w:p>
        </w:tc>
        <w:tc>
          <w:tcPr>
            <w:tcW w:w="0" w:type="auto"/>
            <w:hideMark/>
          </w:tcPr>
          <w:p w14:paraId="4AD33285" w14:textId="339CFA93" w:rsidR="00980F95" w:rsidRPr="00980F95" w:rsidRDefault="00153CA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 object from 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proportional cause-specific hazards for cause 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argument </w:t>
            </w:r>
            <w:r w:rsidRPr="00153C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cluster(id)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to define the rows of the same individual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505B4A2E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F31D954" w14:textId="6CEC9356" w:rsidR="00980F95" w:rsidRPr="00980F95" w:rsidRDefault="00140D0F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fitCoxVis</w:t>
            </w:r>
          </w:p>
        </w:tc>
        <w:tc>
          <w:tcPr>
            <w:tcW w:w="0" w:type="auto"/>
            <w:hideMark/>
          </w:tcPr>
          <w:p w14:paraId="2DF5F8EC" w14:textId="12E253CB" w:rsidR="001039F4" w:rsidRPr="001039F4" w:rsidRDefault="00140D0F" w:rsidP="001039F4">
            <w:pPr>
              <w:spacing w:after="9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 object from 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</w:t>
            </w:r>
            <w:r w:rsidR="006C0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visiting proces</w:t>
            </w:r>
            <w:r w:rsidR="003645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s. A gap-time or calendar time scale is allowed (</w:t>
            </w:r>
            <w:r w:rsidR="00364578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 w:rsidR="00CB1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r w:rsidR="003645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CB1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argument </w:t>
            </w:r>
            <w:r w:rsidRPr="00153C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cluster(id)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to define the rows of the same individual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4AD312DF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9399562" w14:textId="3FBCB972" w:rsidR="00980F95" w:rsidRPr="00980F95" w:rsidRDefault="0027009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maxit</w:t>
            </w:r>
          </w:p>
        </w:tc>
        <w:tc>
          <w:tcPr>
            <w:tcW w:w="0" w:type="auto"/>
            <w:hideMark/>
          </w:tcPr>
          <w:p w14:paraId="1124C62B" w14:textId="6045AF04" w:rsidR="00980F95" w:rsidRPr="00980F95" w:rsidRDefault="00942AE9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number of BFGS iterations</w:t>
            </w:r>
          </w:p>
        </w:tc>
      </w:tr>
      <w:tr w:rsidR="00980F95" w:rsidRPr="00980F95" w14:paraId="12EE327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87D825" w14:textId="6959E3BD" w:rsidR="00980F95" w:rsidRPr="00980F95" w:rsidRDefault="005553AA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epsilon</w:t>
            </w:r>
          </w:p>
        </w:tc>
        <w:tc>
          <w:tcPr>
            <w:tcW w:w="0" w:type="auto"/>
            <w:hideMark/>
          </w:tcPr>
          <w:p w14:paraId="5C7BC2D4" w14:textId="76B6FF15" w:rsidR="00980F95" w:rsidRPr="00980F95" w:rsidRDefault="005D187D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Tolerance for defining convergence</w:t>
            </w:r>
            <w:r w:rsidR="002F1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&lt;ϵ</m:t>
              </m:r>
            </m:oMath>
            <w:r w:rsidR="002F1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60B2F53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136F00" w14:textId="1568EFF2" w:rsidR="00980F95" w:rsidRPr="00980F95" w:rsidRDefault="00FB295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nknotsDrop1</w:t>
            </w:r>
          </w:p>
        </w:tc>
        <w:tc>
          <w:tcPr>
            <w:tcW w:w="0" w:type="auto"/>
            <w:hideMark/>
          </w:tcPr>
          <w:p w14:paraId="1F96366F" w14:textId="307AFF1F" w:rsidR="00980F95" w:rsidRPr="00980F95" w:rsidRDefault="00BE3052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internal knots </w:t>
            </w:r>
            <w:r w:rsidR="005918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 basis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baseline cause-specific hazard function of cause 1</w:t>
            </w:r>
          </w:p>
        </w:tc>
      </w:tr>
      <w:tr w:rsidR="00461B2F" w:rsidRPr="00980F95" w14:paraId="54C51A75" w14:textId="77777777" w:rsidTr="00805584">
        <w:trPr>
          <w:tblCellSpacing w:w="15" w:type="dxa"/>
        </w:trPr>
        <w:tc>
          <w:tcPr>
            <w:tcW w:w="1901" w:type="dxa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C766EB0" w14:textId="7643C4AF" w:rsidR="00461B2F" w:rsidRPr="00980F95" w:rsidRDefault="00461B2F" w:rsidP="00461B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nknotsDrop2</w:t>
            </w:r>
          </w:p>
        </w:tc>
        <w:tc>
          <w:tcPr>
            <w:tcW w:w="7459" w:type="dxa"/>
            <w:hideMark/>
          </w:tcPr>
          <w:p w14:paraId="76812DC0" w14:textId="39D89929" w:rsidR="00461B2F" w:rsidRPr="00980F95" w:rsidRDefault="00461B2F" w:rsidP="00461B2F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internal knots </w:t>
            </w:r>
            <w:r w:rsidR="005918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 basis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baseline cause-specific hazard function of cause 2</w:t>
            </w:r>
          </w:p>
        </w:tc>
      </w:tr>
      <w:tr w:rsidR="009742DC" w:rsidRPr="00980F95" w14:paraId="19B51418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94D026" w14:textId="18F42BC7" w:rsidR="009742DC" w:rsidRPr="00980F95" w:rsidRDefault="009742DC" w:rsidP="00974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nknotsVis</w:t>
            </w:r>
          </w:p>
        </w:tc>
        <w:tc>
          <w:tcPr>
            <w:tcW w:w="0" w:type="auto"/>
            <w:hideMark/>
          </w:tcPr>
          <w:p w14:paraId="70020CE1" w14:textId="3A1C6F42" w:rsidR="009742DC" w:rsidRPr="00980F95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internal knots </w:t>
            </w:r>
            <w:r w:rsidR="005918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 basis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baseline levels of the hazard function (gap time scale) or intensity function (calendar time scale)</w:t>
            </w:r>
          </w:p>
        </w:tc>
      </w:tr>
      <w:tr w:rsidR="009742DC" w:rsidRPr="00980F95" w14:paraId="7ECCF19A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D0960A" w14:textId="09C3279C" w:rsidR="009742DC" w:rsidRPr="00980F95" w:rsidRDefault="004A0AA3" w:rsidP="00974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nGH</w:t>
            </w:r>
          </w:p>
        </w:tc>
        <w:tc>
          <w:tcPr>
            <w:tcW w:w="0" w:type="auto"/>
            <w:hideMark/>
          </w:tcPr>
          <w:p w14:paraId="2718D5C0" w14:textId="08CA47E5" w:rsidR="009742DC" w:rsidRPr="00980F95" w:rsidRDefault="00C33CC6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AC24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Gauss–Hermite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</w:t>
            </w:r>
          </w:p>
        </w:tc>
      </w:tr>
      <w:tr w:rsidR="009742DC" w:rsidRPr="00980F95" w14:paraId="75804DB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75D8C65" w14:textId="3FB0EA3E" w:rsidR="009742DC" w:rsidRPr="00980F95" w:rsidRDefault="00DD2AF3" w:rsidP="00974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0" w:type="auto"/>
            <w:hideMark/>
          </w:tcPr>
          <w:p w14:paraId="7ADFC472" w14:textId="54514903" w:rsidR="009742DC" w:rsidRPr="00980F95" w:rsidRDefault="00485FF1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Confidence level</w:t>
            </w:r>
          </w:p>
        </w:tc>
      </w:tr>
      <w:tr w:rsidR="009742DC" w:rsidRPr="00980F95" w14:paraId="019E6747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7A7EF31" w14:textId="77777777" w:rsidR="009742DC" w:rsidRPr="00980F95" w:rsidRDefault="009742D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55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timeVar</w:t>
            </w:r>
          </w:p>
        </w:tc>
        <w:tc>
          <w:tcPr>
            <w:tcW w:w="0" w:type="auto"/>
            <w:hideMark/>
          </w:tcPr>
          <w:p w14:paraId="10900F0F" w14:textId="77777777" w:rsidR="009742DC" w:rsidRPr="00980F95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time vari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able in the linear mixed</w:t>
            </w: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9742DC" w:rsidRPr="00980F95" w14:paraId="0F520C30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F6CDE92" w14:textId="77777777" w:rsidR="009742DC" w:rsidRDefault="009742D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useGauleg</w:t>
            </w:r>
          </w:p>
        </w:tc>
        <w:tc>
          <w:tcPr>
            <w:tcW w:w="0" w:type="auto"/>
          </w:tcPr>
          <w:p w14:paraId="6EA371CF" w14:textId="21010F4A" w:rsidR="009742DC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logical, whether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 quadrature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used to approximate the integral</w:t>
            </w:r>
            <w:r w:rsidR="00EB7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B7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respect to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-point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Gauss-Kronrod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rule is used.</w:t>
            </w:r>
          </w:p>
        </w:tc>
      </w:tr>
      <w:tr w:rsidR="009742DC" w:rsidRPr="00980F95" w14:paraId="2E4F0EC9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9AA35D3" w14:textId="77777777" w:rsidR="009742DC" w:rsidRPr="00F81BAA" w:rsidRDefault="009742D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2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Gauleg_points</w:t>
            </w:r>
          </w:p>
        </w:tc>
        <w:tc>
          <w:tcPr>
            <w:tcW w:w="0" w:type="auto"/>
          </w:tcPr>
          <w:p w14:paraId="71DFB5D1" w14:textId="781F07D1" w:rsidR="009742DC" w:rsidRPr="0097229A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number of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points. It is used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otherwise, it is ignored.</w:t>
            </w:r>
          </w:p>
        </w:tc>
      </w:tr>
      <w:tr w:rsidR="009742DC" w:rsidRPr="00980F95" w14:paraId="03D9A16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9F6F23D" w14:textId="5E62B79D" w:rsidR="009742DC" w:rsidRPr="0097229A" w:rsidRDefault="00805584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epsDerXZ</w:t>
            </w:r>
          </w:p>
        </w:tc>
        <w:tc>
          <w:tcPr>
            <w:tcW w:w="0" w:type="auto"/>
          </w:tcPr>
          <w:p w14:paraId="01B7D100" w14:textId="05ACB127" w:rsidR="009742DC" w:rsidRPr="00916905" w:rsidRDefault="0077209E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numeric scalar denoting the step</w:t>
            </w:r>
            <w:r w:rsidR="004F40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 for the finite difference approximation</w:t>
            </w:r>
            <w:r w:rsidR="0077354E"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deriving </w:t>
            </w:r>
            <m:oMath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t</m:t>
                  </m:r>
                </m:e>
              </m:d>
            </m:oMath>
            <w:r w:rsidR="009742DC"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916905"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 </w:t>
            </w:r>
            <w:r w:rsidR="00916905" w:rsidRPr="009169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7513CC" w:rsidRPr="00980F95" w14:paraId="3BB3960B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3E8160B" w14:textId="0F0FAF53" w:rsidR="007513CC" w:rsidRPr="00BE39FB" w:rsidRDefault="007513C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ttBas</w:t>
            </w:r>
          </w:p>
        </w:tc>
        <w:tc>
          <w:tcPr>
            <w:tcW w:w="0" w:type="auto"/>
          </w:tcPr>
          <w:p w14:paraId="09A28ACD" w14:textId="719F3608" w:rsidR="007513CC" w:rsidRPr="0077209E" w:rsidRDefault="007513C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time at which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()</m:t>
              </m:r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evaluated</w:t>
            </w:r>
            <w:r w:rsidR="00127A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127A31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 w:rsidR="00127A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</w:tbl>
    <w:p w14:paraId="4F80AC58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16608CB4" w14:textId="1238DC45" w:rsidR="00A27EC1" w:rsidRDefault="00980F95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Function </w:t>
      </w:r>
      <w:r w:rsidR="00CE5D3E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PropJMvisDropCompMLE</w:t>
      </w:r>
      <w:r w:rsidR="00CE5D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can be used to 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>joint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ly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 xml:space="preserve"> mod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el a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longitudinal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 marker</w:t>
      </w:r>
      <w:r w:rsidR="005A4398">
        <w:rPr>
          <w:rFonts w:ascii="Arial" w:eastAsia="Times New Roman" w:hAnsi="Arial" w:cs="Arial"/>
          <w:color w:val="000000"/>
          <w:sz w:val="20"/>
          <w:szCs w:val="20"/>
        </w:rPr>
        <w:t>, the visiting process,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and competing ri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sks</w:t>
      </w:r>
      <w:r w:rsidR="005A4398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For the longitudinal </w:t>
      </w:r>
      <w:r w:rsidR="006F11A4" w:rsidRPr="00980F95">
        <w:rPr>
          <w:rFonts w:ascii="Arial" w:eastAsia="Times New Roman" w:hAnsi="Arial" w:cs="Arial"/>
          <w:color w:val="000000"/>
          <w:sz w:val="20"/>
          <w:szCs w:val="20"/>
        </w:rPr>
        <w:t>responses,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the linear mixed model represented by </w:t>
      </w:r>
      <w:r w:rsidR="00F941DB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is </w:t>
      </w:r>
      <w:r w:rsidR="007E093A">
        <w:rPr>
          <w:rFonts w:ascii="Arial" w:eastAsia="Times New Roman" w:hAnsi="Arial" w:cs="Arial"/>
          <w:color w:val="000000"/>
          <w:sz w:val="20"/>
          <w:szCs w:val="20"/>
        </w:rPr>
        <w:t xml:space="preserve">assumed </w:t>
      </w:r>
    </w:p>
    <w:p w14:paraId="11029BFA" w14:textId="4704B144" w:rsidR="00A27EC1" w:rsidRPr="003D1104" w:rsidRDefault="00000000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β+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ε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(t)</m:t>
          </m:r>
        </m:oMath>
      </m:oMathPara>
    </w:p>
    <w:p w14:paraId="1391E217" w14:textId="5D10C7DB" w:rsidR="00B51A87" w:rsidRPr="008329D2" w:rsidRDefault="008562B7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denote the fixed-effect and random-effect design matrices, respectively, as specified in the </w:t>
      </w:r>
      <w:r w:rsidRPr="008329D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8329D2">
        <w:rPr>
          <w:rFonts w:ascii="Arial" w:eastAsia="Times New Roman" w:hAnsi="Arial" w:cs="Arial"/>
          <w:color w:val="000000"/>
          <w:sz w:val="20"/>
          <w:szCs w:val="20"/>
        </w:rPr>
        <w:t> object</w:t>
      </w:r>
      <w:r w:rsidR="00F53ACE" w:rsidRPr="008329D2">
        <w:rPr>
          <w:rFonts w:ascii="Arial" w:eastAsia="Times New Roman" w:hAnsi="Arial" w:cs="Arial"/>
          <w:color w:val="000000"/>
          <w:sz w:val="20"/>
          <w:szCs w:val="20"/>
        </w:rPr>
        <w:t>. Also</w:t>
      </w:r>
      <w:r w:rsidR="00A555D2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=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β+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A555D2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is interpreted as the “true” marker value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 w:rsidR="00AB5486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~N(0,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)</m:t>
        </m:r>
      </m:oMath>
      <w:r w:rsidR="00A555D2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5A0308AA" w14:textId="460CEF05" w:rsidR="00A229E0" w:rsidRDefault="00A555D2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competing risk </w:t>
      </w:r>
      <w:r w:rsidR="00587ADB">
        <w:rPr>
          <w:rFonts w:ascii="Arial" w:eastAsia="Times New Roman" w:hAnsi="Arial" w:cs="Arial"/>
          <w:color w:val="000000"/>
          <w:sz w:val="20"/>
          <w:szCs w:val="20"/>
        </w:rPr>
        <w:t>sub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model 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specified through</w:t>
      </w:r>
      <w:r w:rsidR="00C21BF9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EE77F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EE77F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 xml:space="preserve"> objects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>Specifically, t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he 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>cause-specific hazard</w:t>
      </w:r>
      <w:r w:rsidR="00E04AD0">
        <w:rPr>
          <w:rFonts w:ascii="Arial" w:eastAsia="Times New Roman" w:hAnsi="Arial" w:cs="Arial"/>
          <w:color w:val="000000"/>
          <w:sz w:val="20"/>
          <w:szCs w:val="20"/>
        </w:rPr>
        <w:t xml:space="preserve"> functions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are</w:t>
      </w:r>
      <w:r w:rsidR="00E04AD0">
        <w:rPr>
          <w:rFonts w:ascii="Arial" w:eastAsia="Times New Roman" w:hAnsi="Arial" w:cs="Arial"/>
          <w:color w:val="000000"/>
          <w:sz w:val="20"/>
          <w:szCs w:val="20"/>
        </w:rPr>
        <w:t xml:space="preserve"> assumed to be</w:t>
      </w:r>
      <w:r w:rsidR="00697F13">
        <w:rPr>
          <w:rFonts w:ascii="Arial" w:eastAsia="Times New Roman" w:hAnsi="Arial" w:cs="Arial"/>
          <w:color w:val="000000"/>
          <w:sz w:val="20"/>
          <w:szCs w:val="20"/>
        </w:rPr>
        <w:t xml:space="preserve">, for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≤t&lt;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ij+1</m:t>
            </m:r>
          </m:sub>
        </m:sSub>
      </m:oMath>
      <w:r w:rsidR="007C38B7">
        <w:rPr>
          <w:rFonts w:ascii="Arial" w:eastAsia="Times New Roman" w:hAnsi="Arial" w:cs="Arial"/>
          <w:color w:val="000000"/>
        </w:rPr>
        <w:t>,</w:t>
      </w:r>
    </w:p>
    <w:p w14:paraId="29FE6CF0" w14:textId="03ADAEFC" w:rsidR="008562B7" w:rsidRPr="003D1104" w:rsidRDefault="00000000" w:rsidP="00A6335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sk0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, k=1,2,</m:t>
          </m:r>
        </m:oMath>
      </m:oMathPara>
    </w:p>
    <w:p w14:paraId="2C6F397E" w14:textId="7788EE55" w:rsidR="001A4951" w:rsidRPr="002B1D6E" w:rsidRDefault="001A4951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1D6E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4348E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sk1</m:t>
            </m:r>
          </m:sub>
        </m:sSub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sk2</m:t>
            </m:r>
          </m:sub>
        </m:sSub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association parameter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relating 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cause-specific hazard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0</m:t>
            </m:r>
          </m:e>
        </m:d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="008B65C5">
        <w:rPr>
          <w:rFonts w:ascii="Arial" w:eastAsia="Times New Roman" w:hAnsi="Arial" w:cs="Arial"/>
          <w:color w:val="000000"/>
          <w:sz w:val="20"/>
          <w:szCs w:val="20"/>
        </w:rPr>
        <w:t xml:space="preserve"> (the true marker value at baseline and current true marker slope)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, respectively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denotes the derivative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5E55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0</m:t>
            </m:r>
          </m:e>
        </m:d>
      </m:oMath>
      <w:r w:rsidR="005E55BF">
        <w:rPr>
          <w:rFonts w:ascii="Arial" w:eastAsia="Times New Roman" w:hAnsi="Arial" w:cs="Arial"/>
          <w:color w:val="000000"/>
          <w:sz w:val="20"/>
          <w:szCs w:val="20"/>
        </w:rPr>
        <w:t xml:space="preserve"> can be evaluated at different time points (see </w:t>
      </w:r>
      <w:r w:rsidR="005E55BF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ttBas</w:t>
      </w:r>
      <w:r w:rsidR="005E55BF">
        <w:rPr>
          <w:rFonts w:ascii="Arial" w:eastAsia="Times New Roman" w:hAnsi="Arial" w:cs="Arial"/>
          <w:color w:val="000000"/>
          <w:sz w:val="20"/>
          <w:szCs w:val="20"/>
        </w:rPr>
        <w:t>).</w:t>
      </w:r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Covariates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ski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derived from objects </w:t>
      </w:r>
      <w:r w:rsidR="002B1D6E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 w:rsidR="002B1D6E" w:rsidRPr="002B1D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fitCoxCause</w:t>
      </w:r>
      <w:r w:rsidR="002B1D6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2B1D6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B86F7A" w:rsidRPr="002B1D6E">
        <w:rPr>
          <w:rFonts w:ascii="Arial" w:eastAsia="Times New Roman" w:hAnsi="Arial" w:cs="Arial"/>
          <w:color w:val="000000"/>
          <w:sz w:val="20"/>
          <w:szCs w:val="20"/>
        </w:rPr>
        <w:t>Baseline cause-specific hazard</w:t>
      </w:r>
      <w:r w:rsidR="00697484">
        <w:rPr>
          <w:rFonts w:ascii="Arial" w:eastAsia="Times New Roman" w:hAnsi="Arial" w:cs="Arial"/>
          <w:color w:val="000000"/>
          <w:sz w:val="20"/>
          <w:szCs w:val="20"/>
        </w:rPr>
        <w:t xml:space="preserve"> functions</w:t>
      </w:r>
      <w:r w:rsidR="00B86F7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modeled by </w:t>
      </w:r>
      <w:r w:rsidR="00C35371" w:rsidRPr="002B1D6E">
        <w:rPr>
          <w:rFonts w:ascii="Arial" w:eastAsia="Times New Roman" w:hAnsi="Arial" w:cs="Arial"/>
          <w:color w:val="000000"/>
          <w:sz w:val="20"/>
          <w:szCs w:val="20"/>
        </w:rPr>
        <w:t>cubic B-spline of time (see</w:t>
      </w:r>
      <w:r w:rsidR="008E2766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 w:rsidR="00C35371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8E2766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 w:rsidR="00C35371" w:rsidRPr="002B1D6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C328F2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9E3D8D" w:rsidRPr="002B1D6E">
        <w:rPr>
          <w:rFonts w:ascii="Arial" w:eastAsia="Times New Roman" w:hAnsi="Arial" w:cs="Arial"/>
          <w:color w:val="000000"/>
          <w:sz w:val="20"/>
          <w:szCs w:val="20"/>
        </w:rPr>
        <w:t>The integral</w:t>
      </w:r>
      <w:r w:rsidR="00477FDC" w:rsidRPr="002B1D6E">
        <w:rPr>
          <w:rFonts w:ascii="Arial" w:eastAsia="Times New Roman" w:hAnsi="Arial" w:cs="Arial"/>
          <w:color w:val="000000"/>
          <w:sz w:val="20"/>
          <w:szCs w:val="20"/>
        </w:rPr>
        <w:t>s to calculate cumulative cause-specific hazard functions are</w:t>
      </w:r>
      <w:r w:rsidR="009E3D8D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approximated by either the Gauss–Legendre quadrature or the 15-point Gauss-Kronrod rule</w:t>
      </w:r>
      <w:r w:rsidR="00B95F70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(see </w:t>
      </w:r>
      <w:r w:rsidR="003D1104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useGauleg</w:t>
      </w:r>
      <w:r w:rsidR="003D1104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E94D36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Gauleg_points</w:t>
      </w:r>
      <w:r w:rsidR="00B95F70" w:rsidRPr="002B1D6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9E3D8D" w:rsidRPr="002B1D6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9724958" w14:textId="77777777" w:rsidR="005041AE" w:rsidRPr="002B1D6E" w:rsidRDefault="005041A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A08F04" w14:textId="68A36868" w:rsidR="005041AE" w:rsidRP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1D6E">
        <w:rPr>
          <w:rFonts w:ascii="Arial" w:eastAsia="Times New Roman" w:hAnsi="Arial" w:cs="Arial"/>
          <w:color w:val="000000"/>
          <w:sz w:val="20"/>
          <w:szCs w:val="20"/>
        </w:rPr>
        <w:t>To specify a model for the visiting process based on g</w:t>
      </w:r>
      <w:r w:rsidR="005041AE" w:rsidRPr="002B1D6E">
        <w:rPr>
          <w:rFonts w:ascii="Arial" w:eastAsia="Times New Roman" w:hAnsi="Arial" w:cs="Arial"/>
          <w:color w:val="000000"/>
          <w:sz w:val="20"/>
          <w:szCs w:val="20"/>
        </w:rPr>
        <w:t>ap time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s, the model </w:t>
      </w:r>
      <w:r w:rsidRPr="002B1D6E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must have two arguments in the </w:t>
      </w:r>
      <w:r w:rsidRPr="002B1D6E">
        <w:rPr>
          <w:rFonts w:ascii="Courier New" w:eastAsia="Times New Roman" w:hAnsi="Courier New" w:cs="Courier New"/>
          <w:color w:val="000000"/>
          <w:sz w:val="20"/>
          <w:szCs w:val="20"/>
        </w:rPr>
        <w:t>Surv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function, e.g. </w:t>
      </w:r>
      <w:r w:rsidRPr="002B1D6E">
        <w:rPr>
          <w:rFonts w:ascii="Courier New" w:eastAsia="Times New Roman" w:hAnsi="Courier New" w:cs="Courier New"/>
          <w:color w:val="000000"/>
          <w:sz w:val="20"/>
          <w:szCs w:val="20"/>
        </w:rPr>
        <w:t>Surv(gapTimesVis,deltaVis)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. Specifically, for the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j</m:t>
        </m:r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th gap time, a model of the form </w:t>
      </w:r>
    </w:p>
    <w:p w14:paraId="19EC29C8" w14:textId="77777777" w:rsidR="005041AE" w:rsidRDefault="005041A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3C10A4" w14:textId="4736A79B" w:rsidR="005041AE" w:rsidRDefault="00000000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vj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v0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+u</m:t>
                      </m:r>
                    </m:e>
                  </m:d>
                </m:e>
              </m:d>
            </m:e>
          </m:func>
        </m:oMath>
      </m:oMathPara>
    </w:p>
    <w:p w14:paraId="63EC85D6" w14:textId="77777777" w:rsid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5B395B" w14:textId="72847CE6" w:rsid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is assumed, 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v1</m:t>
            </m:r>
          </m:sub>
        </m:sSub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v2</m:t>
            </m:r>
          </m:sub>
        </m:sSub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association parameters relating the hazard of gap times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0</m:t>
            </m:r>
          </m:e>
        </m:d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+u</m:t>
            </m:r>
          </m:e>
        </m:d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>, respectively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5C03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C039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Covariates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5C039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5C039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derived from objects </w:t>
      </w:r>
      <w:r w:rsidR="00962200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962200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A004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418C">
        <w:rPr>
          <w:rFonts w:ascii="Arial" w:eastAsia="Times New Roman" w:hAnsi="Arial" w:cs="Arial"/>
          <w:color w:val="000000"/>
          <w:sz w:val="20"/>
          <w:szCs w:val="20"/>
        </w:rPr>
        <w:t>The b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>aseline hazard</w:t>
      </w:r>
      <w:r w:rsidR="00A004AA">
        <w:rPr>
          <w:rFonts w:ascii="Arial" w:eastAsia="Times New Roman" w:hAnsi="Arial" w:cs="Arial"/>
          <w:color w:val="000000"/>
          <w:sz w:val="20"/>
          <w:szCs w:val="20"/>
        </w:rPr>
        <w:t xml:space="preserve"> function for gap times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004AA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modeled by cubic B-spline</w:t>
      </w:r>
      <w:r w:rsidR="00F0418C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of time (see </w:t>
      </w:r>
      <w:r w:rsidR="00F164F3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nknotsVis</w:t>
      </w:r>
      <w:r w:rsidR="006839D9">
        <w:rPr>
          <w:rFonts w:ascii="Arial" w:eastAsia="Times New Roman" w:hAnsi="Arial" w:cs="Arial"/>
          <w:color w:val="000000"/>
          <w:sz w:val="20"/>
          <w:szCs w:val="20"/>
        </w:rPr>
        <w:t xml:space="preserve">). 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The integrals to calculate cumulative cause-specific hazard functions are approximated by either the Gauss–Legendre quadrature or the 15-point Gauss-Kronrod rule (see </w:t>
      </w:r>
      <w:r w:rsidR="00A004AA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useGauleg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A004AA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Gauleg_points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>).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When a gap-time model is adopted, </w:t>
      </w:r>
      <w:r w:rsidR="000C53BF" w:rsidRPr="00585566">
        <w:rPr>
          <w:rFonts w:ascii="Courier New" w:eastAsia="Times New Roman" w:hAnsi="Courier New" w:cs="Courier New"/>
          <w:color w:val="000000"/>
          <w:sz w:val="20"/>
          <w:szCs w:val="20"/>
        </w:rPr>
        <w:t>timeVar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must appear in the object </w:t>
      </w:r>
      <w:r w:rsidR="000C53BF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to define the </w:t>
      </w:r>
      <w:r w:rsidR="00E13E44">
        <w:rPr>
          <w:rFonts w:ascii="Arial" w:eastAsia="Times New Roman" w:hAnsi="Arial" w:cs="Arial"/>
          <w:color w:val="000000"/>
          <w:sz w:val="20"/>
          <w:szCs w:val="20"/>
        </w:rPr>
        <w:t>analysis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time</w:t>
      </w:r>
      <w:r w:rsidR="00E13E44">
        <w:rPr>
          <w:rFonts w:ascii="Arial" w:eastAsia="Times New Roman" w:hAnsi="Arial" w:cs="Arial"/>
          <w:color w:val="000000"/>
          <w:sz w:val="20"/>
          <w:szCs w:val="20"/>
        </w:rPr>
        <w:t xml:space="preserve"> (time since baseline)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at the start of each interval</w:t>
      </w:r>
      <w:r w:rsidR="009F766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7069B60" w14:textId="77777777" w:rsidR="002B1D6E" w:rsidRP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7029A6" w14:textId="796DCCFE" w:rsidR="006E5D3B" w:rsidRPr="00BD1E34" w:rsidRDefault="006E5D3B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1E34">
        <w:rPr>
          <w:rFonts w:ascii="Arial" w:eastAsia="Times New Roman" w:hAnsi="Arial" w:cs="Arial"/>
          <w:color w:val="000000"/>
          <w:sz w:val="20"/>
          <w:szCs w:val="20"/>
        </w:rPr>
        <w:t>To specify a model for the visiting process based on the intensity functio</w:t>
      </w:r>
      <w:r w:rsidR="00FB3149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 using calendar time, the model </w:t>
      </w:r>
      <w:r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 must have three arguments in the </w:t>
      </w:r>
      <w:r w:rsidRPr="00BD1E34">
        <w:rPr>
          <w:rFonts w:ascii="Courier New" w:eastAsia="Times New Roman" w:hAnsi="Courier New" w:cs="Courier New"/>
          <w:color w:val="000000"/>
          <w:sz w:val="20"/>
          <w:szCs w:val="20"/>
        </w:rPr>
        <w:t>Surv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 function, e.g. </w:t>
      </w:r>
      <w:r w:rsidR="00BD1E34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Surv(tstart,tstop,deltaVis)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. Specifically, </w:t>
      </w:r>
      <w:r w:rsidR="00BD1E34"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≤t&lt;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ij+1</m:t>
            </m:r>
          </m:sub>
        </m:sSub>
      </m:oMath>
      <w:r w:rsidR="00BD1E34">
        <w:rPr>
          <w:rFonts w:ascii="Arial" w:eastAsia="Times New Roman" w:hAnsi="Arial" w:cs="Arial"/>
          <w:color w:val="000000"/>
          <w:sz w:val="20"/>
          <w:szCs w:val="20"/>
        </w:rPr>
        <w:t>, we assume a proportional intensity model of the form</w:t>
      </w:r>
    </w:p>
    <w:p w14:paraId="0FFAB1BB" w14:textId="77777777" w:rsidR="006E5D3B" w:rsidRDefault="006E5D3B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81000B" w14:textId="61465A0D" w:rsidR="006E5D3B" w:rsidRDefault="006D3306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d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Arial"/>
                  <w:color w:val="000000"/>
                </w:rPr>
                <m:t>(t)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λ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v0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32EB66CF" w14:textId="77777777" w:rsidR="006E5D3B" w:rsidRDefault="006E5D3B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F0081C" w14:textId="7F2C9142" w:rsidR="005041AE" w:rsidRPr="009D43EF" w:rsidRDefault="000E317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317E">
        <w:rPr>
          <w:rFonts w:ascii="Arial" w:eastAsia="Times New Roman" w:hAnsi="Arial" w:cs="Arial"/>
          <w:color w:val="000000"/>
          <w:sz w:val="20"/>
          <w:szCs w:val="20"/>
        </w:rPr>
        <w:t>The covariates and parameters have similar interpretation</w:t>
      </w:r>
      <w:r w:rsidR="00B7724C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0E31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7724C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0E317E">
        <w:rPr>
          <w:rFonts w:ascii="Arial" w:eastAsia="Times New Roman" w:hAnsi="Arial" w:cs="Arial"/>
          <w:color w:val="000000"/>
          <w:sz w:val="20"/>
          <w:szCs w:val="20"/>
        </w:rPr>
        <w:t xml:space="preserve"> those used in the gap-time model, but 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Pr="000E317E">
        <w:rPr>
          <w:rFonts w:ascii="Arial" w:eastAsia="Times New Roman" w:hAnsi="Arial" w:cs="Arial"/>
          <w:color w:val="000000"/>
          <w:sz w:val="20"/>
          <w:szCs w:val="20"/>
        </w:rPr>
        <w:t xml:space="preserve"> denotes the baseline intensity function (see </w:t>
      </w:r>
      <w:r w:rsidRPr="000E317E">
        <w:rPr>
          <w:rFonts w:ascii="Courier New" w:eastAsia="Times New Roman" w:hAnsi="Courier New" w:cs="Courier New"/>
          <w:color w:val="000000"/>
          <w:sz w:val="20"/>
          <w:szCs w:val="20"/>
        </w:rPr>
        <w:t>nknotsVis</w:t>
      </w:r>
      <w:r w:rsidRPr="000E317E">
        <w:rPr>
          <w:rFonts w:ascii="Arial" w:eastAsia="Times New Roman" w:hAnsi="Arial" w:cs="Arial"/>
          <w:color w:val="000000"/>
          <w:sz w:val="20"/>
          <w:szCs w:val="20"/>
        </w:rPr>
        <w:t>).</w:t>
      </w:r>
      <w:r w:rsidR="0048504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BA3634C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26253BA5" w14:textId="61485027" w:rsidR="00980F95" w:rsidRP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1. The </w:t>
      </w:r>
      <w:r w:rsidR="00A27EC1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A27EC1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argument should represent a linear mixed model object with a 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general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random-ef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fects structure, i.e. only general positive definite structures for the covariance matrix of the random effects are allowed.</w:t>
      </w:r>
    </w:p>
    <w:p w14:paraId="7D6DE508" w14:textId="23F153B4" w:rsid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2. The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6D3B07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object should not contain any within-group correlation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</w:t>
      </w:r>
      <w:r w:rsidR="005211D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 or within-group heteroscedasticity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01482D64" w14:textId="26FF3D08" w:rsidR="00EF6D55" w:rsidRDefault="00796DB4" w:rsidP="00491B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. It is assumed that the linear mixed</w:t>
      </w:r>
      <w:r w:rsidR="001F6B41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effects model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 and the </w:t>
      </w:r>
      <w:r w:rsidR="0022100E">
        <w:rPr>
          <w:rFonts w:ascii="Arial" w:eastAsia="Times New Roman" w:hAnsi="Arial" w:cs="Arial"/>
          <w:color w:val="000000"/>
          <w:sz w:val="20"/>
          <w:szCs w:val="20"/>
        </w:rPr>
        <w:t>Cox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 model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157D0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D22BA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157D0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2210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have been fitted to the same subjects.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The data frames </w:t>
      </w:r>
      <w:r w:rsidR="00B7724C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 which objects 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1F6B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F6B41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1F6B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>have been fitted</w:t>
      </w:r>
      <w:r w:rsidR="005D7BF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should be sorted by the same numeric group variable (e.g.</w:t>
      </w:r>
      <w:r w:rsidR="00105038" w:rsidRPr="001050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05038">
        <w:rPr>
          <w:rFonts w:ascii="Courier New" w:eastAsia="Times New Roman" w:hAnsi="Courier New" w:cs="Courier New"/>
          <w:color w:val="000000"/>
          <w:sz w:val="20"/>
          <w:szCs w:val="20"/>
        </w:rPr>
        <w:t>id=1,2,…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E71925">
        <w:rPr>
          <w:rFonts w:ascii="Arial" w:eastAsia="Times New Roman" w:hAnsi="Arial" w:cs="Arial"/>
          <w:color w:val="000000"/>
          <w:sz w:val="20"/>
          <w:szCs w:val="20"/>
        </w:rPr>
        <w:t>. That is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it is assumed that the ordering of the subjects is the same for 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CD670C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2F0240" w:rsidRPr="002F0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F0240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2F0240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AE7D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AE7D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405AD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5405A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i.e., that the first </w:t>
      </w:r>
      <w:r w:rsidR="007319DB">
        <w:rPr>
          <w:rFonts w:ascii="Arial" w:eastAsia="Times New Roman" w:hAnsi="Arial" w:cs="Arial"/>
          <w:color w:val="000000"/>
          <w:sz w:val="20"/>
          <w:szCs w:val="20"/>
        </w:rPr>
        <w:t>row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EF634E">
        <w:rPr>
          <w:rFonts w:ascii="Arial" w:eastAsia="Times New Roman" w:hAnsi="Arial" w:cs="Arial"/>
          <w:color w:val="000000"/>
          <w:sz w:val="20"/>
          <w:szCs w:val="20"/>
        </w:rPr>
        <w:t xml:space="preserve"> of an individual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in the data frame containing the event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>/visit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times correspond to the first set of lines identified by the grouping variable in the data frame containing the repeated measurements, and so on.</w:t>
      </w:r>
    </w:p>
    <w:p w14:paraId="490208F4" w14:textId="77777777" w:rsidR="005E4305" w:rsidRDefault="005E4305" w:rsidP="005E4305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72F5F8B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</w:t>
      </w:r>
    </w:p>
    <w:p w14:paraId="61537E9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models ###</w:t>
      </w:r>
    </w:p>
    <w:p w14:paraId="5B2D29D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</w:t>
      </w:r>
    </w:p>
    <w:p w14:paraId="6EAC2BD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BFE60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Import the function</w:t>
      </w:r>
    </w:p>
    <w:p w14:paraId="72FA862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source("PropJMvisDropCompMLE_fit.R")</w:t>
      </w:r>
    </w:p>
    <w:p w14:paraId="0FF9B235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6508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(!require("nlme")) install.packages("nlme")</w:t>
      </w:r>
    </w:p>
    <w:p w14:paraId="33BC2A8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(!require("survival")) install.packages("survival")</w:t>
      </w:r>
    </w:p>
    <w:p w14:paraId="54B75A3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(!require("matrixcalc")) install.packages("matrixcalc")</w:t>
      </w:r>
    </w:p>
    <w:p w14:paraId="190D21D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(!require("splines2")) install.packages("splines2")</w:t>
      </w:r>
    </w:p>
    <w:p w14:paraId="27D8D70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(!require("MASS")) install.packages("MASS")</w:t>
      </w:r>
    </w:p>
    <w:p w14:paraId="44BD124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35AF4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</w:t>
      </w:r>
    </w:p>
    <w:p w14:paraId="787513B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proposed model using a gap-time visiting process ###</w:t>
      </w:r>
    </w:p>
    <w:p w14:paraId="3E821B7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</w:t>
      </w:r>
    </w:p>
    <w:p w14:paraId="2065535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A1A2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Fit the linear mixed model</w:t>
      </w:r>
    </w:p>
    <w:p w14:paraId="520A07D5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fitlme = try(lme(y ~ I(log(times+1)) + I((times/10)^3),</w:t>
      </w:r>
    </w:p>
    <w:p w14:paraId="65DB630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random = ~ I(log(times+1)) + I((times/10)^3)|id,data = dataLong,</w:t>
      </w:r>
    </w:p>
    <w:p w14:paraId="2C72C58E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control = list(apVar = T,opt = "optim" , returnObject = F, </w:t>
      </w:r>
    </w:p>
    <w:p w14:paraId="4A11B36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maxIter = 100, msMaxIter = 100, niterEM = 150)),</w:t>
      </w:r>
    </w:p>
    <w:p w14:paraId="241C2F9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silent = T)</w:t>
      </w:r>
    </w:p>
    <w:p w14:paraId="685A7E0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summary(fitlme)</w:t>
      </w:r>
    </w:p>
    <w:p w14:paraId="72A1F25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BC47C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Cox model for the gap times between visits</w:t>
      </w:r>
    </w:p>
    <w:p w14:paraId="0F0D95B4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fitCoxVisGap &lt;- coxph(Surv(gapTimesVis,deltaVis) ~ y + times + lag1_gap + cluster(id), </w:t>
      </w:r>
    </w:p>
    <w:p w14:paraId="1734C6E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data = dataLong, control = coxph.control(timefix = FALSE))</w:t>
      </w:r>
    </w:p>
    <w:p w14:paraId="5EBF3B5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summary(fitCoxVisGap)</w:t>
      </w:r>
    </w:p>
    <w:p w14:paraId="69549E5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B8E14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Cox model for cause 1</w:t>
      </w:r>
    </w:p>
    <w:p w14:paraId="6396759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fitCoxDrop1 &lt;- coxph(Surv(tstart,tstop,deltaCause1) ~ y + group + cluster(id), data = dataLong,</w:t>
      </w:r>
    </w:p>
    <w:p w14:paraId="1E2B4562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control = coxph.control(timefix = FALSE))</w:t>
      </w:r>
    </w:p>
    <w:p w14:paraId="7D11744C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summary(fitCoxDrop1)</w:t>
      </w:r>
    </w:p>
    <w:p w14:paraId="21A7948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AB253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Cox model for cause 2</w:t>
      </w:r>
    </w:p>
    <w:p w14:paraId="1097F07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fitCoxDrop2 &lt;- coxph(Surv(tstart,tstop,deltaCause2) ~ y + lag1_gap + group + cluster(id), data = dataLong,</w:t>
      </w:r>
    </w:p>
    <w:p w14:paraId="2FF10F0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control = coxph.control(timefix = FALSE))</w:t>
      </w:r>
    </w:p>
    <w:p w14:paraId="4DDA347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summary(fitCoxDrop2)</w:t>
      </w:r>
    </w:p>
    <w:p w14:paraId="471AB60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628B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</w:t>
      </w:r>
    </w:p>
    <w:p w14:paraId="5B15168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proposed model using gap times ###</w:t>
      </w:r>
    </w:p>
    <w:p w14:paraId="530EF4C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</w:t>
      </w:r>
    </w:p>
    <w:p w14:paraId="7FD1D3D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 &lt;- PropJMvisDropCompMLE(fitlme,fitCoxDrop1,fitCoxDrop2,fitCoxVisGap,</w:t>
      </w:r>
    </w:p>
    <w:p w14:paraId="2FB956AB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nknotsDrop1 = 1,nknotsDrop2 = 1,nknotsVis = 3,nGH = 4)</w:t>
      </w:r>
    </w:p>
    <w:p w14:paraId="743EBD5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fitPropGap$sumLong</w:t>
      </w:r>
    </w:p>
    <w:p w14:paraId="25F320BB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fitPropGap$sumVis</w:t>
      </w:r>
    </w:p>
    <w:p w14:paraId="7B3B634C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fitPropGap$sumDrop1</w:t>
      </w:r>
    </w:p>
    <w:p w14:paraId="305D51B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fitPropGap$sumDrop2</w:t>
      </w:r>
    </w:p>
    <w:p w14:paraId="0715DF0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A1D2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D6CE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</w:t>
      </w:r>
    </w:p>
    <w:p w14:paraId="52A7F75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proposed model using calendar time ###</w:t>
      </w:r>
    </w:p>
    <w:p w14:paraId="10C8B680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</w:t>
      </w:r>
    </w:p>
    <w:p w14:paraId="7F0E0392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fitCoxVisVcal &lt;- coxph(Surv(tstart,tstop,deltaVis) ~ y + lag1_gap + cluster(id), </w:t>
      </w:r>
    </w:p>
    <w:p w14:paraId="57ABE54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= dataLong,control = coxph.control(timefix = FALSE))</w:t>
      </w:r>
    </w:p>
    <w:p w14:paraId="7887F510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summary(fitCoxVisVcal)</w:t>
      </w:r>
    </w:p>
    <w:p w14:paraId="12D154F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51572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Fit the proposed model</w:t>
      </w:r>
    </w:p>
    <w:p w14:paraId="5504731B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 &lt;- PropJMvisDropCompMLE(fitlme, fitCoxDrop1,fitCoxDrop2, fitCoxVisVcal,</w:t>
      </w:r>
    </w:p>
    <w:p w14:paraId="26C0B19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nknotsDrop1 = 1,nknotsDrop2 = 1,nknotsVis = 3,nGH = 4)</w:t>
      </w:r>
    </w:p>
    <w:p w14:paraId="4969E57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3F5F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fitPropCal$sumLong</w:t>
      </w:r>
    </w:p>
    <w:p w14:paraId="0D50F83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fitPropCal$sumVis</w:t>
      </w:r>
    </w:p>
    <w:p w14:paraId="764F92B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fitPropCal$sumDrop1</w:t>
      </w:r>
    </w:p>
    <w:p w14:paraId="09824DAE" w14:textId="65BCB240" w:rsidR="00445C91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fitPropCal$sumDrop2</w:t>
      </w:r>
    </w:p>
    <w:sectPr w:rsidR="00445C91" w:rsidSect="00C551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31F6E" w14:textId="77777777" w:rsidR="00017E4B" w:rsidRDefault="00017E4B" w:rsidP="00802419">
      <w:pPr>
        <w:spacing w:after="0" w:line="240" w:lineRule="auto"/>
      </w:pPr>
      <w:r>
        <w:separator/>
      </w:r>
    </w:p>
  </w:endnote>
  <w:endnote w:type="continuationSeparator" w:id="0">
    <w:p w14:paraId="784A716A" w14:textId="77777777" w:rsidR="00017E4B" w:rsidRDefault="00017E4B" w:rsidP="0080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E3B33" w14:textId="77777777" w:rsidR="00017E4B" w:rsidRDefault="00017E4B" w:rsidP="00802419">
      <w:pPr>
        <w:spacing w:after="0" w:line="240" w:lineRule="auto"/>
      </w:pPr>
      <w:r>
        <w:separator/>
      </w:r>
    </w:p>
  </w:footnote>
  <w:footnote w:type="continuationSeparator" w:id="0">
    <w:p w14:paraId="64A74A63" w14:textId="77777777" w:rsidR="00017E4B" w:rsidRDefault="00017E4B" w:rsidP="0080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651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39B767" w14:textId="57F18454" w:rsidR="00802419" w:rsidRDefault="008024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15786" w14:textId="77777777" w:rsidR="00802419" w:rsidRDefault="00802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063E4"/>
    <w:multiLevelType w:val="hybridMultilevel"/>
    <w:tmpl w:val="CAD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jC2NDM3NTU2MjVT0lEKTi0uzszPAymwrAUAnCAeHiwAAAA="/>
  </w:docVars>
  <w:rsids>
    <w:rsidRoot w:val="001B0439"/>
    <w:rsid w:val="00004EAF"/>
    <w:rsid w:val="000163A4"/>
    <w:rsid w:val="00017E4B"/>
    <w:rsid w:val="00022CC1"/>
    <w:rsid w:val="00024EDF"/>
    <w:rsid w:val="00025459"/>
    <w:rsid w:val="000319CF"/>
    <w:rsid w:val="000321C3"/>
    <w:rsid w:val="00034480"/>
    <w:rsid w:val="00037912"/>
    <w:rsid w:val="00042208"/>
    <w:rsid w:val="00053CCD"/>
    <w:rsid w:val="000558A2"/>
    <w:rsid w:val="00057A7F"/>
    <w:rsid w:val="000670A5"/>
    <w:rsid w:val="000709C1"/>
    <w:rsid w:val="000761D3"/>
    <w:rsid w:val="00083357"/>
    <w:rsid w:val="0008344B"/>
    <w:rsid w:val="00091984"/>
    <w:rsid w:val="0009489C"/>
    <w:rsid w:val="000953F5"/>
    <w:rsid w:val="000979C7"/>
    <w:rsid w:val="000C53BF"/>
    <w:rsid w:val="000C6619"/>
    <w:rsid w:val="000D46B2"/>
    <w:rsid w:val="000E317E"/>
    <w:rsid w:val="000E4650"/>
    <w:rsid w:val="000F36F5"/>
    <w:rsid w:val="000F3978"/>
    <w:rsid w:val="000F5B2E"/>
    <w:rsid w:val="000F7089"/>
    <w:rsid w:val="0010153D"/>
    <w:rsid w:val="001039F4"/>
    <w:rsid w:val="00105038"/>
    <w:rsid w:val="001064D1"/>
    <w:rsid w:val="00106F6B"/>
    <w:rsid w:val="0011001C"/>
    <w:rsid w:val="001135DF"/>
    <w:rsid w:val="00114884"/>
    <w:rsid w:val="00116073"/>
    <w:rsid w:val="001175CD"/>
    <w:rsid w:val="00122AF1"/>
    <w:rsid w:val="00127A31"/>
    <w:rsid w:val="00127D4D"/>
    <w:rsid w:val="0013330F"/>
    <w:rsid w:val="00135146"/>
    <w:rsid w:val="001357DE"/>
    <w:rsid w:val="00137DD6"/>
    <w:rsid w:val="00140865"/>
    <w:rsid w:val="00140D0F"/>
    <w:rsid w:val="00153CAE"/>
    <w:rsid w:val="00154D1A"/>
    <w:rsid w:val="00157D01"/>
    <w:rsid w:val="001638B1"/>
    <w:rsid w:val="00170074"/>
    <w:rsid w:val="0017408E"/>
    <w:rsid w:val="00176178"/>
    <w:rsid w:val="0018204E"/>
    <w:rsid w:val="001821F9"/>
    <w:rsid w:val="00182203"/>
    <w:rsid w:val="00183471"/>
    <w:rsid w:val="001A4951"/>
    <w:rsid w:val="001B02CC"/>
    <w:rsid w:val="001B0439"/>
    <w:rsid w:val="001C3879"/>
    <w:rsid w:val="001D5F97"/>
    <w:rsid w:val="001F2D68"/>
    <w:rsid w:val="001F2E4D"/>
    <w:rsid w:val="001F2EB8"/>
    <w:rsid w:val="001F581A"/>
    <w:rsid w:val="001F6B41"/>
    <w:rsid w:val="002018E7"/>
    <w:rsid w:val="002151ED"/>
    <w:rsid w:val="002208E7"/>
    <w:rsid w:val="0022100E"/>
    <w:rsid w:val="00226EEE"/>
    <w:rsid w:val="0023566E"/>
    <w:rsid w:val="00235A29"/>
    <w:rsid w:val="002531FC"/>
    <w:rsid w:val="00253910"/>
    <w:rsid w:val="002544CB"/>
    <w:rsid w:val="00255662"/>
    <w:rsid w:val="00257F7E"/>
    <w:rsid w:val="002665A9"/>
    <w:rsid w:val="00267C58"/>
    <w:rsid w:val="00270094"/>
    <w:rsid w:val="00270C4C"/>
    <w:rsid w:val="00271F38"/>
    <w:rsid w:val="0027214C"/>
    <w:rsid w:val="002951DC"/>
    <w:rsid w:val="002B15D2"/>
    <w:rsid w:val="002B1D6E"/>
    <w:rsid w:val="002B53C1"/>
    <w:rsid w:val="002C1E8F"/>
    <w:rsid w:val="002C3A7F"/>
    <w:rsid w:val="002C3CC4"/>
    <w:rsid w:val="002C3F43"/>
    <w:rsid w:val="002C595D"/>
    <w:rsid w:val="002C5A04"/>
    <w:rsid w:val="002D1F58"/>
    <w:rsid w:val="002D2F56"/>
    <w:rsid w:val="002D44D4"/>
    <w:rsid w:val="002E0501"/>
    <w:rsid w:val="002E35B1"/>
    <w:rsid w:val="002E65A0"/>
    <w:rsid w:val="002F0240"/>
    <w:rsid w:val="002F12D9"/>
    <w:rsid w:val="002F2356"/>
    <w:rsid w:val="002F3BB6"/>
    <w:rsid w:val="002F5BD0"/>
    <w:rsid w:val="00307713"/>
    <w:rsid w:val="00331542"/>
    <w:rsid w:val="00332D74"/>
    <w:rsid w:val="00336E1C"/>
    <w:rsid w:val="0034219D"/>
    <w:rsid w:val="0034346E"/>
    <w:rsid w:val="003460EB"/>
    <w:rsid w:val="00346B66"/>
    <w:rsid w:val="0035025D"/>
    <w:rsid w:val="00352C4F"/>
    <w:rsid w:val="00361E99"/>
    <w:rsid w:val="00363657"/>
    <w:rsid w:val="00364578"/>
    <w:rsid w:val="00397021"/>
    <w:rsid w:val="003A4C20"/>
    <w:rsid w:val="003A500E"/>
    <w:rsid w:val="003A536C"/>
    <w:rsid w:val="003B0D47"/>
    <w:rsid w:val="003B366C"/>
    <w:rsid w:val="003C2630"/>
    <w:rsid w:val="003C4E06"/>
    <w:rsid w:val="003D1104"/>
    <w:rsid w:val="003D1B61"/>
    <w:rsid w:val="003D5AD6"/>
    <w:rsid w:val="003E6D93"/>
    <w:rsid w:val="00401C91"/>
    <w:rsid w:val="00402666"/>
    <w:rsid w:val="00403BB9"/>
    <w:rsid w:val="0040763E"/>
    <w:rsid w:val="004151AA"/>
    <w:rsid w:val="004266E4"/>
    <w:rsid w:val="004348EC"/>
    <w:rsid w:val="0043758B"/>
    <w:rsid w:val="0044161C"/>
    <w:rsid w:val="0044170C"/>
    <w:rsid w:val="00443204"/>
    <w:rsid w:val="00445C91"/>
    <w:rsid w:val="00452DC2"/>
    <w:rsid w:val="00455909"/>
    <w:rsid w:val="00461B2F"/>
    <w:rsid w:val="00466C62"/>
    <w:rsid w:val="00475D3C"/>
    <w:rsid w:val="00476240"/>
    <w:rsid w:val="00477FDC"/>
    <w:rsid w:val="004826AD"/>
    <w:rsid w:val="00484210"/>
    <w:rsid w:val="0048504A"/>
    <w:rsid w:val="00485FF1"/>
    <w:rsid w:val="004868DF"/>
    <w:rsid w:val="0048790E"/>
    <w:rsid w:val="00491B79"/>
    <w:rsid w:val="00494D02"/>
    <w:rsid w:val="004A0AA3"/>
    <w:rsid w:val="004A5D87"/>
    <w:rsid w:val="004A75CE"/>
    <w:rsid w:val="004B09A8"/>
    <w:rsid w:val="004B15F9"/>
    <w:rsid w:val="004C1C1B"/>
    <w:rsid w:val="004C4792"/>
    <w:rsid w:val="004D0D21"/>
    <w:rsid w:val="004D5A13"/>
    <w:rsid w:val="004D7685"/>
    <w:rsid w:val="004E0AE1"/>
    <w:rsid w:val="004E62DE"/>
    <w:rsid w:val="004F2933"/>
    <w:rsid w:val="004F40E3"/>
    <w:rsid w:val="00501A55"/>
    <w:rsid w:val="00501F59"/>
    <w:rsid w:val="005041AE"/>
    <w:rsid w:val="00506CE7"/>
    <w:rsid w:val="00506EA2"/>
    <w:rsid w:val="00510422"/>
    <w:rsid w:val="005211DE"/>
    <w:rsid w:val="0052438B"/>
    <w:rsid w:val="00524C92"/>
    <w:rsid w:val="00525A79"/>
    <w:rsid w:val="00530E67"/>
    <w:rsid w:val="00531473"/>
    <w:rsid w:val="005317FF"/>
    <w:rsid w:val="005346BA"/>
    <w:rsid w:val="005401FD"/>
    <w:rsid w:val="005405AD"/>
    <w:rsid w:val="0054212A"/>
    <w:rsid w:val="00543DD2"/>
    <w:rsid w:val="00547C41"/>
    <w:rsid w:val="00553AD6"/>
    <w:rsid w:val="005553AA"/>
    <w:rsid w:val="005667EB"/>
    <w:rsid w:val="005735B1"/>
    <w:rsid w:val="005758EB"/>
    <w:rsid w:val="00576484"/>
    <w:rsid w:val="00580170"/>
    <w:rsid w:val="00582743"/>
    <w:rsid w:val="00583FBA"/>
    <w:rsid w:val="00585566"/>
    <w:rsid w:val="00587ADB"/>
    <w:rsid w:val="00591813"/>
    <w:rsid w:val="00595597"/>
    <w:rsid w:val="005A215F"/>
    <w:rsid w:val="005A4398"/>
    <w:rsid w:val="005A57EA"/>
    <w:rsid w:val="005B011A"/>
    <w:rsid w:val="005B4498"/>
    <w:rsid w:val="005B4E13"/>
    <w:rsid w:val="005C039A"/>
    <w:rsid w:val="005C1713"/>
    <w:rsid w:val="005C202E"/>
    <w:rsid w:val="005D187D"/>
    <w:rsid w:val="005D3941"/>
    <w:rsid w:val="005D624F"/>
    <w:rsid w:val="005D6C57"/>
    <w:rsid w:val="005D7BF7"/>
    <w:rsid w:val="005E1982"/>
    <w:rsid w:val="005E4305"/>
    <w:rsid w:val="005E55BF"/>
    <w:rsid w:val="005F321E"/>
    <w:rsid w:val="006075F0"/>
    <w:rsid w:val="00613E2F"/>
    <w:rsid w:val="00613E64"/>
    <w:rsid w:val="00622763"/>
    <w:rsid w:val="00632E29"/>
    <w:rsid w:val="00632EE5"/>
    <w:rsid w:val="0065666D"/>
    <w:rsid w:val="00665E35"/>
    <w:rsid w:val="006670A2"/>
    <w:rsid w:val="0067033B"/>
    <w:rsid w:val="006720F2"/>
    <w:rsid w:val="00681416"/>
    <w:rsid w:val="006839D9"/>
    <w:rsid w:val="00685CA3"/>
    <w:rsid w:val="00686065"/>
    <w:rsid w:val="006954EF"/>
    <w:rsid w:val="00697484"/>
    <w:rsid w:val="00697F13"/>
    <w:rsid w:val="006A2210"/>
    <w:rsid w:val="006A274A"/>
    <w:rsid w:val="006A2E45"/>
    <w:rsid w:val="006A3C1A"/>
    <w:rsid w:val="006A7BFC"/>
    <w:rsid w:val="006B38AA"/>
    <w:rsid w:val="006B4EF2"/>
    <w:rsid w:val="006B7B0B"/>
    <w:rsid w:val="006B7CD9"/>
    <w:rsid w:val="006C0156"/>
    <w:rsid w:val="006D3306"/>
    <w:rsid w:val="006D3B07"/>
    <w:rsid w:val="006D3CD0"/>
    <w:rsid w:val="006D5A83"/>
    <w:rsid w:val="006E5D3B"/>
    <w:rsid w:val="006F11A4"/>
    <w:rsid w:val="007019BE"/>
    <w:rsid w:val="00702537"/>
    <w:rsid w:val="00723D6F"/>
    <w:rsid w:val="00727F8F"/>
    <w:rsid w:val="007319DB"/>
    <w:rsid w:val="0073221D"/>
    <w:rsid w:val="00736121"/>
    <w:rsid w:val="00737BFF"/>
    <w:rsid w:val="00740778"/>
    <w:rsid w:val="00741347"/>
    <w:rsid w:val="00742DE8"/>
    <w:rsid w:val="007513CC"/>
    <w:rsid w:val="007517FD"/>
    <w:rsid w:val="00771193"/>
    <w:rsid w:val="0077209E"/>
    <w:rsid w:val="007732DE"/>
    <w:rsid w:val="0077354E"/>
    <w:rsid w:val="00787545"/>
    <w:rsid w:val="00796DB4"/>
    <w:rsid w:val="007A1B75"/>
    <w:rsid w:val="007A1BA4"/>
    <w:rsid w:val="007A7440"/>
    <w:rsid w:val="007B3E32"/>
    <w:rsid w:val="007B54D5"/>
    <w:rsid w:val="007B65B8"/>
    <w:rsid w:val="007C23E0"/>
    <w:rsid w:val="007C38B7"/>
    <w:rsid w:val="007D0F27"/>
    <w:rsid w:val="007E093A"/>
    <w:rsid w:val="007F02A3"/>
    <w:rsid w:val="007F065D"/>
    <w:rsid w:val="007F1CD3"/>
    <w:rsid w:val="007F1D9A"/>
    <w:rsid w:val="00802419"/>
    <w:rsid w:val="00805584"/>
    <w:rsid w:val="00812287"/>
    <w:rsid w:val="00825FCF"/>
    <w:rsid w:val="008306A5"/>
    <w:rsid w:val="00830BCD"/>
    <w:rsid w:val="008329D2"/>
    <w:rsid w:val="00835ACB"/>
    <w:rsid w:val="008367B1"/>
    <w:rsid w:val="00841AE6"/>
    <w:rsid w:val="008553B0"/>
    <w:rsid w:val="00855415"/>
    <w:rsid w:val="008562B7"/>
    <w:rsid w:val="00865FFE"/>
    <w:rsid w:val="0087202A"/>
    <w:rsid w:val="008763DA"/>
    <w:rsid w:val="00886498"/>
    <w:rsid w:val="008908AD"/>
    <w:rsid w:val="0089116A"/>
    <w:rsid w:val="00891AAE"/>
    <w:rsid w:val="00894FB0"/>
    <w:rsid w:val="008A0D2A"/>
    <w:rsid w:val="008A1D15"/>
    <w:rsid w:val="008A3049"/>
    <w:rsid w:val="008A335D"/>
    <w:rsid w:val="008B6494"/>
    <w:rsid w:val="008B65C5"/>
    <w:rsid w:val="008B76EC"/>
    <w:rsid w:val="008B7D03"/>
    <w:rsid w:val="008C0082"/>
    <w:rsid w:val="008C28E2"/>
    <w:rsid w:val="008C6078"/>
    <w:rsid w:val="008D22BA"/>
    <w:rsid w:val="008D2578"/>
    <w:rsid w:val="008D3F4B"/>
    <w:rsid w:val="008E00AD"/>
    <w:rsid w:val="008E2766"/>
    <w:rsid w:val="008E33DD"/>
    <w:rsid w:val="00903D6E"/>
    <w:rsid w:val="009109DC"/>
    <w:rsid w:val="00911AD7"/>
    <w:rsid w:val="00911C44"/>
    <w:rsid w:val="00912646"/>
    <w:rsid w:val="00916905"/>
    <w:rsid w:val="009235D2"/>
    <w:rsid w:val="0094170F"/>
    <w:rsid w:val="00942AE9"/>
    <w:rsid w:val="0095238A"/>
    <w:rsid w:val="0096167B"/>
    <w:rsid w:val="00962200"/>
    <w:rsid w:val="0097229A"/>
    <w:rsid w:val="009742DC"/>
    <w:rsid w:val="00976944"/>
    <w:rsid w:val="00980F95"/>
    <w:rsid w:val="00981031"/>
    <w:rsid w:val="0098120C"/>
    <w:rsid w:val="009847BD"/>
    <w:rsid w:val="00993FFA"/>
    <w:rsid w:val="009A6AC1"/>
    <w:rsid w:val="009B0945"/>
    <w:rsid w:val="009B18ED"/>
    <w:rsid w:val="009B22BE"/>
    <w:rsid w:val="009B3915"/>
    <w:rsid w:val="009C4402"/>
    <w:rsid w:val="009C5ED1"/>
    <w:rsid w:val="009D110A"/>
    <w:rsid w:val="009D1BBB"/>
    <w:rsid w:val="009D268D"/>
    <w:rsid w:val="009D43EF"/>
    <w:rsid w:val="009D71F9"/>
    <w:rsid w:val="009E3D8D"/>
    <w:rsid w:val="009E4BA8"/>
    <w:rsid w:val="009F170B"/>
    <w:rsid w:val="009F54D5"/>
    <w:rsid w:val="009F75F9"/>
    <w:rsid w:val="009F7661"/>
    <w:rsid w:val="00A004AA"/>
    <w:rsid w:val="00A06AB4"/>
    <w:rsid w:val="00A149B1"/>
    <w:rsid w:val="00A17BEE"/>
    <w:rsid w:val="00A2082D"/>
    <w:rsid w:val="00A229E0"/>
    <w:rsid w:val="00A27EC1"/>
    <w:rsid w:val="00A30837"/>
    <w:rsid w:val="00A36173"/>
    <w:rsid w:val="00A439D4"/>
    <w:rsid w:val="00A467E5"/>
    <w:rsid w:val="00A547AE"/>
    <w:rsid w:val="00A555D2"/>
    <w:rsid w:val="00A56931"/>
    <w:rsid w:val="00A5731F"/>
    <w:rsid w:val="00A6335B"/>
    <w:rsid w:val="00A84F01"/>
    <w:rsid w:val="00A909B2"/>
    <w:rsid w:val="00A917E0"/>
    <w:rsid w:val="00A9254D"/>
    <w:rsid w:val="00A96396"/>
    <w:rsid w:val="00AA1F65"/>
    <w:rsid w:val="00AA74F2"/>
    <w:rsid w:val="00AB5486"/>
    <w:rsid w:val="00AC249C"/>
    <w:rsid w:val="00AC6137"/>
    <w:rsid w:val="00AE21FE"/>
    <w:rsid w:val="00AE7D2F"/>
    <w:rsid w:val="00AF16E2"/>
    <w:rsid w:val="00B00312"/>
    <w:rsid w:val="00B0191D"/>
    <w:rsid w:val="00B02CC3"/>
    <w:rsid w:val="00B05582"/>
    <w:rsid w:val="00B07A79"/>
    <w:rsid w:val="00B16CEF"/>
    <w:rsid w:val="00B23964"/>
    <w:rsid w:val="00B27697"/>
    <w:rsid w:val="00B3160C"/>
    <w:rsid w:val="00B3412C"/>
    <w:rsid w:val="00B35F8A"/>
    <w:rsid w:val="00B361BE"/>
    <w:rsid w:val="00B40FB7"/>
    <w:rsid w:val="00B51A87"/>
    <w:rsid w:val="00B60A6B"/>
    <w:rsid w:val="00B652E0"/>
    <w:rsid w:val="00B7724C"/>
    <w:rsid w:val="00B859CD"/>
    <w:rsid w:val="00B86F7A"/>
    <w:rsid w:val="00B9515A"/>
    <w:rsid w:val="00B95F70"/>
    <w:rsid w:val="00B967E0"/>
    <w:rsid w:val="00BB51E5"/>
    <w:rsid w:val="00BB6898"/>
    <w:rsid w:val="00BC28F3"/>
    <w:rsid w:val="00BC4926"/>
    <w:rsid w:val="00BD0E68"/>
    <w:rsid w:val="00BD17BE"/>
    <w:rsid w:val="00BD1E34"/>
    <w:rsid w:val="00BD60ED"/>
    <w:rsid w:val="00BD67F7"/>
    <w:rsid w:val="00BE3052"/>
    <w:rsid w:val="00BE39FB"/>
    <w:rsid w:val="00BF1AA1"/>
    <w:rsid w:val="00BF52BF"/>
    <w:rsid w:val="00BF71DE"/>
    <w:rsid w:val="00C01399"/>
    <w:rsid w:val="00C04EA3"/>
    <w:rsid w:val="00C06ABE"/>
    <w:rsid w:val="00C134E7"/>
    <w:rsid w:val="00C13773"/>
    <w:rsid w:val="00C20836"/>
    <w:rsid w:val="00C21BF9"/>
    <w:rsid w:val="00C3068E"/>
    <w:rsid w:val="00C328F2"/>
    <w:rsid w:val="00C33CC6"/>
    <w:rsid w:val="00C33F50"/>
    <w:rsid w:val="00C35371"/>
    <w:rsid w:val="00C3600E"/>
    <w:rsid w:val="00C3728E"/>
    <w:rsid w:val="00C419DB"/>
    <w:rsid w:val="00C43D28"/>
    <w:rsid w:val="00C452E7"/>
    <w:rsid w:val="00C4752A"/>
    <w:rsid w:val="00C5152B"/>
    <w:rsid w:val="00C534B1"/>
    <w:rsid w:val="00C55144"/>
    <w:rsid w:val="00C55FBE"/>
    <w:rsid w:val="00C646D2"/>
    <w:rsid w:val="00C667D7"/>
    <w:rsid w:val="00C71A29"/>
    <w:rsid w:val="00C90FAD"/>
    <w:rsid w:val="00C92707"/>
    <w:rsid w:val="00C97F87"/>
    <w:rsid w:val="00CB16E2"/>
    <w:rsid w:val="00CC1018"/>
    <w:rsid w:val="00CC4F52"/>
    <w:rsid w:val="00CD01DB"/>
    <w:rsid w:val="00CD0683"/>
    <w:rsid w:val="00CD5768"/>
    <w:rsid w:val="00CD670C"/>
    <w:rsid w:val="00CE5D3E"/>
    <w:rsid w:val="00CF5F6A"/>
    <w:rsid w:val="00D12709"/>
    <w:rsid w:val="00D169E4"/>
    <w:rsid w:val="00D2112D"/>
    <w:rsid w:val="00D21820"/>
    <w:rsid w:val="00D34439"/>
    <w:rsid w:val="00D41280"/>
    <w:rsid w:val="00D44408"/>
    <w:rsid w:val="00D4470D"/>
    <w:rsid w:val="00D518FD"/>
    <w:rsid w:val="00D644EA"/>
    <w:rsid w:val="00D660B0"/>
    <w:rsid w:val="00D75B79"/>
    <w:rsid w:val="00D84C97"/>
    <w:rsid w:val="00D95A99"/>
    <w:rsid w:val="00D95E38"/>
    <w:rsid w:val="00DB25C9"/>
    <w:rsid w:val="00DB4D23"/>
    <w:rsid w:val="00DC0773"/>
    <w:rsid w:val="00DC1CF1"/>
    <w:rsid w:val="00DC322C"/>
    <w:rsid w:val="00DC3B16"/>
    <w:rsid w:val="00DD20AF"/>
    <w:rsid w:val="00DD2AF3"/>
    <w:rsid w:val="00DD5598"/>
    <w:rsid w:val="00DE68B9"/>
    <w:rsid w:val="00E04AD0"/>
    <w:rsid w:val="00E06381"/>
    <w:rsid w:val="00E077EF"/>
    <w:rsid w:val="00E13E44"/>
    <w:rsid w:val="00E21146"/>
    <w:rsid w:val="00E2389C"/>
    <w:rsid w:val="00E242AE"/>
    <w:rsid w:val="00E25555"/>
    <w:rsid w:val="00E27809"/>
    <w:rsid w:val="00E27CF7"/>
    <w:rsid w:val="00E32D0A"/>
    <w:rsid w:val="00E34AF7"/>
    <w:rsid w:val="00E448D9"/>
    <w:rsid w:val="00E4535A"/>
    <w:rsid w:val="00E46391"/>
    <w:rsid w:val="00E5066A"/>
    <w:rsid w:val="00E61D6B"/>
    <w:rsid w:val="00E67000"/>
    <w:rsid w:val="00E71925"/>
    <w:rsid w:val="00E74E89"/>
    <w:rsid w:val="00E75B20"/>
    <w:rsid w:val="00E94260"/>
    <w:rsid w:val="00E94D36"/>
    <w:rsid w:val="00E9641D"/>
    <w:rsid w:val="00EA1245"/>
    <w:rsid w:val="00EA2860"/>
    <w:rsid w:val="00EA3DD4"/>
    <w:rsid w:val="00EB022E"/>
    <w:rsid w:val="00EB2534"/>
    <w:rsid w:val="00EB5155"/>
    <w:rsid w:val="00EB7404"/>
    <w:rsid w:val="00EC2FF1"/>
    <w:rsid w:val="00EC3792"/>
    <w:rsid w:val="00EC4775"/>
    <w:rsid w:val="00ED7A25"/>
    <w:rsid w:val="00EE0481"/>
    <w:rsid w:val="00EE173C"/>
    <w:rsid w:val="00EE2669"/>
    <w:rsid w:val="00EE584F"/>
    <w:rsid w:val="00EE77F0"/>
    <w:rsid w:val="00EF1E43"/>
    <w:rsid w:val="00EF634E"/>
    <w:rsid w:val="00EF6D55"/>
    <w:rsid w:val="00F02C1A"/>
    <w:rsid w:val="00F0418C"/>
    <w:rsid w:val="00F051CB"/>
    <w:rsid w:val="00F12BB6"/>
    <w:rsid w:val="00F164F3"/>
    <w:rsid w:val="00F16B32"/>
    <w:rsid w:val="00F25F4E"/>
    <w:rsid w:val="00F26FC5"/>
    <w:rsid w:val="00F273A3"/>
    <w:rsid w:val="00F310FD"/>
    <w:rsid w:val="00F3367E"/>
    <w:rsid w:val="00F36C7A"/>
    <w:rsid w:val="00F469DF"/>
    <w:rsid w:val="00F53ACE"/>
    <w:rsid w:val="00F60428"/>
    <w:rsid w:val="00F753F0"/>
    <w:rsid w:val="00F805F2"/>
    <w:rsid w:val="00F81865"/>
    <w:rsid w:val="00F81BAA"/>
    <w:rsid w:val="00F84105"/>
    <w:rsid w:val="00F941DB"/>
    <w:rsid w:val="00F965CA"/>
    <w:rsid w:val="00FA1BBF"/>
    <w:rsid w:val="00FB0EEA"/>
    <w:rsid w:val="00FB2954"/>
    <w:rsid w:val="00FB3149"/>
    <w:rsid w:val="00FB474D"/>
    <w:rsid w:val="00FB54F4"/>
    <w:rsid w:val="00FC17C9"/>
    <w:rsid w:val="00FC6B4B"/>
    <w:rsid w:val="00FF5479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C3D"/>
  <w15:docId w15:val="{20B530EA-AA77-4AE0-BA82-894BEAC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44"/>
  </w:style>
  <w:style w:type="paragraph" w:styleId="Heading2">
    <w:name w:val="heading 2"/>
    <w:basedOn w:val="Normal"/>
    <w:link w:val="Heading2Char"/>
    <w:uiPriority w:val="9"/>
    <w:qFormat/>
    <w:rsid w:val="00980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F9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0F95"/>
  </w:style>
  <w:style w:type="character" w:styleId="Hyperlink">
    <w:name w:val="Hyperlink"/>
    <w:basedOn w:val="DefaultParagraphFont"/>
    <w:uiPriority w:val="99"/>
    <w:semiHidden/>
    <w:unhideWhenUsed/>
    <w:rsid w:val="00980F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D268D"/>
    <w:rPr>
      <w:color w:val="808080"/>
    </w:rPr>
  </w:style>
  <w:style w:type="paragraph" w:styleId="ListParagraph">
    <w:name w:val="List Paragraph"/>
    <w:basedOn w:val="Normal"/>
    <w:uiPriority w:val="34"/>
    <w:qFormat/>
    <w:rsid w:val="009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4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19"/>
  </w:style>
  <w:style w:type="paragraph" w:styleId="Footer">
    <w:name w:val="footer"/>
    <w:basedOn w:val="Normal"/>
    <w:link w:val="FooterChar"/>
    <w:uiPriority w:val="99"/>
    <w:unhideWhenUsed/>
    <w:rsid w:val="008024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7AAD-0570-4194-AF51-EE956C15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1488</Words>
  <Characters>8484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 Thomadakis</cp:lastModifiedBy>
  <cp:revision>534</cp:revision>
  <dcterms:created xsi:type="dcterms:W3CDTF">2017-03-15T10:58:00Z</dcterms:created>
  <dcterms:modified xsi:type="dcterms:W3CDTF">2024-07-01T08:03:00Z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5e3d770d429885ea5323b323239b96bd30a96aeb779142e539f163243acc03dc</vt:lpwstr>
  </property>
</Properties>
</file>