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sz w:val="22"/>
        </w:rPr>
        <w:t>CSC1106 Web Programming - Group Project Report</w:t>
      </w:r>
    </w:p>
    <w:p>
      <w:pPr>
        <w:spacing w:after="40"/>
        <w:jc w:val="center"/>
      </w:pPr>
      <w:r>
        <w:rPr>
          <w:b/>
          <w:i w:val="0"/>
          <w:sz w:val="36"/>
        </w:rPr>
        <w:t>FerroBank: a concurrency-safe retail banking platform</w:t>
      </w:r>
    </w:p>
    <w:p>
      <w:pPr>
        <w:spacing w:after="40"/>
        <w:jc w:val="center"/>
      </w:pPr>
      <w:r>
        <w:rPr>
          <w:b w:val="0"/>
          <w:i w:val="0"/>
          <w:sz w:val="20"/>
        </w:rPr>
        <w:t>Rust · Actix Web · PostgreSQL  |  Banking System domain</w:t>
      </w:r>
    </w:p>
    <w:p>
      <w:pPr>
        <w:spacing w:after="40"/>
        <w:jc w:val="center"/>
      </w:pPr>
      <w:r>
        <w:rPr>
          <w:b w:val="0"/>
          <w:i w:val="0"/>
          <w:sz w:val="18"/>
        </w:rPr>
        <w:t>Group g##  ·  Name 1 (SIT ID) · Name 2 (SIT ID) · Name 3 (SIT ID) · Name 4 (SIT ID) · Name 5 (SIT ID)</w:t>
      </w:r>
    </w:p>
    <w:p>
      <w:pPr>
        <w:spacing w:after="200"/>
        <w:jc w:val="center"/>
      </w:pPr>
      <w:r>
        <w:rPr>
          <w:b w:val="0"/>
          <w:i/>
          <w:sz w:val="17"/>
        </w:rPr>
        <w:t>DRAFT for planning only. Rewrite every section in your own words, verify all references, insert screenshots and real member details before submission.</w:t>
      </w:r>
    </w:p>
    <w:p>
      <w:pPr>
        <w:pStyle w:val="Heading1"/>
      </w:pPr>
      <w:r>
        <w:t>1. Introduction and domain analysis</w:t>
      </w:r>
    </w:p>
    <w:p>
      <w:r>
        <w:t>FerroBank is a server-side-rendered (SSR) retail banking platform built with Rust, Actix Web 4, and PostgreSQL 16. It models a bank's day-to-day operations across three roles (customer, teller, admin) with controls drawn from industry practice (Apache Software Foundation, n.d.): maker-checker account approval, four-eyes loan decisions (Basel Committee on Banking Supervision, 1998), out-of-band one-time passwords (OTPs; codes delivered through a separate channel such as the user's phone), transfer limits with cooling-off windows, fraud holds with identity review, login device tracking, and an append-only audit trail.</w:t>
      </w:r>
    </w:p>
    <w:p>
      <w:r>
        <w:t>The specification names a concurrency-safe money transfer engine as the technical heart of the Banking System domain, and we treated it as such: every supporting workflow in FerroBank exists to make that engine demonstrably safe, accountable, and controlled. The domain analysis identified three properties a bank cannot compromise on, and they became our design pillars: money must never be created or destroyed by a race; every state change must be attributable to a person; and no single credential (a password, a phone) should be enough to move funds.</w:t>
      </w:r>
    </w:p>
    <w:p>
      <w:pPr>
        <w:pStyle w:val="Heading1"/>
      </w:pPr>
      <w:r>
        <w:t>2. System architecture and object-oriented programming (OOP) design</w:t>
      </w:r>
    </w:p>
    <w:p>
      <w:r>
        <w:t>FerroBank uses a strict layered architecture. Actix handlers are deliberately thin: they parse the request, call one service method, and render a template. All business rules live behind seven service traits (AuthService, AccountService, TransferService, LoanService, ActionOtpService, AuditService, AdminService). Rust traits are the language's interface mechanism, and consuming them as Arc&lt;dyn Trait&gt; (Arc is Rust's atomically reference-counted shared pointer) gives us the three OOP properties the module asks for: encapsulation (each Postgres implementation owns a private connection pool that no handler can touch), abstraction (handlers depend only on the trait signature), and runtime polymorphism through dynamic dispatch (the Postgres implementations are wired in at startup; mocks or alternative backends can be substituted without touching a handler).</w:t>
      </w:r>
    </w:p>
    <w:p>
      <w:r>
        <w:t>The OtpChannel trait makes substitutability concrete: TelegramOtp delivers codes out-of-band through the Telegram Bot API (application programming interface), while ScreenOtp is the on-screen fallback. The transfer engine never knows which channel it holds. This is also where Rust's ownership model shapes the design: shared state is passed as cheap Arc clones, services own their resources outright, and the compiler proves there are no data races at compile time. Everything is async on the Tokio runtime that Actix Web runs on; every database and network call awaits rather than blocks, so a small number of worker threads can serve many concurrent sessions.</w:t>
      </w:r>
    </w:p>
    <w:p>
      <w:r>
        <w:t>Cross-cutting concerns live in Actix middleware and extractors rather than being repeated in handlers. A CurrentUser extractor (implementing Actix's FromRequest) resolves the session to a typed user; RequireRole guards routes by role, with admin as superuser; and ActivityGuard runs on every authenticated request to log the user id, method and path, enforce a five-minute inactivity time-to-live (TTL) measured on database time, and require customers to link Telegram before using the bank. Session cookie keys are derived from the configured secret plus a per-boot nonce, so sessions cannot outlive the server process. Architecture and sequence diagrams are included in docs/FLOWS.md and the Unified Modeling Language (UML) models in docs/.</w:t>
      </w:r>
    </w:p>
    <w:p>
      <w:pPr>
        <w:spacing w:before="160" w:after="40"/>
        <w:jc w:val="center"/>
        <w:pBdr>
          <w:top w:val="dashSmallGap" w:sz="10" w:space="10" w:color="9DB0C8"/>
          <w:left w:val="dashSmallGap" w:sz="10" w:space="10" w:color="9DB0C8"/>
          <w:bottom w:val="dashSmallGap" w:sz="10" w:space="10" w:color="9DB0C8"/>
          <w:right w:val="dashSmallGap" w:sz="10" w:space="10" w:color="9DB0C8"/>
        </w:pBdr>
        <w:shd w:val="clear" w:color="auto" w:fill="EEF2F7"/>
      </w:pPr>
      <w:r>
        <w:rPr>
          <w:b/>
          <w:color w:val="2F577A"/>
          <w:sz w:val="22"/>
        </w:rPr>
        <w:t>FIGURE 1  ·  PLACEHOLDER</w:t>
        <w:br/>
      </w:r>
      <w:r>
        <w:rPr>
          <w:i/>
          <w:color w:val="333A44"/>
          <w:sz w:val="21"/>
        </w:rPr>
        <w:t>System architecture &amp; request pipeline</w:t>
        <w:br/>
      </w:r>
      <w:r>
        <w:rPr>
          <w:i/>
          <w:color w:val="5E6B80"/>
          <w:sz w:val="19"/>
        </w:rPr>
        <w:t>Browser to middleware to handler (thin) to service trait (thick) to SQLx FOR UPDATE to PostgreSQL</w:t>
        <w:br/>
        <w:br/>
      </w:r>
      <w:r>
        <w:rPr>
          <w:color w:val="808A9C"/>
          <w:sz w:val="18"/>
        </w:rPr>
        <w:t>Insert here  ·  source: docs/FLOWS.md sec 0  ·  docs/slide_diagrams/arch_pipeline.png</w:t>
      </w:r>
    </w:p>
    <w:p>
      <w:pPr>
        <w:spacing w:before="40" w:after="160"/>
        <w:jc w:val="left"/>
      </w:pPr>
      <w:r>
        <w:rPr>
          <w:b/>
          <w:i/>
          <w:color w:val="3A424F"/>
          <w:sz w:val="19"/>
        </w:rPr>
        <w:t xml:space="preserve">Figure 1. </w:t>
      </w:r>
      <w:r>
        <w:rPr>
          <w:i/>
          <w:color w:val="3A424F"/>
          <w:sz w:val="19"/>
        </w:rPr>
        <w:t>Layered architecture: thin handlers, thick service traits over PostgreSQL.</w:t>
      </w:r>
    </w:p>
    <w:p>
      <w:pPr>
        <w:pStyle w:val="Heading1"/>
      </w:pPr>
      <w:r>
        <w:t>3. Database design</w:t>
      </w:r>
    </w:p>
    <w:p>
      <w:r>
        <w:t>PostgreSQL 16 with one migration per module, applied automatically at startup through SQLx: users (structured names, National Registration Identity Card [NRIC] number, Telegram linkage, activity timestamp), login_sessions (per-login device tracking), accounts (balances, per-transfer limits, hold windows), limit_changes and adjustment_requests (delayed and dual-controlled mutations), transfers with transfer_reviews (the on-hold review pipeline) and hashed OTPs, loans with loan_approvals (role-keyed dual control), repayments, action_otps (the generalised OTP guard), blocked_origins, audit_log, and notifications.</w:t>
      </w:r>
    </w:p>
    <w:p>
      <w:r>
        <w:t>Money uses the fixed-precision NUMERIC(18,2) decimal type throughout, mapped to rust_decimal in the application; floating point is never used for currency. Integrity is enforced in the schema itself, not just in code: CHECK constraints keep balances non-negative, a UNIQUE (loan, role) constraint makes the second loan approval physically come from a different role, and triggers block staff-owned accounts and same-owner transfers even if a service-layer bug were introduced. SQLx parameterises every query, so no Structured Query Language (SQL) is ever built by string concatenation. The full entity-relationship (ER) model is in docs/er_diagram.mermaid.</w:t>
      </w:r>
    </w:p>
    <w:p>
      <w:pPr>
        <w:spacing w:before="160" w:after="40"/>
        <w:jc w:val="center"/>
        <w:pBdr>
          <w:top w:val="dashSmallGap" w:sz="10" w:space="10" w:color="9DB0C8"/>
          <w:left w:val="dashSmallGap" w:sz="10" w:space="10" w:color="9DB0C8"/>
          <w:bottom w:val="dashSmallGap" w:sz="10" w:space="10" w:color="9DB0C8"/>
          <w:right w:val="dashSmallGap" w:sz="10" w:space="10" w:color="9DB0C8"/>
        </w:pBdr>
        <w:shd w:val="clear" w:color="auto" w:fill="EEF2F7"/>
      </w:pPr>
      <w:r>
        <w:rPr>
          <w:b/>
          <w:color w:val="2F577A"/>
          <w:sz w:val="22"/>
        </w:rPr>
        <w:t>FIGURE 2  ·  PLACEHOLDER</w:t>
        <w:br/>
      </w:r>
      <w:r>
        <w:rPr>
          <w:i/>
          <w:color w:val="333A44"/>
          <w:sz w:val="21"/>
        </w:rPr>
        <w:t>Entity-relationship diagram (13 tables)</w:t>
        <w:br/>
      </w:r>
      <w:r>
        <w:rPr>
          <w:i/>
          <w:color w:val="5E6B80"/>
          <w:sz w:val="19"/>
        </w:rPr>
        <w:t>users, accounts, transfers, loans, audit_log and related tables with keys and constraints</w:t>
        <w:br/>
        <w:br/>
      </w:r>
      <w:r>
        <w:rPr>
          <w:color w:val="808A9C"/>
          <w:sz w:val="18"/>
        </w:rPr>
        <w:t>Insert here  ·  source: docs/er_diagram.mermaid  ·  docs/slide_diagrams/schema_map.png</w:t>
      </w:r>
    </w:p>
    <w:p>
      <w:pPr>
        <w:spacing w:before="40" w:after="160"/>
        <w:jc w:val="left"/>
      </w:pPr>
      <w:r>
        <w:rPr>
          <w:b/>
          <w:i/>
          <w:color w:val="3A424F"/>
          <w:sz w:val="19"/>
        </w:rPr>
        <w:t xml:space="preserve">Figure 2. </w:t>
      </w:r>
      <w:r>
        <w:rPr>
          <w:i/>
          <w:color w:val="3A424F"/>
          <w:sz w:val="19"/>
        </w:rPr>
        <w:t>Database schema and key relationships, colour-coded by owning module.</w:t>
      </w:r>
    </w:p>
    <w:p>
      <w:pPr>
        <w:pStyle w:val="Heading1"/>
      </w:pPr>
      <w:r>
        <w:t>4. Core features, business logic and security controls</w:t>
      </w:r>
    </w:p>
    <w:p>
      <w:r>
        <w:t>The transfer engine is two-phase. Create validates ownership, sufficient funds (checked first, and recorded as a rejected row when it fails), the per-transfer limit, and an application-level rate limit (a tokio::sync::Mutex, a mutual-exclusion lock, capping each account at five transfers per minute), then parks the transfer with a one-time code hashed using argon2id (a memory-hard password-hashing algorithm designed to resist brute-force attacks). Confirm re-validates everything under SELECT ... FOR UPDATE row locks taken in ascending account-id order (which makes deadlock impossible), then debits, credits, and finalises inside a single transaction with explicit rollback. A blocked second transaction waits on the first's lock, re-reads the real balance, and is rejected if funds no longer suffice; this is the property our concurrency tests and the in-app race demo prove: no overdraft, no lost money, no double spend. Crucially, funds are reserved the moment a transfer is created, not only when it settles. Each account therefore carries two figures: a pending balance (the sum of its outstanding pending and on-hold transfers) and an available balance (the raw balance minus that pending balance). Both create() and the locked confirm() path check every new transfer against the available balance rather than the raw balance, so the same money can never be promised twice. This closes a subtle defect in which a customer could drain an account through fresh transfers while an earlier transfer sat on hold, leaving nothing to settle when staff released it; with reservation in place, a held transfer always still has its funds on release.</w:t>
      </w:r>
    </w:p>
    <w:p>
      <w:pPr>
        <w:spacing w:before="160" w:after="40"/>
        <w:jc w:val="center"/>
        <w:pBdr>
          <w:top w:val="dashSmallGap" w:sz="10" w:space="10" w:color="9DB0C8"/>
          <w:left w:val="dashSmallGap" w:sz="10" w:space="10" w:color="9DB0C8"/>
          <w:bottom w:val="dashSmallGap" w:sz="10" w:space="10" w:color="9DB0C8"/>
          <w:right w:val="dashSmallGap" w:sz="10" w:space="10" w:color="9DB0C8"/>
        </w:pBdr>
        <w:shd w:val="clear" w:color="auto" w:fill="EEF2F7"/>
      </w:pPr>
      <w:r>
        <w:rPr>
          <w:b/>
          <w:color w:val="2F577A"/>
          <w:sz w:val="22"/>
        </w:rPr>
        <w:t>FIGURE 3  ·  PLACEHOLDER</w:t>
        <w:br/>
      </w:r>
      <w:r>
        <w:rPr>
          <w:i/>
          <w:color w:val="333A44"/>
          <w:sz w:val="21"/>
        </w:rPr>
        <w:t>Two-phase transfer + concurrency control</w:t>
        <w:br/>
      </w:r>
      <w:r>
        <w:rPr>
          <w:i/>
          <w:color w:val="5E6B80"/>
          <w:sz w:val="19"/>
        </w:rPr>
        <w:t>create to OTP to confirm under SELECT ... FOR UPDATE (ascending id), with fund reservation</w:t>
        <w:br/>
        <w:br/>
      </w:r>
      <w:r>
        <w:rPr>
          <w:color w:val="808A9C"/>
          <w:sz w:val="18"/>
        </w:rPr>
        <w:t>Insert here  ·  source: docs/FLOWS.md sec 3-4  ·  docs/slide_diagrams/transfer_engine.png, concurrency.png</w:t>
      </w:r>
    </w:p>
    <w:p>
      <w:pPr>
        <w:spacing w:before="40" w:after="160"/>
        <w:jc w:val="left"/>
      </w:pPr>
      <w:r>
        <w:rPr>
          <w:b/>
          <w:i/>
          <w:color w:val="3A424F"/>
          <w:sz w:val="19"/>
        </w:rPr>
        <w:t xml:space="preserve">Figure 3. </w:t>
      </w:r>
      <w:r>
        <w:rPr>
          <w:i/>
          <w:color w:val="3A424F"/>
          <w:sz w:val="19"/>
        </w:rPr>
        <w:t>The concurrency-safe transfer engine: create/confirm, row locks, reservation.</w:t>
      </w:r>
    </w:p>
    <w:p>
      <w:r>
        <w:t>Fraud rules are evaluated under the same locks, so a hold can never race a completion. Transfers of $10,000 or more, structuring patterns (a sub-limit transfer that empties a $5,000+ balance to within $49) (Financial Crimes Enforcement Network, n.d.), draining more than half of a $5,000+ balance, and 4+ transfers within an hour are parked on hold with the money untouched; the customer states a purpose and confirms their NRIC, and staff compare the claim against the NRIC on file before releasing or denying. Three overdraft attempts within 24 hours freeze the account automatically, since probing an unknown balance is a hijack signature.</w:t>
      </w:r>
    </w:p>
    <w:p>
      <w:pPr>
        <w:spacing w:before="160" w:after="40"/>
        <w:jc w:val="center"/>
        <w:pBdr>
          <w:top w:val="dashSmallGap" w:sz="10" w:space="10" w:color="9DB0C8"/>
          <w:left w:val="dashSmallGap" w:sz="10" w:space="10" w:color="9DB0C8"/>
          <w:bottom w:val="dashSmallGap" w:sz="10" w:space="10" w:color="9DB0C8"/>
          <w:right w:val="dashSmallGap" w:sz="10" w:space="10" w:color="9DB0C8"/>
        </w:pBdr>
        <w:shd w:val="clear" w:color="auto" w:fill="EEF2F7"/>
      </w:pPr>
      <w:r>
        <w:rPr>
          <w:b/>
          <w:color w:val="2F577A"/>
          <w:sz w:val="22"/>
        </w:rPr>
        <w:t>FIGURE 4  ·  PLACEHOLDER</w:t>
        <w:br/>
      </w:r>
      <w:r>
        <w:rPr>
          <w:i/>
          <w:color w:val="333A44"/>
          <w:sz w:val="21"/>
        </w:rPr>
        <w:t>Fraud hold &amp; identity review  (optional)</w:t>
        <w:br/>
      </w:r>
      <w:r>
        <w:rPr>
          <w:i/>
          <w:color w:val="5E6B80"/>
          <w:sz w:val="19"/>
        </w:rPr>
        <w:t>rule match to on-hold to purpose + NRIC to staff release/deny; plus hijack auto-freeze</w:t>
        <w:br/>
        <w:br/>
      </w:r>
      <w:r>
        <w:rPr>
          <w:color w:val="808A9C"/>
          <w:sz w:val="18"/>
        </w:rPr>
        <w:t>Insert here  ·  source: docs/FLOWS.md sec 5  ·  docs/slide_diagrams/fraud_hold.png</w:t>
      </w:r>
    </w:p>
    <w:p>
      <w:pPr>
        <w:spacing w:before="40" w:after="160"/>
        <w:jc w:val="left"/>
      </w:pPr>
      <w:r>
        <w:rPr>
          <w:b/>
          <w:i/>
          <w:color w:val="3A424F"/>
          <w:sz w:val="19"/>
        </w:rPr>
        <w:t xml:space="preserve">Figure 4. </w:t>
      </w:r>
      <w:r>
        <w:rPr>
          <w:i/>
          <w:color w:val="3A424F"/>
          <w:sz w:val="19"/>
        </w:rPr>
        <w:t>Fraud hold, identity review, and the 3-strike hijack freeze.</w:t>
      </w:r>
    </w:p>
    <w:p>
      <w:r>
        <w:t>A single one-time-code discipline protects every sensitive action: transfers, account opening, loan applications, limit changes, profile changes, unlinking, and risky logins. Codes are argon2id-hashed at rest, single-use, expire after 10 minutes, and carry a uniform 3-strike budget; the third wrong code cancels the pending action. Authentication is hardened in depth: argon2id password hashing with unique salts (OWASP Foundation, n.d.), identical errors for wrong email and wrong password (no user enumeration), and risk-based step-up login, where a first-seen browser or network must also present a code before any session is created, and three wrong codes block that origin for 24 hours even with the correct password. Every login records the browser family, Internet Protocol (IP) address, and first-seen flags, alerting the owner on anything new; staff get a per-user investigation view combining logins, blocks, accounts and transfers. The Telegram bot's /unlink is delayed 24 hours and cancellable only from a password-backed website session, so a stolen phone cannot silently strip the second factor.</w:t>
      </w:r>
    </w:p>
    <w:p>
      <w:r>
        <w:t>Supporting workflows follow the same dual-control philosophy: maker-checker account opening (customer applies, staff approve), loans that require one teller and one admin approval before principal is disbursed and monthly due dates are scheduled, repayments that debit real funding accounts under lock, customer transfer limits whose increases cool off for 12 hours before applying, and staff balance adjustments where any change beyond $1,000 must be approved by a second person from the other staff role. Every state change writes an append-only audit event, and a graceful shutdown records a forensic snapshot of system totals.</w:t>
      </w:r>
    </w:p>
    <w:p>
      <w:pPr>
        <w:pStyle w:val="Heading1"/>
      </w:pPr>
      <w:r>
        <w:t>5. Frontend and server-side rendering</w:t>
      </w:r>
    </w:p>
    <w:p>
      <w:r>
        <w:t>All pages are rendered server-side with Askama, whose templates are checked at compile time: a typo in a template or a renamed field is a build error, not a runtime 500. Templates share one layout with reusable partials, styled with Tailwind and a dark mode, and output is auto-escaped against cross-site scripting (XSS). Light JavaScript is used only where SSR cannot reach: confirmation modals, toast notifications polled from the server, local-time rendering of held limit changes, and per-item status polls that refresh pending pages the moment staff act, which keeps the demo responsive without a client-side framework.</w:t>
      </w:r>
    </w:p>
    <w:p>
      <w:pPr>
        <w:pStyle w:val="Heading1"/>
      </w:pPr>
      <w:r>
        <w:t>6. Individual contributions and extended features</w:t>
      </w:r>
    </w:p>
    <w:p>
      <w:r>
        <w:t>Each member owned one vertical slice end to end (schema, service, handlers, templates, documentation) plus one extended feature, each independently demonstrable and verifiable in the audit log.</w:t>
      </w:r>
    </w:p>
    <w:tbl>
      <w:tblPr>
        <w:tblStyle w:val="TableGrid"/>
        <w:tblW w:type="auto" w:w="0"/>
        <w:jc w:val="center"/>
        <w:tblLook w:firstColumn="1" w:firstRow="1" w:lastColumn="0" w:lastRow="0" w:noHBand="0" w:noVBand="1" w:val="04A0"/>
      </w:tblPr>
      <w:tblGrid>
        <w:gridCol w:w="3216"/>
        <w:gridCol w:w="3216"/>
        <w:gridCol w:w="3216"/>
      </w:tblGrid>
      <w:tr>
        <w:tc>
          <w:tcPr>
            <w:tcW w:type="dxa" w:w="2160"/>
          </w:tcPr>
          <w:p>
            <w:pPr>
              <w:spacing w:after="40"/>
            </w:pPr>
            <w:r>
              <w:rPr>
                <w:b/>
                <w:sz w:val="18"/>
              </w:rPr>
              <w:t>Member</w:t>
            </w:r>
          </w:p>
        </w:tc>
        <w:tc>
          <w:tcPr>
            <w:tcW w:type="dxa" w:w="3456"/>
          </w:tcPr>
          <w:p>
            <w:pPr>
              <w:spacing w:after="40"/>
            </w:pPr>
            <w:r>
              <w:rPr>
                <w:b/>
                <w:sz w:val="18"/>
              </w:rPr>
              <w:t>Group-work responsibility</w:t>
            </w:r>
          </w:p>
        </w:tc>
        <w:tc>
          <w:tcPr>
            <w:tcW w:type="dxa" w:w="4032"/>
          </w:tcPr>
          <w:p>
            <w:pPr>
              <w:spacing w:after="40"/>
            </w:pPr>
            <w:r>
              <w:rPr>
                <w:b/>
                <w:sz w:val="18"/>
              </w:rPr>
              <w:t>Individual extended feature</w:t>
            </w:r>
          </w:p>
        </w:tc>
      </w:tr>
      <w:tr>
        <w:tc>
          <w:tcPr>
            <w:tcW w:type="dxa" w:w="2160"/>
          </w:tcPr>
          <w:p>
            <w:pPr>
              <w:spacing w:after="40"/>
            </w:pPr>
            <w:r>
              <w:rPr>
                <w:sz w:val="18"/>
              </w:rPr>
              <w:t>Name 1 (SIT ID)</w:t>
            </w:r>
          </w:p>
        </w:tc>
        <w:tc>
          <w:tcPr>
            <w:tcW w:type="dxa" w:w="3456"/>
          </w:tcPr>
          <w:p>
            <w:pPr>
              <w:spacing w:after="40"/>
            </w:pPr>
            <w:r>
              <w:rPr>
                <w:sz w:val="18"/>
              </w:rPr>
              <w:t>Platform, middleware, admin module, audit log</w:t>
            </w:r>
          </w:p>
        </w:tc>
        <w:tc>
          <w:tcPr>
            <w:tcW w:type="dxa" w:w="4032"/>
          </w:tcPr>
          <w:p>
            <w:pPr>
              <w:spacing w:after="40"/>
            </w:pPr>
            <w:r>
              <w:rPr>
                <w:sz w:val="18"/>
              </w:rPr>
              <w:t>Admin dashboard with rule-based fraud detection, the held-transfer review queue, and the per-user activity view</w:t>
            </w:r>
          </w:p>
        </w:tc>
      </w:tr>
      <w:tr>
        <w:tc>
          <w:tcPr>
            <w:tcW w:type="dxa" w:w="2160"/>
          </w:tcPr>
          <w:p>
            <w:pPr>
              <w:spacing w:after="40"/>
            </w:pPr>
            <w:r>
              <w:rPr>
                <w:sz w:val="18"/>
              </w:rPr>
              <w:t>Name 2 (SIT ID)</w:t>
            </w:r>
          </w:p>
        </w:tc>
        <w:tc>
          <w:tcPr>
            <w:tcW w:type="dxa" w:w="3456"/>
          </w:tcPr>
          <w:p>
            <w:pPr>
              <w:spacing w:after="40"/>
            </w:pPr>
            <w:r>
              <w:rPr>
                <w:sz w:val="18"/>
              </w:rPr>
              <w:t>Authentication, sessions, profile settings</w:t>
            </w:r>
          </w:p>
        </w:tc>
        <w:tc>
          <w:tcPr>
            <w:tcW w:type="dxa" w:w="4032"/>
          </w:tcPr>
          <w:p>
            <w:pPr>
              <w:spacing w:after="40"/>
            </w:pPr>
            <w:r>
              <w:rPr>
                <w:sz w:val="18"/>
              </w:rPr>
              <w:t>The identity stack: mandatory Telegram linking, out-of-band OTP delivery, bot commands, and login device tracking with new-device/new-network alerts and step-up login</w:t>
            </w:r>
          </w:p>
        </w:tc>
      </w:tr>
      <w:tr>
        <w:tc>
          <w:tcPr>
            <w:tcW w:type="dxa" w:w="2160"/>
          </w:tcPr>
          <w:p>
            <w:pPr>
              <w:spacing w:after="40"/>
            </w:pPr>
            <w:r>
              <w:rPr>
                <w:sz w:val="18"/>
              </w:rPr>
              <w:t>Name 3 (SIT ID)</w:t>
            </w:r>
          </w:p>
        </w:tc>
        <w:tc>
          <w:tcPr>
            <w:tcW w:type="dxa" w:w="3456"/>
          </w:tcPr>
          <w:p>
            <w:pPr>
              <w:spacing w:after="40"/>
            </w:pPr>
            <w:r>
              <w:rPr>
                <w:sz w:val="18"/>
              </w:rPr>
              <w:t>Accounts module, staff account tooling</w:t>
            </w:r>
          </w:p>
        </w:tc>
        <w:tc>
          <w:tcPr>
            <w:tcW w:type="dxa" w:w="4032"/>
          </w:tcPr>
          <w:p>
            <w:pPr>
              <w:spacing w:after="40"/>
            </w:pPr>
            <w:r>
              <w:rPr>
                <w:sz w:val="18"/>
              </w:rPr>
              <w:t>Account lifecycle controls: approval workflow, transfer limits with held increases, and dual-control balance adjustments</w:t>
            </w:r>
          </w:p>
        </w:tc>
      </w:tr>
      <w:tr>
        <w:tc>
          <w:tcPr>
            <w:tcW w:type="dxa" w:w="2160"/>
          </w:tcPr>
          <w:p>
            <w:pPr>
              <w:spacing w:after="40"/>
            </w:pPr>
            <w:r>
              <w:rPr>
                <w:sz w:val="18"/>
              </w:rPr>
              <w:t>Name 4 (SIT ID)</w:t>
            </w:r>
          </w:p>
        </w:tc>
        <w:tc>
          <w:tcPr>
            <w:tcW w:type="dxa" w:w="3456"/>
          </w:tcPr>
          <w:p>
            <w:pPr>
              <w:spacing w:after="40"/>
            </w:pPr>
            <w:r>
              <w:rPr>
                <w:sz w:val="18"/>
              </w:rPr>
              <w:t>Transfer module, OTP guard, notifications</w:t>
            </w:r>
          </w:p>
        </w:tc>
        <w:tc>
          <w:tcPr>
            <w:tcW w:type="dxa" w:w="4032"/>
          </w:tcPr>
          <w:p>
            <w:pPr>
              <w:spacing w:after="40"/>
            </w:pPr>
            <w:r>
              <w:rPr>
                <w:sz w:val="18"/>
              </w:rPr>
              <w:t>The concurrency-safe transfer engine plus the race-demo lab and integration tests proving no overdraft, no loss, and no double spend</w:t>
            </w:r>
          </w:p>
        </w:tc>
      </w:tr>
      <w:tr>
        <w:tc>
          <w:tcPr>
            <w:tcW w:type="dxa" w:w="2160"/>
          </w:tcPr>
          <w:p>
            <w:pPr>
              <w:spacing w:after="40"/>
            </w:pPr>
            <w:r>
              <w:rPr>
                <w:sz w:val="18"/>
              </w:rPr>
              <w:t>Name 5 (SIT ID)</w:t>
            </w:r>
          </w:p>
        </w:tc>
        <w:tc>
          <w:tcPr>
            <w:tcW w:type="dxa" w:w="3456"/>
          </w:tcPr>
          <w:p>
            <w:pPr>
              <w:spacing w:after="40"/>
            </w:pPr>
            <w:r>
              <w:rPr>
                <w:sz w:val="18"/>
              </w:rPr>
              <w:t>Loans and repayments, seed data, deployment</w:t>
            </w:r>
          </w:p>
        </w:tc>
        <w:tc>
          <w:tcPr>
            <w:tcW w:type="dxa" w:w="4032"/>
          </w:tcPr>
          <w:p>
            <w:pPr>
              <w:spacing w:after="40"/>
            </w:pPr>
            <w:r>
              <w:rPr>
                <w:sz w:val="18"/>
              </w:rPr>
              <w:t>The loan lifecycle: dual approval, disbursement to a chosen account, due-date scheduling, and repayments</w:t>
            </w:r>
          </w:p>
        </w:tc>
      </w:tr>
    </w:tbl>
    <w:p>
      <w:pPr>
        <w:pStyle w:val="Heading1"/>
      </w:pPr>
      <w:r>
        <w:t>7. Testing, limitations and future work</w:t>
      </w:r>
    </w:p>
    <w:p>
      <w:r>
        <w:t>Unit tests cover the interest mathematics; database-gated integration tests prove the engine's invariants under genuine concurrency (five simultaneous transfers against an insufficient balance, and a replayed double confirm) and verify the shutdown snapshot. The same race is reproducible interactively in the admin race demo. Limitations are stated honestly: the development deployment terminates no Transport Layer Security (TLS), NRIC is stored in plaintext, password attempts from known origins are not throttled, sessions are cookie-based rather than server-side, loans use simple interest, and Telegram stands in for the short message service (SMS). Future work: an SmsOtp implementation of OtpChannel, statement export, scheduled rather than lazy maturation of limit changes, and a staff-configurable threshold for dual-control adjustments.</w:t>
      </w:r>
    </w:p>
    <w:p>
      <w:pPr>
        <w:pStyle w:val="Heading1"/>
      </w:pPr>
      <w:r>
        <w:t>8. Conclusion</w:t>
      </w:r>
    </w:p>
    <w:p>
      <w:r>
        <w:t>FerroBank shows the Banking System domain implemented with real engineering substance: a provably safe money engine, object-oriented design that earns its keep through trait-based polymorphism, a schema that enforces its own invariants, and layered security controls that mirror how banks actually operate.</w:t>
      </w:r>
    </w:p>
    <w:p>
      <w:pPr>
        <w:pStyle w:val="Heading1"/>
      </w:pPr>
      <w:r>
        <w:t>Appendix A. Where each marking criterion is evidenced</w:t>
      </w:r>
    </w:p>
    <w:tbl>
      <w:tblPr>
        <w:tblStyle w:val="TableGrid"/>
        <w:tblW w:type="auto" w:w="0"/>
        <w:tblLook w:firstColumn="1" w:firstRow="1" w:lastColumn="0" w:lastRow="0" w:noHBand="0" w:noVBand="1" w:val="04A0"/>
      </w:tblPr>
      <w:tblGrid>
        <w:gridCol w:w="4824"/>
        <w:gridCol w:w="4824"/>
      </w:tblGrid>
      <w:tr>
        <w:tc>
          <w:tcPr>
            <w:tcW w:type="dxa" w:w="3168"/>
          </w:tcPr>
          <w:p>
            <w:pPr>
              <w:spacing w:after="40"/>
            </w:pPr>
            <w:r>
              <w:rPr>
                <w:b/>
                <w:sz w:val="18"/>
              </w:rPr>
              <w:t>Criterion</w:t>
            </w:r>
          </w:p>
        </w:tc>
        <w:tc>
          <w:tcPr>
            <w:tcW w:type="dxa" w:w="6480"/>
          </w:tcPr>
          <w:p>
            <w:pPr>
              <w:spacing w:after="40"/>
            </w:pPr>
            <w:r>
              <w:rPr>
                <w:b/>
                <w:sz w:val="18"/>
              </w:rPr>
              <w:t>Where it is demonstrated</w:t>
            </w:r>
          </w:p>
        </w:tc>
      </w:tr>
      <w:tr>
        <w:tc>
          <w:tcPr>
            <w:tcW w:type="dxa" w:w="3168"/>
          </w:tcPr>
          <w:p>
            <w:pPr>
              <w:spacing w:after="40"/>
            </w:pPr>
            <w:r>
              <w:rPr>
                <w:sz w:val="18"/>
              </w:rPr>
              <w:t>System architecture &amp; OOP design (15%)</w:t>
            </w:r>
          </w:p>
        </w:tc>
        <w:tc>
          <w:tcPr>
            <w:tcW w:type="dxa" w:w="6480"/>
          </w:tcPr>
          <w:p>
            <w:pPr>
              <w:spacing w:after="40"/>
            </w:pPr>
            <w:r>
              <w:rPr>
                <w:sz w:val="18"/>
              </w:rPr>
              <w:t>Section 2: layered handlers/services, the seven traits as Arc&lt;dyn Trait&gt;, OtpChannel polymorphism, middleware and extractors; docs/uml_service_architecture.mermaid</w:t>
            </w:r>
          </w:p>
        </w:tc>
      </w:tr>
      <w:tr>
        <w:tc>
          <w:tcPr>
            <w:tcW w:type="dxa" w:w="3168"/>
          </w:tcPr>
          <w:p>
            <w:pPr>
              <w:spacing w:after="40"/>
            </w:pPr>
            <w:r>
              <w:rPr>
                <w:sz w:val="18"/>
              </w:rPr>
              <w:t>Backend &amp; business logic (15%)</w:t>
            </w:r>
          </w:p>
        </w:tc>
        <w:tc>
          <w:tcPr>
            <w:tcW w:type="dxa" w:w="6480"/>
          </w:tcPr>
          <w:p>
            <w:pPr>
              <w:spacing w:after="40"/>
            </w:pPr>
            <w:r>
              <w:t>Section 4: two-phase transfer engine, FOR UPDATE locking in ascending id order, fund reservation (available vs pending balance), fraud rules under lock, dual-control workflows, rate limiting; tests/transfer_concurrency.rs</w:t>
            </w:r>
          </w:p>
        </w:tc>
      </w:tr>
      <w:tr>
        <w:tc>
          <w:tcPr>
            <w:tcW w:type="dxa" w:w="3168"/>
          </w:tcPr>
          <w:p>
            <w:pPr>
              <w:spacing w:after="40"/>
            </w:pPr>
            <w:r>
              <w:rPr>
                <w:sz w:val="18"/>
              </w:rPr>
              <w:t>Database design (10%)</w:t>
            </w:r>
          </w:p>
        </w:tc>
        <w:tc>
          <w:tcPr>
            <w:tcW w:type="dxa" w:w="6480"/>
          </w:tcPr>
          <w:p>
            <w:pPr>
              <w:spacing w:after="40"/>
            </w:pPr>
            <w:r>
              <w:rPr>
                <w:sz w:val="18"/>
              </w:rPr>
              <w:t>Section 3: normalised schema, NUMERIC money, CHECK/UNIQUE/trigger enforcement, SQLx migrations; docs/er_diagram.mermaid</w:t>
            </w:r>
          </w:p>
        </w:tc>
      </w:tr>
      <w:tr>
        <w:tc>
          <w:tcPr>
            <w:tcW w:type="dxa" w:w="3168"/>
          </w:tcPr>
          <w:p>
            <w:pPr>
              <w:spacing w:after="40"/>
            </w:pPr>
            <w:r>
              <w:rPr>
                <w:sz w:val="18"/>
              </w:rPr>
              <w:t>Frontend &amp; SSR (10%)</w:t>
            </w:r>
          </w:p>
        </w:tc>
        <w:tc>
          <w:tcPr>
            <w:tcW w:type="dxa" w:w="6480"/>
          </w:tcPr>
          <w:p>
            <w:pPr>
              <w:spacing w:after="40"/>
            </w:pPr>
            <w:r>
              <w:rPr>
                <w:sz w:val="18"/>
              </w:rPr>
              <w:t>Section 5: compile-time Askama templates, shared layout and partials, auto-escaping, minimal progressive JS</w:t>
            </w:r>
          </w:p>
        </w:tc>
      </w:tr>
      <w:tr>
        <w:tc>
          <w:tcPr>
            <w:tcW w:type="dxa" w:w="3168"/>
          </w:tcPr>
          <w:p>
            <w:pPr>
              <w:spacing w:after="40"/>
            </w:pPr>
            <w:r>
              <w:rPr>
                <w:sz w:val="18"/>
              </w:rPr>
              <w:t>Documentation (10%)</w:t>
            </w:r>
          </w:p>
        </w:tc>
        <w:tc>
          <w:tcPr>
            <w:tcW w:type="dxa" w:w="6480"/>
          </w:tcPr>
          <w:p>
            <w:pPr>
              <w:spacing w:after="40"/>
            </w:pPr>
            <w:r>
              <w:rPr>
                <w:sz w:val="18"/>
              </w:rPr>
              <w:t>README, docs/ARCHITECTURE.md, docs/FLOWS.md sequence diagrams, UML and ER models, demo scenarios and runsheet</w:t>
            </w:r>
          </w:p>
        </w:tc>
      </w:tr>
      <w:tr>
        <w:tc>
          <w:tcPr>
            <w:tcW w:type="dxa" w:w="3168"/>
          </w:tcPr>
          <w:p>
            <w:pPr>
              <w:spacing w:after="40"/>
            </w:pPr>
            <w:r>
              <w:rPr>
                <w:sz w:val="18"/>
              </w:rPr>
              <w:t>Individual contribution (40%)</w:t>
            </w:r>
          </w:p>
        </w:tc>
        <w:tc>
          <w:tcPr>
            <w:tcW w:type="dxa" w:w="6480"/>
          </w:tcPr>
          <w:p>
            <w:pPr>
              <w:spacing w:after="40"/>
            </w:pPr>
            <w:r>
              <w:rPr>
                <w:sz w:val="18"/>
              </w:rPr>
              <w:t>Section 6 table; each extended feature is independently demonstrable (docs/DEMO_SCENARIOS.md) and attributable in the audit log</w:t>
            </w:r>
          </w:p>
        </w:tc>
      </w:tr>
    </w:tbl>
    <w:p>
      <w:pPr>
        <w:pStyle w:val="Heading1"/>
      </w:pPr>
      <w:r>
        <w:t>References</w:t>
      </w:r>
    </w:p>
    <w:p>
      <w:pPr>
        <w:pStyle w:val="ListNumber"/>
        <w:spacing w:after="80"/>
        <w:ind w:left="720" w:hanging="720"/>
      </w:pPr>
      <w:r>
        <w:t xml:space="preserve">Apache Software Foundation. (n.d.). </w:t>
      </w:r>
      <w:r>
        <w:rPr>
          <w:i/>
        </w:rPr>
        <w:t>Apache Fineract</w:t>
      </w:r>
      <w:r>
        <w:t>. Retrieved from https://fineract.apache.org/</w:t>
      </w:r>
    </w:p>
    <w:p>
      <w:pPr>
        <w:pStyle w:val="ListNumber"/>
        <w:spacing w:after="80"/>
        <w:ind w:left="720" w:hanging="720"/>
      </w:pPr>
      <w:r>
        <w:t xml:space="preserve">Basel Committee on Banking Supervision. (1998). </w:t>
      </w:r>
      <w:r>
        <w:rPr>
          <w:i/>
        </w:rPr>
        <w:t>Framework for internal control systems in banking organisations</w:t>
      </w:r>
      <w:r>
        <w:t>. Bank for International Settlements. Retrieved from https://www.bis.org/publ/bcbs40.htm</w:t>
      </w:r>
    </w:p>
    <w:p>
      <w:pPr>
        <w:pStyle w:val="ListNumber"/>
        <w:spacing w:after="80"/>
        <w:ind w:left="720" w:hanging="720"/>
      </w:pPr>
      <w:r>
        <w:t xml:space="preserve">Financial Crimes Enforcement Network. (n.d.). </w:t>
      </w:r>
      <w:r>
        <w:rPr>
          <w:i/>
        </w:rPr>
        <w:t>Structuring</w:t>
      </w:r>
      <w:r>
        <w:t>. U.S. Department of the Treasury. Retrieved from https://www.fincen.gov/</w:t>
      </w:r>
    </w:p>
    <w:p>
      <w:pPr>
        <w:pStyle w:val="ListNumber"/>
        <w:spacing w:after="80"/>
        <w:ind w:left="720" w:hanging="720"/>
      </w:pPr>
      <w:r>
        <w:t xml:space="preserve">OWASP Foundation. (n.d.). </w:t>
      </w:r>
      <w:r>
        <w:rPr>
          <w:i/>
        </w:rPr>
        <w:t>Password storage cheat sheet</w:t>
      </w:r>
      <w:r>
        <w:t>. OWASP Cheat Sheet Series. Retrieved from https://cheatsheetseries.owasp.org/cheatsheets/Password_Storage_Cheat_Sheet.html</w:t>
      </w:r>
    </w:p>
    <w:p>
      <w:r>
        <w:t>Note: references are formatted in APA style with author-date in-text citations. Verify each web address (URL) and add retrieval dates per your APA edition before submission.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