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32"/>
        </w:rPr>
        <w:t>INF2003 Database Systems</w:t>
      </w:r>
    </w:p>
    <w:p>
      <w:pPr>
        <w:spacing w:after="40"/>
        <w:jc w:val="center"/>
      </w:pPr>
      <w:r>
        <w:rPr>
          <w:b/>
          <w:i w:val="0"/>
          <w:sz w:val="26"/>
        </w:rPr>
        <w:t>Proposal &amp; Progress Report - Group GXX</w:t>
      </w:r>
    </w:p>
    <w:p>
      <w:pPr>
        <w:spacing w:after="40"/>
        <w:jc w:val="center"/>
      </w:pPr>
      <w:r>
        <w:rPr>
          <w:b w:val="0"/>
          <w:i/>
          <w:sz w:val="22"/>
        </w:rPr>
        <w:t>Project: GigTrack - a live-music discovery &amp; ticketing companion</w:t>
      </w:r>
    </w:p>
    <w:p>
      <w:pPr>
        <w:spacing w:after="200"/>
        <w:jc w:val="center"/>
      </w:pPr>
      <w:r>
        <w:rPr>
          <w:b w:val="0"/>
          <w:i w:val="0"/>
          <w:sz w:val="19"/>
        </w:rPr>
        <w:t>Team: Member 1 (lead) · Member 2 · Member 3 · Member 4 · Member 5 · Member 6        Date: 12 June 2026</w:t>
      </w:r>
    </w:p>
    <w:p>
      <w:pPr>
        <w:pStyle w:val="Heading1"/>
      </w:pPr>
      <w:r>
        <w:t>1. Application and Motivation</w:t>
      </w:r>
    </w:p>
    <w:p>
      <w:pPr>
        <w:spacing w:after="120"/>
      </w:pPr>
      <w:r>
        <w:rPr>
          <w:b w:val="0"/>
          <w:i w:val="0"/>
        </w:rPr>
        <w:t>GigTrack is a Ticketmaster-style web application for discovering live music, booking tickets, and reliving shows through fan-sourced setlists, reviews, and photos. Concert-goers today juggle separate platforms for ticket purchase, lineup information, and post-show discussion; GigTrack unifies these into one application with two user roles: customers, who browse and filter concerts, book up to six tickets per show, follow artists, and post photo reviews; and administrators, who manage the catalogue (concerts, ticket tiers, venues, artists), bookings, and user accounts through a dedicated dashboard.</w:t>
      </w:r>
    </w:p>
    <w:p>
      <w:pPr>
        <w:spacing w:after="120"/>
      </w:pPr>
      <w:r>
        <w:rPr>
          <w:b w:val="0"/>
          <w:i w:val="0"/>
        </w:rPr>
        <w:t>The domain is a natural fit for the module because its data is genuinely heterogeneous. Ticket inventory and money demand ACID transactions and strict integrity, which suits a relational store. Setlists and reviews are variable-shaped (optional encores, differing tags, zero-to-many photos) and would be painful to normalise, which suits a document store. Hot listing pages and session tokens benefit from an in-memory cache, and image bytes belong in object storage rather than a database. GigTrack therefore uses MySQL (relational core), MongoDB (documents), Redis (cache/sessions), and MinIO (S3-compatible object storage), each for what it does best - and lets us contrast SQL and NoSQL modelling and querying on one dataset, directly addressing the project brief.</w:t>
      </w:r>
    </w:p>
    <w:p>
      <w:pPr>
        <w:pStyle w:val="Heading1"/>
      </w:pPr>
      <w:r>
        <w:t>2. Data and Datasets</w:t>
      </w:r>
    </w:p>
    <w:p>
      <w:pPr>
        <w:spacing w:after="120"/>
      </w:pPr>
      <w:r>
        <w:rPr>
          <w:b w:val="0"/>
          <w:i w:val="0"/>
        </w:rPr>
        <w:t>We currently use a deterministic synthetic dataset produced by a generator script (fixed RNG seed, so every team member and marker reseeds identical data). It is shaped like real ticketing data: 21 users, 30 artists, 15 real-world venues (e.g., National Stadium Singapore, Tokyo Dome, The O2) across 8 cities, 50 concerts, 116 ticket tiers, ~176 confirmed bookings, and 220 artist follows in MySQL; plus ~25 setlists, 220 reviews, and 30 artist bios in MongoDB. The generator respects all database business rules (seat availability, the VIP-pricing rule, and the 6-tickets-per-customer quota), so the seeded state is consistent with what the application could itself have produced. The MySQL and MongoDB seeds share entity counts so integer IDs act as logical foreign keys across the two stores.</w:t>
      </w:r>
    </w:p>
    <w:p>
      <w:pPr>
        <w:spacing w:after="120"/>
      </w:pPr>
      <w:r>
        <w:rPr>
          <w:b w:val="0"/>
          <w:i w:val="0"/>
        </w:rPr>
        <w:t>Before the final submission we plan to enrich this with a real public dataset - candidate sources are Kaggle concert/setlist datasets and data.gov.sg event listings - imported through the same generator pipeline so constraints remain enforced. Synthetic-first was a deliberate pacing choice: it let us finish schema design, triggers, and the application early instead of fighting data cleaning in week one.</w:t>
      </w:r>
    </w:p>
    <w:p>
      <w:pPr>
        <w:pStyle w:val="Heading1"/>
      </w:pPr>
      <w:r>
        <w:t>3. Database Design</w:t>
      </w:r>
    </w:p>
    <w:p>
      <w:pPr>
        <w:pStyle w:val="Heading2"/>
      </w:pPr>
      <w:r>
        <w:t>3.1 Relational component (MySQL 8)</w:t>
      </w:r>
    </w:p>
    <w:p>
      <w:pPr>
        <w:spacing w:after="80"/>
      </w:pPr>
      <w:r>
        <w:rPr>
          <w:b w:val="0"/>
          <w:i w:val="0"/>
        </w:rPr>
        <w:t>The ER model has 8 tables and exercises every relationship kind required by the brief: one-to-many (venue→concerts, artist→concerts, ticket→bookings, user→bookings) and two many-to-many junctions (concert_artists for festival lineups with slot order and role; follows for user–artist following). Data types span strings, integers, DECIMAL money, DATETIME, ENUM statuses, and boolean flags.</w:t>
      </w:r>
    </w:p>
    <w:tbl>
      <w:tblPr>
        <w:tblStyle w:val="TableGrid"/>
        <w:tblW w:type="auto" w:w="0"/>
        <w:jc w:val="center"/>
        <w:tblLayout w:type="fixed"/>
        <w:tblLook w:firstColumn="1" w:firstRow="1" w:lastColumn="0" w:lastRow="0" w:noHBand="0" w:noVBand="1" w:val="04A0"/>
      </w:tblPr>
      <w:tblGrid>
        <w:gridCol w:w="4824"/>
        <w:gridCol w:w="4824"/>
      </w:tblGrid>
      <w:tr>
        <w:tc>
          <w:tcPr>
            <w:tcW w:type="dxa" w:w="1872"/>
            <w:shd w:val="clear" w:fill="D5E8F0"/>
          </w:tcPr>
          <w:p>
            <w:pPr>
              <w:spacing w:after="40"/>
            </w:pPr>
            <w:r>
              <w:rPr>
                <w:b/>
                <w:sz w:val="19"/>
              </w:rPr>
              <w:t>Table</w:t>
            </w:r>
          </w:p>
        </w:tc>
        <w:tc>
          <w:tcPr>
            <w:tcW w:type="dxa" w:w="7776"/>
            <w:shd w:val="clear" w:fill="D5E8F0"/>
          </w:tcPr>
          <w:p>
            <w:pPr>
              <w:spacing w:after="40"/>
            </w:pPr>
            <w:r>
              <w:rPr>
                <w:b/>
                <w:sz w:val="19"/>
              </w:rPr>
              <w:t>Purpose / key design points</w:t>
            </w:r>
          </w:p>
        </w:tc>
      </w:tr>
      <w:tr>
        <w:tc>
          <w:tcPr>
            <w:tcW w:type="dxa" w:w="1872"/>
          </w:tcPr>
          <w:p>
            <w:pPr>
              <w:spacing w:after="40"/>
            </w:pPr>
            <w:r>
              <w:rPr>
                <w:sz w:val="19"/>
              </w:rPr>
              <w:t>users</w:t>
            </w:r>
          </w:p>
        </w:tc>
        <w:tc>
          <w:tcPr>
            <w:tcW w:type="dxa" w:w="7776"/>
          </w:tcPr>
          <w:p>
            <w:pPr>
              <w:spacing w:after="40"/>
            </w:pPr>
            <w:r>
              <w:rPr>
                <w:sz w:val="19"/>
              </w:rPr>
              <w:t>Accounts; UNIQUE username/email, bcrypt hash, is_admin / is_active flags</w:t>
            </w:r>
          </w:p>
        </w:tc>
      </w:tr>
      <w:tr>
        <w:tc>
          <w:tcPr>
            <w:tcW w:type="dxa" w:w="1872"/>
          </w:tcPr>
          <w:p>
            <w:pPr>
              <w:spacing w:after="40"/>
            </w:pPr>
            <w:r>
              <w:rPr>
                <w:sz w:val="19"/>
              </w:rPr>
              <w:t>artists</w:t>
            </w:r>
          </w:p>
        </w:tc>
        <w:tc>
          <w:tcPr>
            <w:tcW w:type="dxa" w:w="7776"/>
          </w:tcPr>
          <w:p>
            <w:pPr>
              <w:spacing w:after="40"/>
            </w:pPr>
            <w:r>
              <w:rPr>
                <w:sz w:val="19"/>
              </w:rPr>
              <w:t>Catalogue; genre + name indexes; image_url points at object storage</w:t>
            </w:r>
          </w:p>
        </w:tc>
      </w:tr>
      <w:tr>
        <w:tc>
          <w:tcPr>
            <w:tcW w:type="dxa" w:w="1872"/>
          </w:tcPr>
          <w:p>
            <w:pPr>
              <w:spacing w:after="40"/>
            </w:pPr>
            <w:r>
              <w:rPr>
                <w:sz w:val="19"/>
              </w:rPr>
              <w:t>venues</w:t>
            </w:r>
          </w:p>
        </w:tc>
        <w:tc>
          <w:tcPr>
            <w:tcW w:type="dxa" w:w="7776"/>
          </w:tcPr>
          <w:p>
            <w:pPr>
              <w:spacing w:after="40"/>
            </w:pPr>
            <w:r>
              <w:rPr>
                <w:sz w:val="19"/>
              </w:rPr>
              <w:t>City/country/capacity; city index drives the browse filter</w:t>
            </w:r>
          </w:p>
        </w:tc>
      </w:tr>
      <w:tr>
        <w:tc>
          <w:tcPr>
            <w:tcW w:type="dxa" w:w="1872"/>
          </w:tcPr>
          <w:p>
            <w:pPr>
              <w:spacing w:after="40"/>
            </w:pPr>
            <w:r>
              <w:rPr>
                <w:sz w:val="19"/>
              </w:rPr>
              <w:t>concerts</w:t>
            </w:r>
          </w:p>
        </w:tc>
        <w:tc>
          <w:tcPr>
            <w:tcW w:type="dxa" w:w="7776"/>
          </w:tcPr>
          <w:p>
            <w:pPr>
              <w:spacing w:after="40"/>
            </w:pPr>
            <w:r>
              <w:rPr>
                <w:sz w:val="19"/>
              </w:rPr>
              <w:t>FKs to venue + headline artist; ENUM status; composite (status, concert_date) index</w:t>
            </w:r>
          </w:p>
        </w:tc>
      </w:tr>
      <w:tr>
        <w:tc>
          <w:tcPr>
            <w:tcW w:type="dxa" w:w="1872"/>
          </w:tcPr>
          <w:p>
            <w:pPr>
              <w:spacing w:after="40"/>
            </w:pPr>
            <w:r>
              <w:rPr>
                <w:sz w:val="19"/>
              </w:rPr>
              <w:t>concert_artists</w:t>
            </w:r>
          </w:p>
        </w:tc>
        <w:tc>
          <w:tcPr>
            <w:tcW w:type="dxa" w:w="7776"/>
          </w:tcPr>
          <w:p>
            <w:pPr>
              <w:spacing w:after="40"/>
            </w:pPr>
            <w:r>
              <w:rPr>
                <w:sz w:val="19"/>
              </w:rPr>
              <w:t>M:N junction - lineup slots with order and role; cascade on concert delete</w:t>
            </w:r>
          </w:p>
        </w:tc>
      </w:tr>
      <w:tr>
        <w:tc>
          <w:tcPr>
            <w:tcW w:type="dxa" w:w="1872"/>
          </w:tcPr>
          <w:p>
            <w:pPr>
              <w:spacing w:after="40"/>
            </w:pPr>
            <w:r>
              <w:rPr>
                <w:sz w:val="19"/>
              </w:rPr>
              <w:t>tickets</w:t>
            </w:r>
          </w:p>
        </w:tc>
        <w:tc>
          <w:tcPr>
            <w:tcW w:type="dxa" w:w="7776"/>
          </w:tcPr>
          <w:p>
            <w:pPr>
              <w:spacing w:after="40"/>
            </w:pPr>
            <w:r>
              <w:rPr>
                <w:sz w:val="19"/>
              </w:rPr>
              <w:t>Tiers per concert; CHECK (available_seats &gt;= 0 AND &lt;= total_seats)</w:t>
            </w:r>
          </w:p>
        </w:tc>
      </w:tr>
      <w:tr>
        <w:tc>
          <w:tcPr>
            <w:tcW w:type="dxa" w:w="1872"/>
          </w:tcPr>
          <w:p>
            <w:pPr>
              <w:spacing w:after="40"/>
            </w:pPr>
            <w:r>
              <w:rPr>
                <w:sz w:val="19"/>
              </w:rPr>
              <w:t>bookings</w:t>
            </w:r>
          </w:p>
        </w:tc>
        <w:tc>
          <w:tcPr>
            <w:tcW w:type="dxa" w:w="7776"/>
          </w:tcPr>
          <w:p>
            <w:pPr>
              <w:spacing w:after="40"/>
            </w:pPr>
            <w:r>
              <w:rPr>
                <w:sz w:val="19"/>
              </w:rPr>
              <w:t>Quantity, total price, ENUM status; FKs to user and ticket</w:t>
            </w:r>
          </w:p>
        </w:tc>
      </w:tr>
      <w:tr>
        <w:tc>
          <w:tcPr>
            <w:tcW w:type="dxa" w:w="1872"/>
          </w:tcPr>
          <w:p>
            <w:pPr>
              <w:spacing w:after="40"/>
            </w:pPr>
            <w:r>
              <w:rPr>
                <w:sz w:val="19"/>
              </w:rPr>
              <w:t>follows</w:t>
            </w:r>
          </w:p>
        </w:tc>
        <w:tc>
          <w:tcPr>
            <w:tcW w:type="dxa" w:w="7776"/>
          </w:tcPr>
          <w:p>
            <w:pPr>
              <w:spacing w:after="40"/>
            </w:pPr>
            <w:r>
              <w:rPr>
                <w:sz w:val="19"/>
              </w:rPr>
              <w:t>M:N junction - composite PK (user_id, artist_id), cascade deletes</w:t>
            </w:r>
          </w:p>
        </w:tc>
      </w:tr>
    </w:tbl>
    <w:p>
      <w:pPr>
        <w:spacing w:after="40"/>
      </w:pPr>
      <w:r>
        <w:rPr>
          <w:b w:val="0"/>
          <w:i w:val="0"/>
        </w:rPr>
      </w:r>
    </w:p>
    <w:p>
      <w:pPr>
        <w:spacing w:after="120"/>
      </w:pPr>
      <w:r>
        <w:rPr>
          <w:b w:val="0"/>
          <w:i w:val="0"/>
        </w:rPr>
        <w:t>Integrity goes beyond foreign keys. Four triggers encode business rules in the database itself: a BEFORE INSERT trigger on bookings atomically decrements seat inventory and raises SQLSTATE 45000 on oversell (rolling back the transaction); an AFTER UPDATE trigger restores seats when a booking is cancelled; and a BEFORE INSERT / BEFORE UPDATE pair on tickets enforces that a VIP tier is never cheaper than other tiers of the same concert. Beyond CRUD, our query suite already includes nested and correlated subqueries (including a relational-division “for every” query), window functions (revenue RANK() per city, running cumulative revenue), a multi-step CTE, an explicit multi-statement transaction, a reusable view, and EXPLAIN evidence that the composite index serves the trending query.</w:t>
      </w:r>
    </w:p>
    <w:p>
      <w:pPr>
        <w:pStyle w:val="Heading2"/>
      </w:pPr>
      <w:r>
        <w:t>3.2 Non-relational component (MongoDB 7)</w:t>
      </w:r>
    </w:p>
    <w:p>
      <w:pPr>
        <w:spacing w:after="120"/>
      </w:pPr>
      <w:r>
        <w:rPr>
          <w:b w:val="0"/>
          <w:i w:val="0"/>
        </w:rPr>
        <w:t>MongoDB holds three collections whose shape varies per document - the canonical case for the document model. setlists embed an ordered song array (each with duration, optional cover-of, encore flag) whose length differs per concert; reviews carry a rating, free-form tags, photo pointers, and a liked_by user-ID set that makes likes idempotent; artist_bios embed nested tour history and social handles. Normalising these into MySQL would require five-plus sparse tables and many joins for what the app always reads as one unit. The design is deliberately derived from the SQL design at the boundary: documents store integer user_id / concert_id values as logical foreign keys, which the app resolves with one batched SQL query - we will reflect on this coupling (vs. an independent design) in the final report. Indexes include a compound (concert_id, posted_at) index, a unique artist_id index, and a text index powering full-text review search; aggregation pipelines use $group, $unwind, $facet (multi-analytics in one pass) and $lookup (document-side join of reviews to setlists).</w:t>
      </w:r>
    </w:p>
    <w:p>
      <w:pPr>
        <w:pStyle w:val="Heading2"/>
      </w:pPr>
      <w:r>
        <w:t>3.3 Cache and object storage (Redis 7, MinIO)</w:t>
      </w:r>
    </w:p>
    <w:p>
      <w:pPr>
        <w:spacing w:after="120"/>
      </w:pPr>
      <w:r>
        <w:rPr>
          <w:b w:val="0"/>
          <w:i w:val="0"/>
        </w:rPr>
        <w:t>Redis serves four roles: a TTL cache for browse/listing payloads (5 min) and distinct city/genre lists (1 h), session-token storage (30-min expiry), and live concert view counters that are atomically drained (GETDEL) into MySQL before any trending read - a write-behind pattern that keeps hot pages cheap without losing durability. MinIO stores image blobs (artist photos, review photos) following a pointer-vs-blob pattern: databases keep only URLs, bytes live in an S3-compatible bucket, so the backend could move to AWS S3 unchanged. Security is handled at the application tier: parameterised SQL everywhere, bcrypt password hashing, CSRF synchroniser tokens on every state-changing form, hardened session cookies, and validated, size-capped, downscaled image uploads.</w:t>
      </w:r>
    </w:p>
    <w:p>
      <w:pPr>
        <w:pStyle w:val="Heading1"/>
      </w:pPr>
      <w:r>
        <w:t>4. Execution Plan and Progress</w:t>
      </w:r>
    </w:p>
    <w:p>
      <w:pPr>
        <w:spacing w:after="80"/>
      </w:pPr>
      <w:r>
        <w:rPr>
          <w:b w:val="0"/>
          <w:i w:val="0"/>
        </w:rPr>
        <w:t>The project is intentionally front-loaded: the full stack already runs end-to-end with one docker compose up. Completed so far:</w:t>
      </w:r>
    </w:p>
    <w:tbl>
      <w:tblPr>
        <w:tblStyle w:val="TableGrid"/>
        <w:tblW w:type="auto" w:w="0"/>
        <w:tblLayout w:type="fixed"/>
        <w:tblLook w:firstColumn="1" w:firstRow="1" w:lastColumn="0" w:lastRow="0" w:noHBand="0" w:noVBand="1" w:val="04A0"/>
      </w:tblPr>
      <w:tblGrid>
        <w:gridCol w:w="4824"/>
        <w:gridCol w:w="4824"/>
      </w:tblGrid>
      <w:tr>
        <w:tc>
          <w:tcPr>
            <w:tcW w:type="dxa" w:w="2448"/>
            <w:shd w:val="clear" w:fill="142A4F"/>
          </w:tcPr>
          <w:p>
            <w:r>
              <w:rPr>
                <w:b/>
                <w:color w:val="FFFFFF"/>
                <w:sz w:val="19"/>
              </w:rPr>
              <w:t>Area</w:t>
            </w:r>
          </w:p>
        </w:tc>
        <w:tc>
          <w:tcPr>
            <w:tcW w:type="dxa" w:w="6912"/>
            <w:shd w:val="clear" w:fill="142A4F"/>
          </w:tcPr>
          <w:p>
            <w:r>
              <w:rPr>
                <w:b/>
                <w:color w:val="FFFFFF"/>
                <w:sz w:val="19"/>
              </w:rPr>
              <w:t>Completed</w:t>
            </w:r>
          </w:p>
        </w:tc>
      </w:tr>
      <w:tr>
        <w:tc>
          <w:tcPr>
            <w:tcW w:type="dxa" w:w="2448"/>
          </w:tcPr>
          <w:p>
            <w:pPr>
              <w:spacing w:after="20" w:before="20"/>
            </w:pPr>
            <w:r>
              <w:rPr>
                <w:b/>
                <w:sz w:val="19"/>
              </w:rPr>
              <w:t>Database &amp; schema</w:t>
            </w:r>
          </w:p>
        </w:tc>
        <w:tc>
          <w:tcPr>
            <w:tcW w:type="dxa" w:w="6912"/>
          </w:tcPr>
          <w:p>
            <w:pPr>
              <w:spacing w:after="20" w:before="20"/>
            </w:pPr>
            <w:r>
              <w:rPr>
                <w:sz w:val="19"/>
              </w:rPr>
              <w:t>✓ ER model (8 relational tables + 3 MongoDB collections)   ✓ MySQL schema with PKs/FKs, CHECK constraints, indexes   ✓ 4 triggers (seat decrement, seat restore on cancel/refund, VIP-pricing rule)   ✓ MongoDB indexes incl. full-text</w:t>
            </w:r>
          </w:p>
        </w:tc>
      </w:tr>
      <w:tr>
        <w:tc>
          <w:tcPr>
            <w:tcW w:type="dxa" w:w="2448"/>
          </w:tcPr>
          <w:p>
            <w:pPr>
              <w:spacing w:after="20" w:before="20"/>
            </w:pPr>
            <w:r>
              <w:rPr>
                <w:b/>
                <w:sz w:val="19"/>
              </w:rPr>
              <w:t>Data &amp; seeding</w:t>
            </w:r>
          </w:p>
        </w:tc>
        <w:tc>
          <w:tcPr>
            <w:tcW w:type="dxa" w:w="6912"/>
          </w:tcPr>
          <w:p>
            <w:pPr>
              <w:spacing w:after="20" w:before="20"/>
            </w:pPr>
            <w:r>
              <w:rPr>
                <w:sz w:val="19"/>
              </w:rPr>
              <w:t>✓ Deterministic seed generator (generate_seed.py)   ✓ MySQL seeded: 21 users, 30 artists, 15 venues, 50 concerts, 116 ticket tiers, ~176 bookings, 220 follows   ✓ MongoDB collections seeded (idempotent)   ✓ artist photos stored in object storage</w:t>
            </w:r>
          </w:p>
        </w:tc>
      </w:tr>
      <w:tr>
        <w:tc>
          <w:tcPr>
            <w:tcW w:type="dxa" w:w="2448"/>
          </w:tcPr>
          <w:p>
            <w:pPr>
              <w:spacing w:after="20" w:before="20"/>
            </w:pPr>
            <w:r>
              <w:rPr>
                <w:b/>
                <w:sz w:val="19"/>
              </w:rPr>
              <w:t>Queries</w:t>
            </w:r>
          </w:p>
        </w:tc>
        <w:tc>
          <w:tcPr>
            <w:tcW w:type="dxa" w:w="6912"/>
          </w:tcPr>
          <w:p>
            <w:pPr>
              <w:spacing w:after="20" w:before="20"/>
            </w:pPr>
            <w:r>
              <w:rPr>
                <w:sz w:val="19"/>
              </w:rPr>
              <w:t>✓ SQL CRUD, joins, aggregation, nested/correlated subqueries   ✓ window functions, a CTE, an explicit transaction, a reusable view, EXPLAIN   ✓ MongoDB $facet / $lookup pipelines + full-text search</w:t>
            </w:r>
          </w:p>
        </w:tc>
      </w:tr>
      <w:tr>
        <w:tc>
          <w:tcPr>
            <w:tcW w:type="dxa" w:w="2448"/>
          </w:tcPr>
          <w:p>
            <w:pPr>
              <w:spacing w:after="20" w:before="20"/>
            </w:pPr>
            <w:r>
              <w:rPr>
                <w:b/>
                <w:sz w:val="19"/>
              </w:rPr>
              <w:t>Application &amp; UI</w:t>
            </w:r>
          </w:p>
        </w:tc>
        <w:tc>
          <w:tcPr>
            <w:tcW w:type="dxa" w:w="6912"/>
          </w:tcPr>
          <w:p>
            <w:pPr>
              <w:spacing w:after="20" w:before="20"/>
            </w:pPr>
            <w:r>
              <w:rPr>
                <w:sz w:val="19"/>
              </w:rPr>
              <w:t>✓ ~30 Flask routes   ✓ auth: bcrypt + Redis sessions + CSRF   ✓ browse/filter with Redis caching   ✓ booking with 6-ticket quota in one locking transaction   ✓ photo reviews, likes, follows, profile   ✓ admin dashboard (concerts, tiers, bookings, users)   ✓ all UI templates + dark-blue theme</w:t>
            </w:r>
          </w:p>
        </w:tc>
      </w:tr>
      <w:tr>
        <w:tc>
          <w:tcPr>
            <w:tcW w:type="dxa" w:w="2448"/>
          </w:tcPr>
          <w:p>
            <w:pPr>
              <w:spacing w:after="20" w:before="20"/>
            </w:pPr>
            <w:r>
              <w:rPr>
                <w:b/>
                <w:sz w:val="19"/>
              </w:rPr>
              <w:t>Cache, storage &amp; security</w:t>
            </w:r>
          </w:p>
        </w:tc>
        <w:tc>
          <w:tcPr>
            <w:tcW w:type="dxa" w:w="6912"/>
          </w:tcPr>
          <w:p>
            <w:pPr>
              <w:spacing w:after="20" w:before="20"/>
            </w:pPr>
            <w:r>
              <w:rPr>
                <w:sz w:val="19"/>
              </w:rPr>
              <w:t>✓ Redis cache, sessions and live view counters (write-behind to MySQL)   ✓ MinIO object storage (pointer-vs-blob)   ✓ parameterised SQL, bcrypt, CSRF, hardened cookies, validated uploads</w:t>
            </w:r>
          </w:p>
        </w:tc>
      </w:tr>
      <w:tr>
        <w:tc>
          <w:tcPr>
            <w:tcW w:type="dxa" w:w="2448"/>
          </w:tcPr>
          <w:p>
            <w:pPr>
              <w:spacing w:after="20" w:before="20"/>
            </w:pPr>
            <w:r>
              <w:rPr>
                <w:b/>
                <w:sz w:val="19"/>
              </w:rPr>
              <w:t>Infrastructure, tests &amp; performance</w:t>
            </w:r>
          </w:p>
        </w:tc>
        <w:tc>
          <w:tcPr>
            <w:tcW w:type="dxa" w:w="6912"/>
          </w:tcPr>
          <w:p>
            <w:pPr>
              <w:spacing w:after="20" w:before="20"/>
            </w:pPr>
            <w:r>
              <w:rPr>
                <w:sz w:val="19"/>
              </w:rPr>
              <w:t>✓ 5-service Docker Compose with healthchecks   ✓ pytest suite: 11 unit + 14 integration tests   ✓ six-group performance benchmark (CSV + chart)   ✓ docs: ER, schema, diagrams, demo guide</w:t>
            </w:r>
          </w:p>
        </w:tc>
      </w:tr>
    </w:tbl>
    <w:p>
      <w:pPr>
        <w:spacing w:after="80"/>
      </w:pPr>
      <w:r>
        <w:rPr>
          <w:b w:val="0"/>
          <w:i w:val="0"/>
        </w:rPr>
        <w:t>Remaining work and schedule:</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792"/>
            <w:shd w:val="clear" w:fill="D5E8F0"/>
          </w:tcPr>
          <w:p>
            <w:pPr>
              <w:spacing w:after="40"/>
            </w:pPr>
            <w:r>
              <w:rPr>
                <w:b/>
                <w:sz w:val="19"/>
              </w:rPr>
              <w:t>Week</w:t>
            </w:r>
          </w:p>
        </w:tc>
        <w:tc>
          <w:tcPr>
            <w:tcW w:type="dxa" w:w="1512"/>
            <w:shd w:val="clear" w:fill="D5E8F0"/>
          </w:tcPr>
          <w:p>
            <w:pPr>
              <w:spacing w:after="40"/>
            </w:pPr>
            <w:r>
              <w:rPr>
                <w:b/>
                <w:sz w:val="19"/>
              </w:rPr>
              <w:t>Dates</w:t>
            </w:r>
          </w:p>
        </w:tc>
        <w:tc>
          <w:tcPr>
            <w:tcW w:type="dxa" w:w="5544"/>
            <w:shd w:val="clear" w:fill="D5E8F0"/>
          </w:tcPr>
          <w:p>
            <w:pPr>
              <w:spacing w:after="40"/>
            </w:pPr>
            <w:r>
              <w:rPr>
                <w:b/>
                <w:sz w:val="19"/>
              </w:rPr>
              <w:t>Plan</w:t>
            </w:r>
          </w:p>
        </w:tc>
        <w:tc>
          <w:tcPr>
            <w:tcW w:type="dxa" w:w="1800"/>
            <w:shd w:val="clear" w:fill="D5E8F0"/>
          </w:tcPr>
          <w:p>
            <w:pPr>
              <w:spacing w:after="40"/>
            </w:pPr>
            <w:r>
              <w:rPr>
                <w:b/>
                <w:sz w:val="19"/>
              </w:rPr>
              <w:t>Owner(s)</w:t>
            </w:r>
          </w:p>
        </w:tc>
      </w:tr>
      <w:tr>
        <w:tc>
          <w:tcPr>
            <w:tcW w:type="dxa" w:w="792"/>
          </w:tcPr>
          <w:p>
            <w:pPr>
              <w:spacing w:after="40"/>
            </w:pPr>
            <w:r>
              <w:rPr>
                <w:sz w:val="19"/>
              </w:rPr>
              <w:t>7</w:t>
            </w:r>
          </w:p>
        </w:tc>
        <w:tc>
          <w:tcPr>
            <w:tcW w:type="dxa" w:w="1512"/>
          </w:tcPr>
          <w:p>
            <w:pPr>
              <w:spacing w:after="40"/>
            </w:pPr>
            <w:r>
              <w:rPr>
                <w:sz w:val="19"/>
              </w:rPr>
              <w:t>15–21 Jun</w:t>
            </w:r>
          </w:p>
        </w:tc>
        <w:tc>
          <w:tcPr>
            <w:tcW w:type="dxa" w:w="5544"/>
          </w:tcPr>
          <w:p>
            <w:pPr>
              <w:spacing w:after="40"/>
            </w:pPr>
            <w:r>
              <w:rPr>
                <w:sz w:val="19"/>
              </w:rPr>
              <w:t>Real-dataset import via the generator pipeline; finalise proposal report</w:t>
            </w:r>
          </w:p>
        </w:tc>
        <w:tc>
          <w:tcPr>
            <w:tcW w:type="dxa" w:w="1800"/>
          </w:tcPr>
          <w:p>
            <w:pPr>
              <w:spacing w:after="40"/>
            </w:pPr>
            <w:r>
              <w:rPr>
                <w:sz w:val="19"/>
              </w:rPr>
              <w:t>M2, M3 / M1</w:t>
            </w:r>
          </w:p>
        </w:tc>
      </w:tr>
      <w:tr>
        <w:tc>
          <w:tcPr>
            <w:tcW w:type="dxa" w:w="792"/>
          </w:tcPr>
          <w:p>
            <w:pPr>
              <w:spacing w:after="40"/>
            </w:pPr>
            <w:r>
              <w:rPr>
                <w:sz w:val="19"/>
              </w:rPr>
              <w:t>8</w:t>
            </w:r>
          </w:p>
        </w:tc>
        <w:tc>
          <w:tcPr>
            <w:tcW w:type="dxa" w:w="1512"/>
          </w:tcPr>
          <w:p>
            <w:pPr>
              <w:spacing w:after="40"/>
            </w:pPr>
            <w:r>
              <w:rPr>
                <w:sz w:val="19"/>
              </w:rPr>
              <w:t>22–28 Jun</w:t>
            </w:r>
          </w:p>
        </w:tc>
        <w:tc>
          <w:tcPr>
            <w:tcW w:type="dxa" w:w="5544"/>
          </w:tcPr>
          <w:p>
            <w:pPr>
              <w:spacing w:after="40"/>
            </w:pPr>
            <w:r>
              <w:rPr>
                <w:sz w:val="19"/>
              </w:rPr>
              <w:t>Submit proposal (22 Jun); extend analytics queries; UI polish</w:t>
            </w:r>
          </w:p>
        </w:tc>
        <w:tc>
          <w:tcPr>
            <w:tcW w:type="dxa" w:w="1800"/>
          </w:tcPr>
          <w:p>
            <w:pPr>
              <w:spacing w:after="40"/>
            </w:pPr>
            <w:r>
              <w:rPr>
                <w:sz w:val="19"/>
              </w:rPr>
              <w:t>All / M4</w:t>
            </w:r>
          </w:p>
        </w:tc>
      </w:tr>
      <w:tr>
        <w:tc>
          <w:tcPr>
            <w:tcW w:type="dxa" w:w="792"/>
          </w:tcPr>
          <w:p>
            <w:pPr>
              <w:spacing w:after="40"/>
            </w:pPr>
            <w:r>
              <w:rPr>
                <w:sz w:val="19"/>
              </w:rPr>
              <w:t>9</w:t>
            </w:r>
          </w:p>
        </w:tc>
        <w:tc>
          <w:tcPr>
            <w:tcW w:type="dxa" w:w="1512"/>
          </w:tcPr>
          <w:p>
            <w:pPr>
              <w:spacing w:after="40"/>
            </w:pPr>
            <w:r>
              <w:rPr>
                <w:sz w:val="19"/>
              </w:rPr>
              <w:t>29 Jun–5 Jul</w:t>
            </w:r>
          </w:p>
        </w:tc>
        <w:tc>
          <w:tcPr>
            <w:tcW w:type="dxa" w:w="5544"/>
          </w:tcPr>
          <w:p>
            <w:pPr>
              <w:spacing w:after="40"/>
            </w:pPr>
            <w:r>
              <w:rPr>
                <w:sz w:val="19"/>
              </w:rPr>
              <w:t>Re-run benchmark + pytest suite on enlarged data; draft final report sections 1–5</w:t>
            </w:r>
          </w:p>
        </w:tc>
        <w:tc>
          <w:tcPr>
            <w:tcW w:type="dxa" w:w="1800"/>
          </w:tcPr>
          <w:p>
            <w:pPr>
              <w:spacing w:after="40"/>
            </w:pPr>
            <w:r>
              <w:rPr>
                <w:sz w:val="19"/>
              </w:rPr>
              <w:t>M5 / M1, M6</w:t>
            </w:r>
          </w:p>
        </w:tc>
      </w:tr>
      <w:tr>
        <w:tc>
          <w:tcPr>
            <w:tcW w:type="dxa" w:w="792"/>
          </w:tcPr>
          <w:p>
            <w:pPr>
              <w:spacing w:after="40"/>
            </w:pPr>
            <w:r>
              <w:rPr>
                <w:sz w:val="19"/>
              </w:rPr>
              <w:t>10</w:t>
            </w:r>
          </w:p>
        </w:tc>
        <w:tc>
          <w:tcPr>
            <w:tcW w:type="dxa" w:w="1512"/>
          </w:tcPr>
          <w:p>
            <w:pPr>
              <w:spacing w:after="40"/>
            </w:pPr>
            <w:r>
              <w:rPr>
                <w:sz w:val="19"/>
              </w:rPr>
              <w:t>6–12 Jul</w:t>
            </w:r>
          </w:p>
        </w:tc>
        <w:tc>
          <w:tcPr>
            <w:tcW w:type="dxa" w:w="5544"/>
          </w:tcPr>
          <w:p>
            <w:pPr>
              <w:spacing w:after="40"/>
            </w:pPr>
            <w:r>
              <w:rPr>
                <w:sz w:val="19"/>
              </w:rPr>
              <w:t>Final report sections 6–9; slides; record &amp; edit 10-min video (all members)</w:t>
            </w:r>
          </w:p>
        </w:tc>
        <w:tc>
          <w:tcPr>
            <w:tcW w:type="dxa" w:w="1800"/>
          </w:tcPr>
          <w:p>
            <w:pPr>
              <w:spacing w:after="40"/>
            </w:pPr>
            <w:r>
              <w:rPr>
                <w:sz w:val="19"/>
              </w:rPr>
              <w:t>All</w:t>
            </w:r>
          </w:p>
        </w:tc>
      </w:tr>
      <w:tr>
        <w:tc>
          <w:tcPr>
            <w:tcW w:type="dxa" w:w="792"/>
          </w:tcPr>
          <w:p>
            <w:pPr>
              <w:spacing w:after="40"/>
            </w:pPr>
            <w:r>
              <w:rPr>
                <w:sz w:val="19"/>
              </w:rPr>
              <w:t>11</w:t>
            </w:r>
          </w:p>
        </w:tc>
        <w:tc>
          <w:tcPr>
            <w:tcW w:type="dxa" w:w="1512"/>
          </w:tcPr>
          <w:p>
            <w:pPr>
              <w:spacing w:after="40"/>
            </w:pPr>
            <w:r>
              <w:rPr>
                <w:sz w:val="19"/>
              </w:rPr>
              <w:t>13–17 Jul</w:t>
            </w:r>
          </w:p>
        </w:tc>
        <w:tc>
          <w:tcPr>
            <w:tcW w:type="dxa" w:w="5544"/>
          </w:tcPr>
          <w:p>
            <w:pPr>
              <w:spacing w:after="40"/>
            </w:pPr>
            <w:r>
              <w:rPr>
                <w:sz w:val="19"/>
              </w:rPr>
              <w:t>Submit report/slides/video (13 Jul); source-code zip + start guide; peer review (17 Jul)</w:t>
            </w:r>
          </w:p>
        </w:tc>
        <w:tc>
          <w:tcPr>
            <w:tcW w:type="dxa" w:w="1800"/>
          </w:tcPr>
          <w:p>
            <w:pPr>
              <w:spacing w:after="40"/>
            </w:pPr>
            <w:r>
              <w:rPr>
                <w:sz w:val="19"/>
              </w:rPr>
              <w:t>M1 / All</w:t>
            </w:r>
          </w:p>
        </w:tc>
      </w:tr>
    </w:tbl>
    <w:p>
      <w:pPr>
        <w:spacing w:after="40"/>
      </w:pPr>
      <w:r>
        <w:rPr>
          <w:b w:val="0"/>
          <w:i w:val="0"/>
        </w:rPr>
      </w:r>
    </w:p>
    <w:p>
      <w:pPr>
        <w:spacing w:after="120"/>
      </w:pPr>
      <w:r>
        <w:rPr>
          <w:b w:val="0"/>
          <w:i w:val="0"/>
        </w:rPr>
        <w:t>Risks and mitigations: (1) real-dataset usability - mitigated by keeping the synthetic generator as a guaranteed fallback that already satisfies all constraints; (2) video over-running 10 minutes - mitigated by a written per-presenter script and a timed dry run; (3) environment drift across members - mitigated by Docker Compose, which pins every datastore version and seeds automatically.</w:t>
      </w:r>
    </w:p>
    <w:p>
      <w:pPr>
        <w:pStyle w:val="Heading1"/>
      </w:pPr>
      <w:r>
        <w:t>5. Roles and Responsibilities</w:t>
      </w:r>
    </w:p>
    <w:tbl>
      <w:tblPr>
        <w:tblStyle w:val="TableGrid"/>
        <w:tblW w:type="auto" w:w="0"/>
        <w:jc w:val="center"/>
        <w:tblLayout w:type="fixed"/>
        <w:tblLook w:firstColumn="1" w:firstRow="1" w:lastColumn="0" w:lastRow="0" w:noHBand="0" w:noVBand="1" w:val="04A0"/>
      </w:tblPr>
      <w:tblGrid>
        <w:gridCol w:w="4824"/>
        <w:gridCol w:w="4824"/>
      </w:tblGrid>
      <w:tr>
        <w:tc>
          <w:tcPr>
            <w:tcW w:type="dxa" w:w="2160"/>
            <w:shd w:val="clear" w:fill="D5E8F0"/>
          </w:tcPr>
          <w:p>
            <w:pPr>
              <w:spacing w:after="40"/>
            </w:pPr>
            <w:r>
              <w:rPr>
                <w:b/>
                <w:sz w:val="19"/>
              </w:rPr>
              <w:t>Member</w:t>
            </w:r>
          </w:p>
        </w:tc>
        <w:tc>
          <w:tcPr>
            <w:tcW w:type="dxa" w:w="7488"/>
            <w:shd w:val="clear" w:fill="D5E8F0"/>
          </w:tcPr>
          <w:p>
            <w:pPr>
              <w:spacing w:after="40"/>
            </w:pPr>
            <w:r>
              <w:rPr>
                <w:b/>
                <w:sz w:val="19"/>
              </w:rPr>
              <w:t>Responsibility</w:t>
            </w:r>
          </w:p>
        </w:tc>
      </w:tr>
      <w:tr>
        <w:tc>
          <w:tcPr>
            <w:tcW w:type="dxa" w:w="2160"/>
          </w:tcPr>
          <w:p>
            <w:pPr>
              <w:spacing w:after="40"/>
            </w:pPr>
            <w:r>
              <w:rPr>
                <w:sz w:val="19"/>
              </w:rPr>
              <w:t>Member 1 (lead)</w:t>
            </w:r>
          </w:p>
        </w:tc>
        <w:tc>
          <w:tcPr>
            <w:tcW w:type="dxa" w:w="7488"/>
          </w:tcPr>
          <w:p>
            <w:pPr>
              <w:spacing w:after="40"/>
            </w:pPr>
            <w:r>
              <w:rPr>
                <w:sz w:val="19"/>
              </w:rPr>
              <w:t>Architecture, MySQL schema &amp; triggers, report editing, point of contact</w:t>
            </w:r>
          </w:p>
        </w:tc>
      </w:tr>
      <w:tr>
        <w:tc>
          <w:tcPr>
            <w:tcW w:type="dxa" w:w="2160"/>
          </w:tcPr>
          <w:p>
            <w:pPr>
              <w:spacing w:after="40"/>
            </w:pPr>
            <w:r>
              <w:rPr>
                <w:sz w:val="19"/>
              </w:rPr>
              <w:t>Member 2</w:t>
            </w:r>
          </w:p>
        </w:tc>
        <w:tc>
          <w:tcPr>
            <w:tcW w:type="dxa" w:w="7488"/>
          </w:tcPr>
          <w:p>
            <w:pPr>
              <w:spacing w:after="40"/>
            </w:pPr>
            <w:r>
              <w:rPr>
                <w:sz w:val="19"/>
              </w:rPr>
              <w:t>Relational queries (CRUD, nested, window/CTE), dataset import</w:t>
            </w:r>
          </w:p>
        </w:tc>
      </w:tr>
      <w:tr>
        <w:tc>
          <w:tcPr>
            <w:tcW w:type="dxa" w:w="2160"/>
          </w:tcPr>
          <w:p>
            <w:pPr>
              <w:spacing w:after="40"/>
            </w:pPr>
            <w:r>
              <w:rPr>
                <w:sz w:val="19"/>
              </w:rPr>
              <w:t>Member 3</w:t>
            </w:r>
          </w:p>
        </w:tc>
        <w:tc>
          <w:tcPr>
            <w:tcW w:type="dxa" w:w="7488"/>
          </w:tcPr>
          <w:p>
            <w:pPr>
              <w:spacing w:after="40"/>
            </w:pPr>
            <w:r>
              <w:rPr>
                <w:sz w:val="19"/>
              </w:rPr>
              <w:t>MongoDB modelling, seeds, aggregation pipelines ($facet/$lookup)</w:t>
            </w:r>
          </w:p>
        </w:tc>
      </w:tr>
      <w:tr>
        <w:tc>
          <w:tcPr>
            <w:tcW w:type="dxa" w:w="2160"/>
          </w:tcPr>
          <w:p>
            <w:pPr>
              <w:spacing w:after="40"/>
            </w:pPr>
            <w:r>
              <w:rPr>
                <w:sz w:val="19"/>
              </w:rPr>
              <w:t>Member 4</w:t>
            </w:r>
          </w:p>
        </w:tc>
        <w:tc>
          <w:tcPr>
            <w:tcW w:type="dxa" w:w="7488"/>
          </w:tcPr>
          <w:p>
            <w:pPr>
              <w:spacing w:after="40"/>
            </w:pPr>
            <w:r>
              <w:rPr>
                <w:sz w:val="19"/>
              </w:rPr>
              <w:t>Flask application &amp; admin dashboard, UI templates</w:t>
            </w:r>
          </w:p>
        </w:tc>
      </w:tr>
      <w:tr>
        <w:tc>
          <w:tcPr>
            <w:tcW w:type="dxa" w:w="2160"/>
          </w:tcPr>
          <w:p>
            <w:pPr>
              <w:spacing w:after="40"/>
            </w:pPr>
            <w:r>
              <w:rPr>
                <w:sz w:val="19"/>
              </w:rPr>
              <w:t>Member 5</w:t>
            </w:r>
          </w:p>
        </w:tc>
        <w:tc>
          <w:tcPr>
            <w:tcW w:type="dxa" w:w="7488"/>
          </w:tcPr>
          <w:p>
            <w:pPr>
              <w:spacing w:after="40"/>
            </w:pPr>
            <w:r>
              <w:rPr>
                <w:sz w:val="19"/>
              </w:rPr>
              <w:t>Redis caching, benchmark &amp; performance analysis</w:t>
            </w:r>
          </w:p>
        </w:tc>
      </w:tr>
      <w:tr>
        <w:tc>
          <w:tcPr>
            <w:tcW w:type="dxa" w:w="2160"/>
          </w:tcPr>
          <w:p>
            <w:pPr>
              <w:spacing w:after="40"/>
            </w:pPr>
            <w:r>
              <w:rPr>
                <w:sz w:val="19"/>
              </w:rPr>
              <w:t>Member 6</w:t>
            </w:r>
          </w:p>
        </w:tc>
        <w:tc>
          <w:tcPr>
            <w:tcW w:type="dxa" w:w="7488"/>
          </w:tcPr>
          <w:p>
            <w:pPr>
              <w:spacing w:after="40"/>
            </w:pPr>
            <w:r>
              <w:rPr>
                <w:sz w:val="19"/>
              </w:rPr>
              <w:t>MinIO object storage, security hardening, documentation &amp; demo video</w:t>
            </w:r>
          </w:p>
        </w:tc>
      </w:tr>
    </w:tbl>
    <w:p>
      <w:pPr>
        <w:spacing w:after="40"/>
      </w:pPr>
      <w:r>
        <w:rPr>
          <w:b w:val="0"/>
          <w:i w:val="0"/>
        </w:rPr>
      </w:r>
    </w:p>
    <w:p>
      <w:pPr>
        <w:spacing w:after="120"/>
      </w:pPr>
      <w:r>
        <w:rPr>
          <w:b w:val="0"/>
          <w:i w:val="0"/>
        </w:rPr>
        <w:t>All members contribute to the report, slides, and presentation video. GenAI tools are used for boilerplate scaffolding and proofreading; a full reflection on their pros and cons will be included in the final report as required by the brief.</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B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B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