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TSAMS Market Impact Analysis</w:t>
      </w:r>
    </w:p>
    <w:p>
      <w:pPr>
        <w:pStyle w:val="Heading2"/>
      </w:pPr>
      <w:r>
        <w:t>Executive Summary</w:t>
      </w:r>
    </w:p>
    <w:p>
      <w:r>
        <w:t>The Tibedo Structural Algebraic Modeling System (TSAMS) represents a significant advancement in applied mathematics with far-reaching implications for quantum computing, medical research, and cross-disciplinary scientific applications. This analysis examines TSAMS's market positioning, its impact on quantum investment landscapes, and its unique value proposition in advancing medical research through mathematical innovation.</w:t>
      </w:r>
    </w:p>
    <w:p>
      <w:pPr>
        <w:pStyle w:val="Heading2"/>
      </w:pPr>
      <w:r>
        <w:t>Quantum Investment Landscape</w:t>
      </w:r>
    </w:p>
    <w:p>
      <w:pPr>
        <w:pStyle w:val="Heading3"/>
      </w:pPr>
      <w:r>
        <w:t>Current State of Quantum Investment</w:t>
      </w:r>
    </w:p>
    <w:p>
      <w:r>
        <w:t>The quantum computing sector has seen unprecedented growth, with global investments exceeding $25 billion as of 2025. Key investment areas include:</w:t>
      </w:r>
    </w:p>
    <w:p>
      <w:pPr>
        <w:pStyle w:val="ListNumber"/>
      </w:pPr>
      <w:r>
        <w:t>Hardware Development: Focused on increasing qubit counts and reducing error rates</w:t>
      </w:r>
    </w:p>
    <w:p>
      <w:pPr>
        <w:pStyle w:val="ListNumber"/>
      </w:pPr>
      <w:r>
        <w:t>Quantum Algorithms: Creating practical applications for existing quantum hardware</w:t>
      </w:r>
    </w:p>
    <w:p>
      <w:pPr>
        <w:pStyle w:val="ListNumber"/>
      </w:pPr>
      <w:r>
        <w:t>Quantum Software Platforms: Building development environments for quantum applications</w:t>
      </w:r>
    </w:p>
    <w:p>
      <w:pPr>
        <w:pStyle w:val="ListNumber"/>
      </w:pPr>
      <w:r>
        <w:t>Quantum-Resistant Security: Preparing for post-quantum cryptographic threats</w:t>
      </w:r>
    </w:p>
    <w:p>
      <w:pPr>
        <w:pStyle w:val="Heading3"/>
      </w:pPr>
      <w:r>
        <w:t>TSAMS's Position in the Quantum Ecosystem</w:t>
      </w:r>
    </w:p>
    <w:p>
      <w:r>
        <w:t>TSAMS occupies a unique position at the intersection of advanced mathematics, quantum theory, and practical applications:</w:t>
      </w:r>
    </w:p>
    <w:p>
      <w:pPr>
        <w:pStyle w:val="ListNumber"/>
      </w:pPr>
      <w:r>
        <w:br/>
        <w:t>Mathematical Foundation Provider: While most quantum investments focus on hardware or direct applications, TSAMS provides the mathematical frameworks that enable more efficient algorithm development and theoretical advancements.</w:t>
        <w:br/>
      </w:r>
    </w:p>
    <w:p>
      <w:pPr>
        <w:pStyle w:val="ListNumber"/>
      </w:pPr>
      <w:r>
        <w:br/>
        <w:t>Cross-Disciplinary Bridge: TSAMS connects quantum computing with practical applications in chemistry, biology, and materials science, areas that represent the most promising near-term quantum use cases.</w:t>
        <w:br/>
      </w:r>
    </w:p>
    <w:p>
      <w:pPr>
        <w:pStyle w:val="ListNumber"/>
      </w:pPr>
      <w:r>
        <w:br/>
        <w:t>Quantum-Classical Interface: The framework specializes in modeling the boundary between quantum and classical domains, a critical area for practical quantum advantage.</w:t>
        <w:br/>
      </w:r>
    </w:p>
    <w:p>
      <w:pPr>
        <w:pStyle w:val="ListNumber"/>
      </w:pPr>
      <w:r>
        <w:br/>
        <w:t>Post-Quantum Security: The cryptographic components of TSAMS address the growing market need for quantum-resistant security solutions.</w:t>
        <w:br/>
      </w:r>
    </w:p>
    <w:p>
      <w:r>
        <w:t>Mathematical Foundation Provider: While most quantum investments focus on hardware or direct applications, TSAMS provides the mathematical frameworks that enable more efficient algorithm development and theoretical advancements.</w:t>
      </w:r>
    </w:p>
    <w:p>
      <w:r>
        <w:t>Cross-Disciplinary Bridge: TSAMS connects quantum computing with practical applications in chemistry, biology, and materials science, areas that represent the most promising near-term quantum use cases.</w:t>
      </w:r>
    </w:p>
    <w:p>
      <w:r>
        <w:t>Quantum-Classical Interface: The framework specializes in modeling the boundary between quantum and classical domains, a critical area for practical quantum advantage.</w:t>
      </w:r>
    </w:p>
    <w:p>
      <w:r>
        <w:t>Post-Quantum Security: The cryptographic components of TSAMS address the growing market need for quantum-resistant security solutions.</w:t>
      </w:r>
    </w:p>
    <w:p>
      <w:pPr>
        <w:pStyle w:val="Heading2"/>
      </w:pPr>
      <w:r>
        <w:t>Medical Research Advancement</w:t>
      </w:r>
    </w:p>
    <w:p>
      <w:pPr>
        <w:pStyle w:val="Heading3"/>
      </w:pPr>
      <w:r>
        <w:t>TSAMS's Core Mission</w:t>
      </w:r>
    </w:p>
    <w:p>
      <w:r>
        <w:t>While TSAMS has broad applications, its primary mission remains focused on advancing medical research through mathematical innovation:</w:t>
      </w:r>
    </w:p>
    <w:p>
      <w:pPr>
        <w:pStyle w:val="ListNumber"/>
      </w:pPr>
      <w:r>
        <w:br/>
        <w:t>Data Integration Framework: TSAMS provides mathematical structures for integrating diverse biomedical datasets, enabling more comprehensive analysis.</w:t>
        <w:br/>
      </w:r>
    </w:p>
    <w:p>
      <w:pPr>
        <w:pStyle w:val="ListNumber"/>
      </w:pPr>
      <w:r>
        <w:br/>
        <w:t>Complex System Modeling: The framework's ability to model multi-scale biological systems accelerates research in areas like drug discovery and disease progression.</w:t>
        <w:br/>
      </w:r>
    </w:p>
    <w:p>
      <w:pPr>
        <w:pStyle w:val="ListNumber"/>
      </w:pPr>
      <w:r>
        <w:br/>
        <w:t>Quantum Biomedical Applications: TSAMS enables practical quantum approaches to:</w:t>
        <w:br/>
      </w:r>
    </w:p>
    <w:p>
      <w:pPr>
        <w:pStyle w:val="ListNumber"/>
      </w:pPr>
      <w:r>
        <w:t>Drug design and discovery</w:t>
      </w:r>
    </w:p>
    <w:p>
      <w:pPr>
        <w:pStyle w:val="ListNumber"/>
      </w:pPr>
      <w:r>
        <w:t>Personalized medicine formulations</w:t>
      </w:r>
    </w:p>
    <w:p>
      <w:pPr>
        <w:pStyle w:val="ListNumber"/>
      </w:pPr>
      <w:r>
        <w:t>Complex condition treatments</w:t>
      </w:r>
    </w:p>
    <w:p>
      <w:pPr>
        <w:pStyle w:val="ListNumber"/>
      </w:pPr>
      <w:r>
        <w:t>Advanced medical imaging</w:t>
      </w:r>
    </w:p>
    <w:p>
      <w:r>
        <w:t>Data Integration Framework: TSAMS provides mathematical structures for integrating diverse biomedical datasets, enabling more comprehensive analysis.</w:t>
      </w:r>
    </w:p>
    <w:p>
      <w:r>
        <w:t>Complex System Modeling: The framework's ability to model multi-scale biological systems accelerates research in areas like drug discovery and disease progression.</w:t>
      </w:r>
    </w:p>
    <w:p>
      <w:r>
        <w:t>Quantum Biomedical Applications: TSAMS enables practical quantum approaches to:</w:t>
      </w:r>
    </w:p>
    <w:p>
      <w:pPr>
        <w:pStyle w:val="Heading3"/>
      </w:pPr>
      <w:r>
        <w:t>Competitive Advantage in Medical Applications</w:t>
      </w:r>
    </w:p>
    <w:p>
      <w:r>
        <w:t>TSAMS offers several advantages over existing approaches:</w:t>
      </w:r>
    </w:p>
    <w:p>
      <w:pPr>
        <w:pStyle w:val="ListNumber"/>
      </w:pPr>
      <w:r>
        <w:t>Mathematical Rigor: Built on sound mathematical foundations rather than heuristic approaches</w:t>
      </w:r>
    </w:p>
    <w:p>
      <w:pPr>
        <w:pStyle w:val="ListNumber"/>
      </w:pPr>
      <w:r>
        <w:t>Scalability: Designed to handle systems from molecular to organism scale</w:t>
      </w:r>
    </w:p>
    <w:p>
      <w:pPr>
        <w:pStyle w:val="ListNumber"/>
      </w:pPr>
      <w:r>
        <w:t>Quantum-Classical Integration: Leverages both classical and quantum computational approaches</w:t>
      </w:r>
    </w:p>
    <w:p>
      <w:pPr>
        <w:pStyle w:val="ListNumber"/>
      </w:pPr>
      <w:r>
        <w:t>Open Framework: Encourages collaborative research and rapid advancement</w:t>
      </w:r>
    </w:p>
    <w:p>
      <w:pPr>
        <w:pStyle w:val="Heading2"/>
      </w:pPr>
      <w:r>
        <w:t>Investment Implications</w:t>
      </w:r>
    </w:p>
    <w:p>
      <w:pPr>
        <w:pStyle w:val="Heading3"/>
      </w:pPr>
      <w:r>
        <w:t>Short-Term (1-2 Years)</w:t>
      </w:r>
    </w:p>
    <w:p>
      <w:pPr>
        <w:pStyle w:val="ListNumber"/>
      </w:pPr>
      <w:r>
        <w:t>Academic Partnerships: Initial adoption in research institutions focusing on computational biology and quantum chemistry</w:t>
      </w:r>
    </w:p>
    <w:p>
      <w:pPr>
        <w:pStyle w:val="ListNumber"/>
      </w:pPr>
      <w:r>
        <w:t>Early Commercial Applications: Cryptographic components offer immediate value in security applications</w:t>
      </w:r>
    </w:p>
    <w:p>
      <w:pPr>
        <w:pStyle w:val="ListNumber"/>
      </w:pPr>
      <w:r>
        <w:t>Research Grants: Potential for significant funding from medical research organizations and quantum computing initiatives</w:t>
      </w:r>
    </w:p>
    <w:p>
      <w:pPr>
        <w:pStyle w:val="Heading3"/>
      </w:pPr>
      <w:r>
        <w:t>Medium-Term (3-5 Years)</w:t>
      </w:r>
    </w:p>
    <w:p>
      <w:pPr>
        <w:pStyle w:val="ListNumber"/>
      </w:pPr>
      <w:r>
        <w:t>Pharmaceutical R&amp;D Integration: Adoption by pharmaceutical companies for drug discovery pipelines</w:t>
      </w:r>
    </w:p>
    <w:p>
      <w:pPr>
        <w:pStyle w:val="ListNumber"/>
      </w:pPr>
      <w:r>
        <w:t>Specialized Medical Applications: Development of targeted solutions for complex medical conditions</w:t>
      </w:r>
    </w:p>
    <w:p>
      <w:pPr>
        <w:pStyle w:val="ListNumber"/>
      </w:pPr>
      <w:r>
        <w:t>Quantum Algorithm Optimization: Widespread use in optimizing quantum algorithms for biological simulations</w:t>
      </w:r>
    </w:p>
    <w:p>
      <w:pPr>
        <w:pStyle w:val="Heading3"/>
      </w:pPr>
      <w:r>
        <w:t>Long-Term (5+ Years)</w:t>
      </w:r>
    </w:p>
    <w:p>
      <w:pPr>
        <w:pStyle w:val="ListNumber"/>
      </w:pPr>
      <w:r>
        <w:t>Standard Framework Status: Potential to become the standard mathematical framework for quantum-classical biomedical research</w:t>
      </w:r>
    </w:p>
    <w:p>
      <w:pPr>
        <w:pStyle w:val="ListNumber"/>
      </w:pPr>
      <w:r>
        <w:t>Personalized Medicine Platform: Foundation for next-generation personalized treatment development</w:t>
      </w:r>
    </w:p>
    <w:p>
      <w:pPr>
        <w:pStyle w:val="ListNumber"/>
      </w:pPr>
      <w:r>
        <w:t>Cross-Disciplinary Innovation Hub: Catalyst for innovations spanning multiple scientific domains</w:t>
      </w:r>
    </w:p>
    <w:p>
      <w:pPr>
        <w:pStyle w:val="Heading2"/>
      </w:pPr>
      <w:r>
        <w:t>Future Research Directions</w:t>
      </w:r>
    </w:p>
    <w:p>
      <w:r>
        <w:t>The continued development of TSAMS will focus on:</w:t>
      </w:r>
    </w:p>
    <w:p>
      <w:pPr>
        <w:pStyle w:val="ListNumber"/>
      </w:pPr>
      <w:r>
        <w:t>Expanded Biological Modeling: Completing and enhancing the tsams-biology repository</w:t>
      </w:r>
    </w:p>
    <w:p>
      <w:pPr>
        <w:pStyle w:val="ListNumber"/>
      </w:pPr>
      <w:r>
        <w:t>Clinical Translation: Moving from theoretical models to practical clinical tools</w:t>
      </w:r>
    </w:p>
    <w:p>
      <w:pPr>
        <w:pStyle w:val="ListNumber"/>
      </w:pPr>
      <w:r>
        <w:t>Distributed Research Platform: Creating collaborative environments for global research teams</w:t>
      </w:r>
    </w:p>
    <w:p>
      <w:pPr>
        <w:pStyle w:val="ListNumber"/>
      </w:pPr>
      <w:r>
        <w:t>Hardware-Specific Optimizations: Adapting algorithms for emerging quantum hardware architectures</w:t>
      </w:r>
    </w:p>
    <w:p>
      <w:pPr>
        <w:pStyle w:val="Heading2"/>
      </w:pPr>
      <w:r>
        <w:t>Conclusion</w:t>
      </w:r>
    </w:p>
    <w:p>
      <w:r>
        <w:t>TSAMS represents a significant advancement in the mathematical foundations of quantum-classical modeling with particular strength in biomedical applications. While the broader quantum computing market continues to focus primarily on hardware development and general-purpose algorithms, TSAMS fills a critical gap by providing the mathematical frameworks needed to translate quantum capabilities into practical medical advancements.</w:t>
      </w:r>
    </w:p>
    <w:p>
      <w:r>
        <w:t>The project's focus on advancing medical research through refined mathematics positions it uniquely in the market—not as a competitor to mainstream quantum computing investments, but as a complementary specialized framework that addresses specific high-value applications in healthcare and life sciences.</w:t>
      </w:r>
    </w:p>
    <w:p>
      <w:r>
        <w:t>For investors and stakeholders, TSAMS offers an opportunity to participate in the quantum revolution with a focus on tangible human impact through medical advancement, rather than general-purpose quantum computing development.</w:t>
      </w:r>
    </w:p>
    <w:p>
      <w:r>
        <w:t>This analysis provides both technical depth and strategic context for understanding TSAMS's position in the quantum investment landscape and its focused mission of advancing medical research through mathematical innovation.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