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48"/>
          <w:szCs w:val="48"/>
        </w:rPr>
        <w:t xml:space="preserve">QDCTI Lab Communication System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User Manual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Version 1.0 | June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1. System Overview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The QDCTI Lab Communication System is an internal communication platform for the food testing laboratory. It replaces informal channels (email/WeChat) with structured workflows for scenarios such as paid urgent testing, data disputes, non-conforming communications, and data confirmation.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The system runs on GitHub Pages and requires only a browser. No installation needed.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Before using: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You must have an account created by the administrator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Use Chrome or Edge browser (recommended)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Press Ctrl+F5 before each login to load the latest code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2. Common Features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2.1 Login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Enter your company email and password. Check Remember Me to save credentials. Contact admin for initial password.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2.2 Navigation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After login, the left sidebar shows available modules. Admins can switch between Admin/Business/Lab views from the header.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2.3 General Rules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Press Ctrl+F5 before each session to ensure latest code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All search inputs support pinyin fuzzy search (type jw to find Jiang Wei)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Recalled messages show with light purple background, view-only except Complete button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3. Admin Guide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3.1 User Management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3.1.1 Add Single User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Click Add User button. Fill in: name, username, email (@cti-cert.com), password, role, department info.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3.1.2 Batch Import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Click Import Excel. File should have columns: name, username, email, password, role, employee_id, phone etc.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5B9BD5"/>
          <w:sz w:val="24"/>
          <w:szCs w:val="24"/>
        </w:rPr>
        <w:t xml:space="preserve">3.1.3 User Operations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Edit: modify role, department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Reset Password: resets to cti123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Disable/Enable: disabled users cannot login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Delete: physical delete (use disable instead)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Online status: shows Online if active within 30 min. If all show offline, run supabase_add_last_active.sql.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3.2 Communications Log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View all comms records with pagination and search. Recalled msgs show Recall status tag.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3.3 Announcements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Create announcements with target scope: All / Business only / Lab only / Qingdao Business / Non-Qingdao Business.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Can edit, recall (hide from users), delete. Supports batch delete.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3.4 Statistics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Filter by date range, person, comm type. Export to Excel. Multi-dimension reports.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4. Business User Guide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4.1 Initiate Communication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Types: paid urgent, free urgent, data dispute, follow up, consultation, other.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Steps: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1. Select communication type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2. Fill message content, customer info, sample info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3. Select recipients (supports pinyin search). Can use department cards for groups.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4. Optionally use a message template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5. Click Send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Tip: Save draft mid-way. Resume from Draft box later.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4.2 Receive Messages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Five tabs: Pending / Processed / Completed / Recalled / All.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Pending: unreplied messages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Processed: replied but not completed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Completed: marked complete by you or sender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Recalled: sender recalled the message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All: all messages (check Flagged Only filter)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Click row to view detail. Quick reply buttons: Agree / Reject / Pending. Custom reply also supported.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Each reply supports Like/Dislike.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4.3 Sent Messages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View all sent messages with status filter. Actions: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View detail: check recipient status and reply threads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Recall: no time limit, must provide reason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Mark complete: sender can close the whole thread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Forward: send to others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Flag: mark important for follow-up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4.4 Contacts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Two-column layout: Business (grouped by region) and Lab (grouped by dept).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Search: pinyin fuzzy search on name/employee_id/dept/phone/email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Multi-select: select multiple people then Quick Initiate</w:t>
      </w:r>
    </w:p>
    <w:p>
      <w:pPr>
        <w:pStyle w:val="ListParagraph"/>
        <w:numPr>
          <w:ilvl w:val="0"/>
          <w:numId w:val="{bullets-0}"/>
        </w:numPr>
        <w:spacing w:after="6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Dept card: lab groups can be selected as a whole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4.5 Profile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Edit personal info (name/employee_id read-only). Change department (Level1 change auto-clears sub-levels). Change password.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5. Lab User Guide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5.1 Initiate Communication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Types: unqualified comm, data confirmation, other. Fewer fields than business: sample code + content + attachments + recipients. Supports image preview.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5.2 Receive Messages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Same as Business. Detail dialog uses dept card grouping with color-coded role tags. Recalled msgs: purple bg, view-only.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5.3 Other Modules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Sent Messages, Contacts, Profile - same functionality as Business user.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6. FAQ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Q: Login fails with wrong email/password?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Contact admin to verify email or reset password to cti123.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Q: Page display issues?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Press Ctrl+F5 to force refresh. Use Chrome.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Q: How to search people?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Type Chinese name, full pinyin (jiangwei), initials (jw), employee ID, or phone number. Auto fuzzy match.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Q: Sent wrong message?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Find it in Sent Messages, click Recall and provide reason. Recipients can still see it (purple bg) but can only Complete.</w:t>
      </w: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color w:val="2E75B6"/>
          <w:sz w:val="28"/>
          <w:szCs w:val="28"/>
        </w:rPr>
        <w:t xml:space="preserve">Q: All users offline in Admin?</w:t>
      </w:r>
    </w:p>
    <w:p>
      <w:pPr>
        <w:spacing w:after="8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Run supabase_add_last_active.sql in Supabase console.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color w:val="999999"/>
          <w:sz w:val="20"/>
          <w:szCs w:val="20"/>
        </w:rPr>
        <w:t xml:space="preserve">--- End of Document ---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6"/>
        <w:szCs w:val="16"/>
      </w:rPr>
      <w:t xml:space="preserve">QDCTI Lab Communication System -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200" w:before="36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60" w:before="280"/>
      <w:outlineLvl w:val="2"/>
    </w:pPr>
    <w:rPr>
      <w:rFonts w:ascii="Microsoft YaHei" w:cs="Microsoft YaHei" w:eastAsia="Microsoft YaHei" w:hAnsi="Microsoft YaHei"/>
      <w:b/>
      <w:bCs/>
      <w:color w:val="5B9BD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2026-06-17T05:56:01.805Z</dcterms:created>
  <dcterms:modified xsi:type="dcterms:W3CDTF">2026-06-17T05:56:01.805Z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