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FF6701" w14:textId="0C4F7902" w:rsidR="00C349E5" w:rsidRPr="00282FC1" w:rsidRDefault="007331A9" w:rsidP="00F005BF">
      <w:pPr>
        <w:pStyle w:val="ListParagraph"/>
        <w:spacing w:line="276" w:lineRule="auto"/>
        <w:ind w:left="0"/>
        <w:rPr>
          <w:rStyle w:val="apple-converted-space"/>
          <w:rFonts w:ascii="Times New Roman" w:hAnsi="Times New Roman" w:cs="Times New Roman"/>
          <w:color w:val="000000"/>
          <w:sz w:val="22"/>
          <w:szCs w:val="22"/>
        </w:rPr>
      </w:pPr>
      <w:r w:rsidRPr="00282FC1">
        <w:rPr>
          <w:rFonts w:ascii="Times New Roman" w:hAnsi="Times New Roman" w:cs="Times New Roman"/>
          <w:color w:val="000000"/>
          <w:sz w:val="22"/>
          <w:szCs w:val="22"/>
        </w:rPr>
        <w:br/>
        <w:t>Reviewer(s)' Comments to Author:</w:t>
      </w:r>
      <w:r w:rsidRPr="00282FC1">
        <w:rPr>
          <w:rFonts w:ascii="Times New Roman" w:hAnsi="Times New Roman" w:cs="Times New Roman"/>
          <w:color w:val="000000"/>
          <w:sz w:val="22"/>
          <w:szCs w:val="22"/>
        </w:rPr>
        <w:br/>
      </w:r>
      <w:r w:rsidRPr="00282FC1">
        <w:rPr>
          <w:rFonts w:ascii="Times New Roman" w:hAnsi="Times New Roman" w:cs="Times New Roman"/>
          <w:color w:val="000000"/>
          <w:sz w:val="22"/>
          <w:szCs w:val="22"/>
        </w:rPr>
        <w:br/>
        <w:t>Reviewer: 1</w:t>
      </w:r>
      <w:r w:rsidRPr="00282FC1">
        <w:rPr>
          <w:rFonts w:ascii="Times New Roman" w:hAnsi="Times New Roman" w:cs="Times New Roman"/>
          <w:color w:val="000000"/>
          <w:sz w:val="22"/>
          <w:szCs w:val="22"/>
        </w:rPr>
        <w:br/>
      </w:r>
      <w:r w:rsidRPr="00282FC1">
        <w:rPr>
          <w:rFonts w:ascii="Times New Roman" w:hAnsi="Times New Roman" w:cs="Times New Roman"/>
          <w:color w:val="000000"/>
          <w:sz w:val="22"/>
          <w:szCs w:val="22"/>
        </w:rPr>
        <w:br/>
        <w:t>Comments to Authors and Editors</w:t>
      </w:r>
      <w:r w:rsidRPr="00282FC1">
        <w:rPr>
          <w:rFonts w:ascii="Times New Roman" w:hAnsi="Times New Roman" w:cs="Times New Roman"/>
          <w:color w:val="000000"/>
          <w:sz w:val="22"/>
          <w:szCs w:val="22"/>
        </w:rPr>
        <w:br/>
        <w:t xml:space="preserve">I reviewed the original </w:t>
      </w:r>
      <w:proofErr w:type="gramStart"/>
      <w:r w:rsidRPr="00282FC1">
        <w:rPr>
          <w:rFonts w:ascii="Times New Roman" w:hAnsi="Times New Roman" w:cs="Times New Roman"/>
          <w:color w:val="000000"/>
          <w:sz w:val="22"/>
          <w:szCs w:val="22"/>
        </w:rPr>
        <w:t>manuscript</w:t>
      </w:r>
      <w:proofErr w:type="gramEnd"/>
      <w:r w:rsidRPr="00282FC1">
        <w:rPr>
          <w:rFonts w:ascii="Times New Roman" w:hAnsi="Times New Roman" w:cs="Times New Roman"/>
          <w:color w:val="000000"/>
          <w:sz w:val="22"/>
          <w:szCs w:val="22"/>
        </w:rPr>
        <w:t xml:space="preserve"> so I focused my current review on the revisions and your responses to those original comments. The revised manuscript addresses the minor technical aspects of the reviewer comments. However, I'm still not convinced that this manuscript provides substantial new </w:t>
      </w:r>
      <w:proofErr w:type="gramStart"/>
      <w:r w:rsidRPr="00282FC1">
        <w:rPr>
          <w:rFonts w:ascii="Times New Roman" w:hAnsi="Times New Roman" w:cs="Times New Roman"/>
          <w:color w:val="000000"/>
          <w:sz w:val="22"/>
          <w:szCs w:val="22"/>
        </w:rPr>
        <w:t>data  or</w:t>
      </w:r>
      <w:proofErr w:type="gramEnd"/>
      <w:r w:rsidRPr="00282FC1">
        <w:rPr>
          <w:rFonts w:ascii="Times New Roman" w:hAnsi="Times New Roman" w:cs="Times New Roman"/>
          <w:color w:val="000000"/>
          <w:sz w:val="22"/>
          <w:szCs w:val="22"/>
        </w:rPr>
        <w:t xml:space="preserve"> interpretations from the previously published articles on this topic and study area to justify this submission as a new Contributed Paper. In fact, your response to my primary comment #1 (i.e., "&lt;</w:t>
      </w:r>
      <w:proofErr w:type="spellStart"/>
      <w:r w:rsidRPr="00282FC1">
        <w:rPr>
          <w:rFonts w:ascii="Times New Roman" w:hAnsi="Times New Roman" w:cs="Times New Roman"/>
          <w:color w:val="000000"/>
          <w:sz w:val="22"/>
          <w:szCs w:val="22"/>
        </w:rPr>
        <w:t>i</w:t>
      </w:r>
      <w:proofErr w:type="spellEnd"/>
      <w:r w:rsidRPr="00282FC1">
        <w:rPr>
          <w:rFonts w:ascii="Times New Roman" w:hAnsi="Times New Roman" w:cs="Times New Roman"/>
          <w:color w:val="000000"/>
          <w:sz w:val="22"/>
          <w:szCs w:val="22"/>
        </w:rPr>
        <w:t>&gt;2. Building off 1, our goal here is to provide spark for action and a bit of a blueprint on what next steps would be. That is why a portion of the discussion strays from the strict data presented here and expands into our collective experience working on grizzly bear demography and human-wildlife conflict to provide actionable solutions&lt;/</w:t>
      </w:r>
      <w:proofErr w:type="spellStart"/>
      <w:r w:rsidRPr="00282FC1">
        <w:rPr>
          <w:rFonts w:ascii="Times New Roman" w:hAnsi="Times New Roman" w:cs="Times New Roman"/>
          <w:color w:val="000000"/>
          <w:sz w:val="22"/>
          <w:szCs w:val="22"/>
        </w:rPr>
        <w:t>i</w:t>
      </w:r>
      <w:proofErr w:type="spellEnd"/>
      <w:r w:rsidRPr="00282FC1">
        <w:rPr>
          <w:rFonts w:ascii="Times New Roman" w:hAnsi="Times New Roman" w:cs="Times New Roman"/>
          <w:color w:val="000000"/>
          <w:sz w:val="22"/>
          <w:szCs w:val="22"/>
        </w:rPr>
        <w:t xml:space="preserve">&gt;") would </w:t>
      </w:r>
      <w:proofErr w:type="gramStart"/>
      <w:r w:rsidRPr="00282FC1">
        <w:rPr>
          <w:rFonts w:ascii="Times New Roman" w:hAnsi="Times New Roman" w:cs="Times New Roman"/>
          <w:color w:val="000000"/>
          <w:sz w:val="22"/>
          <w:szCs w:val="22"/>
        </w:rPr>
        <w:t>actually argue</w:t>
      </w:r>
      <w:proofErr w:type="gramEnd"/>
      <w:r w:rsidRPr="00282FC1">
        <w:rPr>
          <w:rFonts w:ascii="Times New Roman" w:hAnsi="Times New Roman" w:cs="Times New Roman"/>
          <w:color w:val="000000"/>
          <w:sz w:val="22"/>
          <w:szCs w:val="22"/>
        </w:rPr>
        <w:t xml:space="preserve"> for a "Perspectives" article, rather than a Contributed Paper.</w:t>
      </w:r>
      <w:r w:rsidRPr="00282FC1">
        <w:rPr>
          <w:rStyle w:val="apple-converted-space"/>
          <w:rFonts w:ascii="Times New Roman" w:hAnsi="Times New Roman" w:cs="Times New Roman"/>
          <w:color w:val="000000"/>
          <w:sz w:val="22"/>
          <w:szCs w:val="22"/>
        </w:rPr>
        <w:t> </w:t>
      </w:r>
    </w:p>
    <w:p w14:paraId="7B1F7C6F" w14:textId="77777777" w:rsidR="00C349E5" w:rsidRPr="00282FC1" w:rsidRDefault="00C349E5" w:rsidP="00C349E5">
      <w:pPr>
        <w:pStyle w:val="ListParagraph"/>
        <w:spacing w:line="276" w:lineRule="auto"/>
        <w:ind w:left="0"/>
        <w:rPr>
          <w:rFonts w:ascii="Times New Roman" w:hAnsi="Times New Roman" w:cs="Times New Roman"/>
          <w:color w:val="000000"/>
          <w:sz w:val="22"/>
          <w:szCs w:val="22"/>
        </w:rPr>
      </w:pPr>
    </w:p>
    <w:p w14:paraId="01F59DD2" w14:textId="333FF2CC" w:rsidR="00C349E5" w:rsidRPr="009665BF" w:rsidRDefault="00C349E5" w:rsidP="00C349E5">
      <w:pPr>
        <w:pStyle w:val="ListParagraph"/>
        <w:numPr>
          <w:ilvl w:val="0"/>
          <w:numId w:val="72"/>
        </w:numPr>
        <w:spacing w:line="276" w:lineRule="auto"/>
        <w:rPr>
          <w:rFonts w:ascii="Times New Roman" w:hAnsi="Times New Roman" w:cs="Times New Roman"/>
          <w:color w:val="2E74B5" w:themeColor="accent5" w:themeShade="BF"/>
          <w:sz w:val="22"/>
          <w:szCs w:val="22"/>
        </w:rPr>
      </w:pPr>
      <w:r w:rsidRPr="009665BF">
        <w:rPr>
          <w:rFonts w:ascii="Times New Roman" w:hAnsi="Times New Roman" w:cs="Times New Roman"/>
          <w:color w:val="2E74B5" w:themeColor="accent5" w:themeShade="BF"/>
          <w:sz w:val="22"/>
          <w:szCs w:val="22"/>
        </w:rPr>
        <w:t xml:space="preserve">EIC suggested no response required as novelty not a requirement for </w:t>
      </w:r>
      <w:proofErr w:type="gramStart"/>
      <w:r w:rsidRPr="009665BF">
        <w:rPr>
          <w:rFonts w:ascii="Times New Roman" w:hAnsi="Times New Roman" w:cs="Times New Roman"/>
          <w:color w:val="2E74B5" w:themeColor="accent5" w:themeShade="BF"/>
          <w:sz w:val="22"/>
          <w:szCs w:val="22"/>
        </w:rPr>
        <w:t>CSP</w:t>
      </w:r>
      <w:proofErr w:type="gramEnd"/>
    </w:p>
    <w:p w14:paraId="0BF70242" w14:textId="77777777" w:rsidR="00C349E5" w:rsidRPr="00282FC1" w:rsidRDefault="007331A9" w:rsidP="00F005BF">
      <w:pPr>
        <w:pStyle w:val="ListParagraph"/>
        <w:spacing w:line="276" w:lineRule="auto"/>
        <w:ind w:left="0"/>
        <w:rPr>
          <w:rFonts w:ascii="Times New Roman" w:hAnsi="Times New Roman" w:cs="Times New Roman"/>
          <w:color w:val="000000"/>
          <w:sz w:val="22"/>
          <w:szCs w:val="22"/>
        </w:rPr>
      </w:pPr>
      <w:r w:rsidRPr="00282FC1">
        <w:rPr>
          <w:rFonts w:ascii="Times New Roman" w:hAnsi="Times New Roman" w:cs="Times New Roman"/>
          <w:color w:val="000000"/>
          <w:sz w:val="22"/>
          <w:szCs w:val="22"/>
        </w:rPr>
        <w:br/>
      </w:r>
      <w:r w:rsidRPr="00282FC1">
        <w:rPr>
          <w:rFonts w:ascii="Times New Roman" w:hAnsi="Times New Roman" w:cs="Times New Roman"/>
          <w:color w:val="000000"/>
          <w:sz w:val="22"/>
          <w:szCs w:val="22"/>
        </w:rPr>
        <w:br/>
        <w:t xml:space="preserve">Several of the more involved technical aspects of the comments were only peripherally addressed. For example, your response to my original comment #4 was that transient behavior is not typical for grizzly bear populations. This is true of course, but it was not the point of the comment; the point was that the study area is relatively small for grizzly bear standards (3,210 km2 for the demographic analyses), and thus the possibility of animals simply passing through and being detected (which does not require transient behavior) may be quite </w:t>
      </w:r>
      <w:proofErr w:type="gramStart"/>
      <w:r w:rsidRPr="00282FC1">
        <w:rPr>
          <w:rFonts w:ascii="Times New Roman" w:hAnsi="Times New Roman" w:cs="Times New Roman"/>
          <w:color w:val="000000"/>
          <w:sz w:val="22"/>
          <w:szCs w:val="22"/>
        </w:rPr>
        <w:t>high, and</w:t>
      </w:r>
      <w:proofErr w:type="gramEnd"/>
      <w:r w:rsidRPr="00282FC1">
        <w:rPr>
          <w:rFonts w:ascii="Times New Roman" w:hAnsi="Times New Roman" w:cs="Times New Roman"/>
          <w:color w:val="000000"/>
          <w:sz w:val="22"/>
          <w:szCs w:val="22"/>
        </w:rPr>
        <w:t xml:space="preserve"> could easily be misinterpreted as immigration. Similarly, in my original comment 3 the idea was that you can estimate immigration and emigration &lt;</w:t>
      </w:r>
      <w:proofErr w:type="spellStart"/>
      <w:r w:rsidRPr="00282FC1">
        <w:rPr>
          <w:rFonts w:ascii="Times New Roman" w:hAnsi="Times New Roman" w:cs="Times New Roman"/>
          <w:color w:val="000000"/>
          <w:sz w:val="22"/>
          <w:szCs w:val="22"/>
        </w:rPr>
        <w:t>i</w:t>
      </w:r>
      <w:proofErr w:type="spellEnd"/>
      <w:r w:rsidRPr="00282FC1">
        <w:rPr>
          <w:rFonts w:ascii="Times New Roman" w:hAnsi="Times New Roman" w:cs="Times New Roman"/>
          <w:color w:val="000000"/>
          <w:sz w:val="22"/>
          <w:szCs w:val="22"/>
        </w:rPr>
        <w:t>&gt;directly &lt;/</w:t>
      </w:r>
      <w:proofErr w:type="spellStart"/>
      <w:r w:rsidRPr="00282FC1">
        <w:rPr>
          <w:rFonts w:ascii="Times New Roman" w:hAnsi="Times New Roman" w:cs="Times New Roman"/>
          <w:color w:val="000000"/>
          <w:sz w:val="22"/>
          <w:szCs w:val="22"/>
        </w:rPr>
        <w:t>i</w:t>
      </w:r>
      <w:proofErr w:type="spellEnd"/>
      <w:r w:rsidRPr="00282FC1">
        <w:rPr>
          <w:rFonts w:ascii="Times New Roman" w:hAnsi="Times New Roman" w:cs="Times New Roman"/>
          <w:color w:val="000000"/>
          <w:sz w:val="22"/>
          <w:szCs w:val="22"/>
        </w:rPr>
        <w:t>&gt; using a robust-design through the parameterization of γ&lt;sub&gt;</w:t>
      </w:r>
      <w:proofErr w:type="spellStart"/>
      <w:r w:rsidRPr="00282FC1">
        <w:rPr>
          <w:rFonts w:ascii="Times New Roman" w:hAnsi="Times New Roman" w:cs="Times New Roman"/>
          <w:color w:val="000000"/>
          <w:sz w:val="22"/>
          <w:szCs w:val="22"/>
        </w:rPr>
        <w:t>i</w:t>
      </w:r>
      <w:proofErr w:type="spellEnd"/>
      <w:r w:rsidRPr="00282FC1">
        <w:rPr>
          <w:rFonts w:ascii="Times New Roman" w:hAnsi="Times New Roman" w:cs="Times New Roman"/>
          <w:color w:val="000000"/>
          <w:sz w:val="22"/>
          <w:szCs w:val="22"/>
        </w:rPr>
        <w:t xml:space="preserve">&lt;/sub&gt;' (i.e., the probability that a bear is not in the study area in period </w:t>
      </w:r>
      <w:proofErr w:type="spellStart"/>
      <w:r w:rsidRPr="00282FC1">
        <w:rPr>
          <w:rFonts w:ascii="Times New Roman" w:hAnsi="Times New Roman" w:cs="Times New Roman"/>
          <w:color w:val="000000"/>
          <w:sz w:val="22"/>
          <w:szCs w:val="22"/>
        </w:rPr>
        <w:t>i</w:t>
      </w:r>
      <w:proofErr w:type="spellEnd"/>
      <w:r w:rsidRPr="00282FC1">
        <w:rPr>
          <w:rFonts w:ascii="Times New Roman" w:hAnsi="Times New Roman" w:cs="Times New Roman"/>
          <w:color w:val="000000"/>
          <w:sz w:val="22"/>
          <w:szCs w:val="22"/>
        </w:rPr>
        <w:t>, given that it was not present in the study area during the previous sampling period) and γ&lt;sub&gt;</w:t>
      </w:r>
      <w:proofErr w:type="spellStart"/>
      <w:r w:rsidRPr="00282FC1">
        <w:rPr>
          <w:rFonts w:ascii="Times New Roman" w:hAnsi="Times New Roman" w:cs="Times New Roman"/>
          <w:color w:val="000000"/>
          <w:sz w:val="22"/>
          <w:szCs w:val="22"/>
        </w:rPr>
        <w:t>i</w:t>
      </w:r>
      <w:proofErr w:type="spellEnd"/>
      <w:r w:rsidRPr="00282FC1">
        <w:rPr>
          <w:rFonts w:ascii="Times New Roman" w:hAnsi="Times New Roman" w:cs="Times New Roman"/>
          <w:color w:val="000000"/>
          <w:sz w:val="22"/>
          <w:szCs w:val="22"/>
        </w:rPr>
        <w:t xml:space="preserve">&lt;/sub&gt;'' (i.e., the probability that a bear moves outside the study area in period </w:t>
      </w:r>
      <w:proofErr w:type="spellStart"/>
      <w:r w:rsidRPr="00282FC1">
        <w:rPr>
          <w:rFonts w:ascii="Times New Roman" w:hAnsi="Times New Roman" w:cs="Times New Roman"/>
          <w:color w:val="000000"/>
          <w:sz w:val="22"/>
          <w:szCs w:val="22"/>
        </w:rPr>
        <w:t>i</w:t>
      </w:r>
      <w:proofErr w:type="spellEnd"/>
      <w:r w:rsidRPr="00282FC1">
        <w:rPr>
          <w:rFonts w:ascii="Times New Roman" w:hAnsi="Times New Roman" w:cs="Times New Roman"/>
          <w:color w:val="000000"/>
          <w:sz w:val="22"/>
          <w:szCs w:val="22"/>
        </w:rPr>
        <w:t xml:space="preserve"> given that it was present during the previous sampling period). That would be a more powerful and elegant way to assess whether immigration is permanent or temporary.</w:t>
      </w:r>
    </w:p>
    <w:p w14:paraId="1E1E5606" w14:textId="77777777" w:rsidR="00C349E5" w:rsidRPr="00282FC1" w:rsidRDefault="00C349E5" w:rsidP="00C349E5">
      <w:pPr>
        <w:pStyle w:val="ListParagraph"/>
        <w:spacing w:line="276" w:lineRule="auto"/>
        <w:ind w:left="0"/>
        <w:rPr>
          <w:rFonts w:ascii="Times New Roman" w:hAnsi="Times New Roman" w:cs="Times New Roman"/>
          <w:color w:val="000000"/>
          <w:sz w:val="22"/>
          <w:szCs w:val="22"/>
        </w:rPr>
      </w:pPr>
    </w:p>
    <w:p w14:paraId="0CD6F8ED" w14:textId="3C64483B" w:rsidR="00C349E5" w:rsidRPr="009665BF" w:rsidRDefault="00E8168B" w:rsidP="00C349E5">
      <w:pPr>
        <w:pStyle w:val="ListParagraph"/>
        <w:numPr>
          <w:ilvl w:val="0"/>
          <w:numId w:val="79"/>
        </w:numPr>
        <w:spacing w:line="276" w:lineRule="auto"/>
        <w:rPr>
          <w:rFonts w:ascii="Times New Roman" w:hAnsi="Times New Roman" w:cs="Times New Roman"/>
          <w:color w:val="2E74B5" w:themeColor="accent5" w:themeShade="BF"/>
          <w:sz w:val="22"/>
          <w:szCs w:val="22"/>
        </w:rPr>
      </w:pPr>
      <w:r w:rsidRPr="009665BF">
        <w:rPr>
          <w:rFonts w:ascii="Times New Roman" w:hAnsi="Times New Roman" w:cs="Times New Roman"/>
          <w:color w:val="2E74B5" w:themeColor="accent5" w:themeShade="BF"/>
          <w:sz w:val="22"/>
          <w:szCs w:val="22"/>
        </w:rPr>
        <w:t xml:space="preserve">We now better understand the reviewers’ concerns. Given that the reviewer agrees transient behaviour is not typical for grizzly bear populations, the primary concern is animals with home ranges that straddle the study area boundary, that may perhaps only be detected in a single year if their home range overlap is low. The reviewer is concerned that this could be misinterpreted in the model as immigration when really, it’s just that the bear happened to wander into the edge of its home range and get caught at our traps </w:t>
      </w:r>
      <w:proofErr w:type="gramStart"/>
      <w:r w:rsidRPr="009665BF">
        <w:rPr>
          <w:rFonts w:ascii="Times New Roman" w:hAnsi="Times New Roman" w:cs="Times New Roman"/>
          <w:color w:val="2E74B5" w:themeColor="accent5" w:themeShade="BF"/>
          <w:sz w:val="22"/>
          <w:szCs w:val="22"/>
        </w:rPr>
        <w:t>in a given year</w:t>
      </w:r>
      <w:proofErr w:type="gramEnd"/>
      <w:r w:rsidRPr="009665BF">
        <w:rPr>
          <w:rFonts w:ascii="Times New Roman" w:hAnsi="Times New Roman" w:cs="Times New Roman"/>
          <w:color w:val="2E74B5" w:themeColor="accent5" w:themeShade="BF"/>
          <w:sz w:val="22"/>
          <w:szCs w:val="22"/>
        </w:rPr>
        <w:t xml:space="preserve">. This study area edge issue (which the reviewer is correct is worse for smaller study areas with large </w:t>
      </w:r>
      <w:proofErr w:type="spellStart"/>
      <w:r w:rsidRPr="009665BF">
        <w:rPr>
          <w:rFonts w:ascii="Times New Roman" w:hAnsi="Times New Roman" w:cs="Times New Roman"/>
          <w:color w:val="2E74B5" w:themeColor="accent5" w:themeShade="BF"/>
          <w:sz w:val="22"/>
          <w:szCs w:val="22"/>
        </w:rPr>
        <w:t>edge:area</w:t>
      </w:r>
      <w:proofErr w:type="spellEnd"/>
      <w:r w:rsidRPr="009665BF">
        <w:rPr>
          <w:rFonts w:ascii="Times New Roman" w:hAnsi="Times New Roman" w:cs="Times New Roman"/>
          <w:color w:val="2E74B5" w:themeColor="accent5" w:themeShade="BF"/>
          <w:sz w:val="22"/>
          <w:szCs w:val="22"/>
        </w:rPr>
        <w:t xml:space="preserve"> ratios) was a focal concern in non-spatial capture recapture (CR) models </w:t>
      </w:r>
      <w:r w:rsidRPr="009665BF">
        <w:rPr>
          <w:rFonts w:ascii="Times New Roman" w:hAnsi="Times New Roman" w:cs="Times New Roman"/>
          <w:color w:val="2E74B5" w:themeColor="accent5" w:themeShade="BF"/>
          <w:sz w:val="22"/>
          <w:szCs w:val="22"/>
        </w:rPr>
        <w:fldChar w:fldCharType="begin"/>
      </w:r>
      <w:r w:rsidRPr="009665BF">
        <w:rPr>
          <w:rFonts w:ascii="Times New Roman" w:hAnsi="Times New Roman" w:cs="Times New Roman"/>
          <w:color w:val="2E74B5" w:themeColor="accent5" w:themeShade="BF"/>
          <w:sz w:val="22"/>
          <w:szCs w:val="22"/>
        </w:rPr>
        <w:instrText xml:space="preserve"> ADDIN ZOTERO_ITEM CSL_CITATION {"citationID":"fuVs4aUj","properties":{"formattedCitation":"(Boulanger &amp; McLellan, 2001)","plainCitation":"(Boulanger &amp; McLellan, 2001)","noteIndex":0},"citationItems":[{"id":868,"uris":["http://zotero.org/users/6749014/items/GXK4HS6S"],"itemData":{"id":868,"type":"article-journal","abstract":"We use methods in the program MARK to explore the effects of closure violation when DNA-based mark–recapture methods are used to estimate grizzly bear (Ursus arctos) populations. Our approach involves the use of Pradel models in MARK to explore the relationship between recruitment, apparent survival rates, recapture rates, and distance between mean bear-capture locations and the edge of the sampling grid. If the population is demographically closed, it can be assumed that apparent survival estimates the fidelity of bears to the grid area and recruitment estimates rates of addition of bears to the grid area. A core bear population is defined from the Pradel analysis and is used to approximate the grid-based population size. The Huggins closed-population model in MARK is used to provide robust superpopulation estimates by explicitly modeling the relationship between capture probability and distance of bear-capture location from the grid edge. Data from a grizzly bear DNA-based mark–recapture inventory conducted in British Columbia is used to illustrate this method. The results of the Pradel analysis suggest that bears with mean capture locations within 10 km of the grid edge exhibit reduced fidelity rates and higher addition rates. Using the population of bears captured more than 10 km from the grid edge, a core-extrapolated estimate is derived, which is substantially lower than naïve CAPTURE superpopulation estimates. The Huggins model superpopulation estimate displays superior precision compared with CAPTURE model estimates. Our results illustrate the danger of naïve interpretation of closed-model estimates. This method allows further inferences to be made concerning the spatial causes of closure violation, and the degree of bias caused by closure violation to be explored.","language":"en","page":"10","source":"Zotero","title":"Closure violation in DNA-based mark–recapture estimation of grizzly bear populations","volume":"79","author":[{"family":"Boulanger","given":"John"},{"family":"McLellan","given":"Bruce"}],"issued":{"date-parts":[["2001"]]}}}],"schema":"https://github.com/citation-style-language/schema/raw/master/csl-citation.json"} </w:instrText>
      </w:r>
      <w:r w:rsidRPr="009665BF">
        <w:rPr>
          <w:rFonts w:ascii="Times New Roman" w:hAnsi="Times New Roman" w:cs="Times New Roman"/>
          <w:color w:val="2E74B5" w:themeColor="accent5" w:themeShade="BF"/>
          <w:sz w:val="22"/>
          <w:szCs w:val="22"/>
        </w:rPr>
        <w:fldChar w:fldCharType="separate"/>
      </w:r>
      <w:r w:rsidRPr="009665BF">
        <w:rPr>
          <w:rFonts w:ascii="Times New Roman" w:hAnsi="Times New Roman" w:cs="Times New Roman"/>
          <w:noProof/>
          <w:color w:val="2E74B5" w:themeColor="accent5" w:themeShade="BF"/>
          <w:sz w:val="22"/>
          <w:szCs w:val="22"/>
        </w:rPr>
        <w:t>(Boulanger &amp; McLellan, 2001)</w:t>
      </w:r>
      <w:r w:rsidRPr="009665BF">
        <w:rPr>
          <w:rFonts w:ascii="Times New Roman" w:hAnsi="Times New Roman" w:cs="Times New Roman"/>
          <w:color w:val="2E74B5" w:themeColor="accent5" w:themeShade="BF"/>
          <w:sz w:val="22"/>
          <w:szCs w:val="22"/>
        </w:rPr>
        <w:fldChar w:fldCharType="end"/>
      </w:r>
      <w:r w:rsidRPr="009665BF">
        <w:rPr>
          <w:rFonts w:ascii="Times New Roman" w:hAnsi="Times New Roman" w:cs="Times New Roman"/>
          <w:color w:val="2E74B5" w:themeColor="accent5" w:themeShade="BF"/>
          <w:sz w:val="22"/>
          <w:szCs w:val="22"/>
        </w:rPr>
        <w:t xml:space="preserve">. Since the advent of spatial capture recapture (SCR) this issues has been largely resolved, and the model is able to estimate (although roughly when there are few detections) where animals’ home range centers are, allowing for animals to be </w:t>
      </w:r>
      <w:r w:rsidRPr="009665BF">
        <w:rPr>
          <w:rFonts w:ascii="Times New Roman" w:hAnsi="Times New Roman" w:cs="Times New Roman"/>
          <w:color w:val="2E74B5" w:themeColor="accent5" w:themeShade="BF"/>
          <w:sz w:val="22"/>
          <w:szCs w:val="22"/>
        </w:rPr>
        <w:lastRenderedPageBreak/>
        <w:t xml:space="preserve">detected that do not have home ranges inside the study area, without biasing resulting parameters </w:t>
      </w:r>
      <w:r w:rsidRPr="009665BF">
        <w:rPr>
          <w:rFonts w:ascii="Times New Roman" w:hAnsi="Times New Roman" w:cs="Times New Roman"/>
          <w:color w:val="2E74B5" w:themeColor="accent5" w:themeShade="BF"/>
          <w:sz w:val="22"/>
          <w:szCs w:val="22"/>
        </w:rPr>
        <w:fldChar w:fldCharType="begin"/>
      </w:r>
      <w:r w:rsidRPr="009665BF">
        <w:rPr>
          <w:rFonts w:ascii="Times New Roman" w:hAnsi="Times New Roman" w:cs="Times New Roman"/>
          <w:color w:val="2E74B5" w:themeColor="accent5" w:themeShade="BF"/>
          <w:sz w:val="22"/>
          <w:szCs w:val="22"/>
        </w:rPr>
        <w:instrText xml:space="preserve"> ADDIN ZOTERO_ITEM CSL_CITATION {"citationID":"n0dYMVBm","properties":{"formattedCitation":"(Efford &amp; Fewster, 2013; Efford &amp; Schofield, 2020)","plainCitation":"(Efford &amp; Fewster, 2013; Efford &amp; Schofield, 2020)","noteIndex":0},"citationItems":[{"id":729,"uris":["http://zotero.org/users/6749014/items/YTRLZGIU"],"itemData":{"id":729,"type":"article-journal","container-title":"Oikos","DOI":"10.1111/j.1600-0706.2012.20440.x","ISSN":"00301299","issue":"6","journalAbbreviation":"Oikos","language":"en","page":"918-928","source":"DOI.org (Crossref)","title":"Estimating population size by spatially explicit capture-recapture","volume":"122","author":[{"family":"Efford","given":"Murray G."},{"family":"Fewster","given":"Rachel M."}],"issued":{"date-parts":[["2013",6]]}}},{"id":5028,"uris":["http://zotero.org/users/6749014/items/W6B5PKWR"],"itemData":{"id":5028,"type":"article-journal","abstract":"A spatial open-population capture-recapture model is described that extends both the non-spatial open-population model of Schwarz and Arnason and the spatially explicit closed-population model of Borchers and Efford. The superpopulation of animals available for detection at some time during a study is conceived as a two-dimensional Poisson point process. Individual probabilities of birth and death follow the conventional open-population model. Movement between sampling times may be modeled with a dispersal kernel using a recursive Markovian algorithm. Observations arise from distance-dependent sampling at an array of detectors. As in the closed-population spatial model, the observed data likelihood relies on integration over the unknown animal locations; maximization of this likelihood yields estimates of the birth, death, movement, and detection parameters. The models were fitted to data from a live-trapping study of brushtail possums (Trichosurus vulpecula) in New Zealand. Simulations confirmed that spatial modeling can greatly reduce the bias of capture-recapture survival estimates and that there is a degree of robustness to misspecification of the dispersal kernel. An R package is available that includes various extensions.","container-title":"Biometrics","DOI":"10.1111/biom.13150","ISSN":"1541-0420","issue":"2","language":"en","note":"_eprint: https://onlinelibrary.wiley.com/doi/pdf/10.1111/biom.13150","page":"392-402","source":"Wiley Online Library","title":"A spatial open-population capture-recapture model","volume":"76","author":[{"family":"Efford","given":"Murray G."},{"family":"Schofield","given":"Matthew R."}],"issued":{"date-parts":[["2020"]]}}}],"schema":"https://github.com/citation-style-language/schema/raw/master/csl-citation.json"} </w:instrText>
      </w:r>
      <w:r w:rsidRPr="009665BF">
        <w:rPr>
          <w:rFonts w:ascii="Times New Roman" w:hAnsi="Times New Roman" w:cs="Times New Roman"/>
          <w:color w:val="2E74B5" w:themeColor="accent5" w:themeShade="BF"/>
          <w:sz w:val="22"/>
          <w:szCs w:val="22"/>
        </w:rPr>
        <w:fldChar w:fldCharType="separate"/>
      </w:r>
      <w:r w:rsidRPr="009665BF">
        <w:rPr>
          <w:rFonts w:ascii="Times New Roman" w:hAnsi="Times New Roman" w:cs="Times New Roman"/>
          <w:noProof/>
          <w:color w:val="2E74B5" w:themeColor="accent5" w:themeShade="BF"/>
          <w:sz w:val="22"/>
          <w:szCs w:val="22"/>
        </w:rPr>
        <w:t>(Efford &amp; Fewster, 2013; Efford &amp; Schofield, 2020)</w:t>
      </w:r>
      <w:r w:rsidRPr="009665BF">
        <w:rPr>
          <w:rFonts w:ascii="Times New Roman" w:hAnsi="Times New Roman" w:cs="Times New Roman"/>
          <w:color w:val="2E74B5" w:themeColor="accent5" w:themeShade="BF"/>
          <w:sz w:val="22"/>
          <w:szCs w:val="22"/>
        </w:rPr>
        <w:fldChar w:fldCharType="end"/>
      </w:r>
      <w:r w:rsidRPr="009665BF">
        <w:rPr>
          <w:rFonts w:ascii="Times New Roman" w:hAnsi="Times New Roman" w:cs="Times New Roman"/>
          <w:color w:val="2E74B5" w:themeColor="accent5" w:themeShade="BF"/>
          <w:sz w:val="22"/>
          <w:szCs w:val="22"/>
        </w:rPr>
        <w:t>.</w:t>
      </w:r>
    </w:p>
    <w:p w14:paraId="54F271CF" w14:textId="0A66F56D" w:rsidR="00E8168B" w:rsidRPr="009665BF" w:rsidRDefault="00E8168B" w:rsidP="00C349E5">
      <w:pPr>
        <w:pStyle w:val="ListParagraph"/>
        <w:numPr>
          <w:ilvl w:val="0"/>
          <w:numId w:val="79"/>
        </w:numPr>
        <w:spacing w:line="276" w:lineRule="auto"/>
        <w:rPr>
          <w:rFonts w:ascii="Times New Roman" w:hAnsi="Times New Roman" w:cs="Times New Roman"/>
          <w:color w:val="2E74B5" w:themeColor="accent5" w:themeShade="BF"/>
          <w:sz w:val="22"/>
          <w:szCs w:val="22"/>
        </w:rPr>
      </w:pPr>
      <w:r w:rsidRPr="009665BF">
        <w:rPr>
          <w:rFonts w:ascii="Times New Roman" w:hAnsi="Times New Roman" w:cs="Times New Roman"/>
          <w:color w:val="2E74B5" w:themeColor="accent5" w:themeShade="BF"/>
          <w:sz w:val="22"/>
          <w:szCs w:val="22"/>
        </w:rPr>
        <w:t>IF we’ve misunderstood the reviewers concerns and they are not talking about transient beh</w:t>
      </w:r>
      <w:r w:rsidR="008F221D" w:rsidRPr="009665BF">
        <w:rPr>
          <w:rFonts w:ascii="Times New Roman" w:hAnsi="Times New Roman" w:cs="Times New Roman"/>
          <w:color w:val="2E74B5" w:themeColor="accent5" w:themeShade="BF"/>
          <w:sz w:val="22"/>
          <w:szCs w:val="22"/>
        </w:rPr>
        <w:t>aviour or resident edge issues, but rather about dispersal, then we have the following thoughts:</w:t>
      </w:r>
    </w:p>
    <w:p w14:paraId="3D4D2534" w14:textId="0DBEE708" w:rsidR="008F221D" w:rsidRPr="009665BF" w:rsidRDefault="008F221D" w:rsidP="008F221D">
      <w:pPr>
        <w:pStyle w:val="ListParagraph"/>
        <w:numPr>
          <w:ilvl w:val="1"/>
          <w:numId w:val="79"/>
        </w:numPr>
        <w:spacing w:line="276" w:lineRule="auto"/>
        <w:rPr>
          <w:rFonts w:ascii="Times New Roman" w:hAnsi="Times New Roman" w:cs="Times New Roman"/>
          <w:color w:val="2E74B5" w:themeColor="accent5" w:themeShade="BF"/>
          <w:sz w:val="22"/>
          <w:szCs w:val="22"/>
        </w:rPr>
      </w:pPr>
      <w:r w:rsidRPr="009665BF">
        <w:rPr>
          <w:rFonts w:ascii="Times New Roman" w:hAnsi="Times New Roman" w:cs="Times New Roman"/>
          <w:color w:val="2E74B5" w:themeColor="accent5" w:themeShade="BF"/>
          <w:sz w:val="22"/>
          <w:szCs w:val="22"/>
        </w:rPr>
        <w:t xml:space="preserve">We defer to the collared animals known to be detected in the area, none of which have ever dispersed out after capture. This suggests either dispersing through is too rare for us to detect even though we keep ~20% of the population collared annually, or the Elk Valley sink is attractive enough that few animals who disperse into it end up dispersing through it given that there is attractive habitat and vacancies from high mortality </w:t>
      </w:r>
      <w:r w:rsidRPr="009665BF">
        <w:rPr>
          <w:rFonts w:ascii="Times New Roman" w:hAnsi="Times New Roman" w:cs="Times New Roman"/>
          <w:color w:val="2E74B5" w:themeColor="accent5" w:themeShade="BF"/>
          <w:sz w:val="22"/>
          <w:szCs w:val="22"/>
        </w:rPr>
        <w:fldChar w:fldCharType="begin"/>
      </w:r>
      <w:r w:rsidRPr="009665BF">
        <w:rPr>
          <w:rFonts w:ascii="Times New Roman" w:hAnsi="Times New Roman" w:cs="Times New Roman"/>
          <w:color w:val="2E74B5" w:themeColor="accent5" w:themeShade="BF"/>
          <w:sz w:val="22"/>
          <w:szCs w:val="22"/>
        </w:rPr>
        <w:instrText xml:space="preserve"> ADDIN ZOTERO_ITEM CSL_CITATION {"citationID":"Mn0ylmKs","properties":{"formattedCitation":"(Lamb, Mowat, McLellan, Nielsen, &amp; Boutin, 2017)","plainCitation":"(Lamb, Mowat, McLellan, Nielsen, &amp; Boutin, 2017)","noteIndex":0},"citationItems":[{"id":7,"uris":["http://zotero.org/users/6749014/items/ETICESGM"],"itemData":{"id":7,"type":"article-journal","abstract":"Habitat choice is an evolutionary product of animals experiencing increased fitness when preferentially occupying high-quality habitat. However, an ecological trap (ET) can occur when an animal is presented with novel conditions and the animal's assessment of habitat quality is poorly matched to its resulting fitness. We tested for an ET for grizzly (brown) bears using demographic and movement data collected in an area with rich food resources and concentrated human settlement. We derived measures of habitat attractiveness from occurrence models of bear food resources and estimated demographic parameters using DNA mark–recapture information collected over 8 years (2006–2013). We then paired this information with grizzly bear mortality records to investigate kill and movement rates. Our results demonstrate that a valley high in both berry resources and human density was more attractive than surrounding areas, and bears occupying this region faced 17% lower apparent survival. Despite lower fitness, we detected a net flow of bears into the ET, which contributed to a study-wide population decline. This work highlights the presence and pervasiveness of an ET for an apex omnivore that lacks the evolutionary cues, under human-induced rapid ecological change, to assess trade-offs between food resources and human-caused mortality, which results in maladaptive habitat selection.","container-title":"Journal of Animal Ecology","DOI":"10.1111/1365-2656.12589","ISSN":"1365-2656","issue":"1","language":"en","license":"Creative Commons Attribution-NonCommercial-NoDerivatives 4.0 International License (CC-BY-NC-ND)","note":"_eprint: https://onlinelibrary.wiley.com/doi/pdf/10.1111/1365-2656.12589","page":"55-65","source":"Wiley Online Library","title":"Forbidden fruit: human settlement and abundant fruit create an ecological trap for an apex omnivore","title-short":"Forbidden fruit","volume":"86","author":[{"family":"Lamb","given":"Clayton T."},{"family":"Mowat","given":"Garth"},{"family":"McLellan","given":"Bruce N."},{"family":"Nielsen","given":"Scott E."},{"family":"Boutin","given":"Stan"}],"issued":{"date-parts":[["2017"]]}}}],"schema":"https://github.com/citation-style-language/schema/raw/master/csl-citation.json"} </w:instrText>
      </w:r>
      <w:r w:rsidRPr="009665BF">
        <w:rPr>
          <w:rFonts w:ascii="Times New Roman" w:hAnsi="Times New Roman" w:cs="Times New Roman"/>
          <w:color w:val="2E74B5" w:themeColor="accent5" w:themeShade="BF"/>
          <w:sz w:val="22"/>
          <w:szCs w:val="22"/>
        </w:rPr>
        <w:fldChar w:fldCharType="separate"/>
      </w:r>
      <w:r w:rsidRPr="009665BF">
        <w:rPr>
          <w:rFonts w:ascii="Times New Roman" w:hAnsi="Times New Roman" w:cs="Times New Roman"/>
          <w:noProof/>
          <w:color w:val="2E74B5" w:themeColor="accent5" w:themeShade="BF"/>
          <w:sz w:val="22"/>
          <w:szCs w:val="22"/>
        </w:rPr>
        <w:t>(Lamb, Mowat, McLellan, Nielsen, &amp; Boutin, 2017)</w:t>
      </w:r>
      <w:r w:rsidRPr="009665BF">
        <w:rPr>
          <w:rFonts w:ascii="Times New Roman" w:hAnsi="Times New Roman" w:cs="Times New Roman"/>
          <w:color w:val="2E74B5" w:themeColor="accent5" w:themeShade="BF"/>
          <w:sz w:val="22"/>
          <w:szCs w:val="22"/>
        </w:rPr>
        <w:fldChar w:fldCharType="end"/>
      </w:r>
    </w:p>
    <w:p w14:paraId="1313B5C7" w14:textId="007777D6" w:rsidR="008F221D" w:rsidRPr="009665BF" w:rsidRDefault="008F221D" w:rsidP="008F221D">
      <w:pPr>
        <w:pStyle w:val="ListParagraph"/>
        <w:numPr>
          <w:ilvl w:val="0"/>
          <w:numId w:val="79"/>
        </w:numPr>
        <w:spacing w:line="276" w:lineRule="auto"/>
        <w:rPr>
          <w:rFonts w:ascii="Times New Roman" w:hAnsi="Times New Roman" w:cs="Times New Roman"/>
          <w:color w:val="2E74B5" w:themeColor="accent5" w:themeShade="BF"/>
          <w:sz w:val="22"/>
          <w:szCs w:val="22"/>
        </w:rPr>
      </w:pPr>
      <w:r w:rsidRPr="009665BF">
        <w:rPr>
          <w:rFonts w:ascii="Times New Roman" w:hAnsi="Times New Roman" w:cs="Times New Roman"/>
          <w:color w:val="2E74B5" w:themeColor="accent5" w:themeShade="BF"/>
          <w:sz w:val="22"/>
          <w:szCs w:val="22"/>
        </w:rPr>
        <w:t xml:space="preserve">In any case, the models the reviewer is referring to are non-spatial models and we are now using spatial models that account for much of the edge concerns highlighted in (a). We investigated the parameters the reviewer suggested and they do not seem available in </w:t>
      </w:r>
      <w:proofErr w:type="spellStart"/>
      <w:r w:rsidRPr="009665BF">
        <w:rPr>
          <w:rFonts w:ascii="Times New Roman" w:hAnsi="Times New Roman" w:cs="Times New Roman"/>
          <w:color w:val="2E74B5" w:themeColor="accent5" w:themeShade="BF"/>
          <w:sz w:val="22"/>
          <w:szCs w:val="22"/>
        </w:rPr>
        <w:t>OpenCR</w:t>
      </w:r>
      <w:proofErr w:type="spellEnd"/>
      <w:r w:rsidRPr="009665BF">
        <w:rPr>
          <w:rFonts w:ascii="Times New Roman" w:hAnsi="Times New Roman" w:cs="Times New Roman"/>
          <w:color w:val="2E74B5" w:themeColor="accent5" w:themeShade="BF"/>
          <w:sz w:val="22"/>
          <w:szCs w:val="22"/>
        </w:rPr>
        <w:t xml:space="preserve"> (</w:t>
      </w:r>
      <w:hyperlink r:id="rId8" w:history="1">
        <w:r w:rsidRPr="009665BF">
          <w:rPr>
            <w:rStyle w:val="Hyperlink"/>
            <w:rFonts w:ascii="Times New Roman" w:hAnsi="Times New Roman" w:cs="Times New Roman"/>
            <w:color w:val="2E74B5" w:themeColor="accent5" w:themeShade="BF"/>
            <w:sz w:val="22"/>
            <w:szCs w:val="22"/>
          </w:rPr>
          <w:t>https://cran.r-project.org/web/packages/openCR/vignettes/openCR-vignette.pdf</w:t>
        </w:r>
      </w:hyperlink>
      <w:r w:rsidRPr="009665BF">
        <w:rPr>
          <w:rFonts w:ascii="Times New Roman" w:hAnsi="Times New Roman" w:cs="Times New Roman"/>
          <w:color w:val="2E74B5" w:themeColor="accent5" w:themeShade="BF"/>
          <w:sz w:val="22"/>
          <w:szCs w:val="22"/>
        </w:rPr>
        <w:t xml:space="preserve">), likely due to the incorporation of space accounting for this already. Our primary goal was to estimate the observed growth of the population. The DNA detections provide means to do that and provide evidence that the population is stable through time. This can occur through many pathways, </w:t>
      </w:r>
      <w:proofErr w:type="spellStart"/>
      <w:r w:rsidRPr="009665BF">
        <w:rPr>
          <w:rFonts w:ascii="Times New Roman" w:hAnsi="Times New Roman" w:cs="Times New Roman"/>
          <w:color w:val="2E74B5" w:themeColor="accent5" w:themeShade="BF"/>
          <w:sz w:val="22"/>
          <w:szCs w:val="22"/>
        </w:rPr>
        <w:t>which</w:t>
      </w:r>
      <w:proofErr w:type="spellEnd"/>
      <w:r w:rsidRPr="009665BF">
        <w:rPr>
          <w:rFonts w:ascii="Times New Roman" w:hAnsi="Times New Roman" w:cs="Times New Roman"/>
          <w:color w:val="2E74B5" w:themeColor="accent5" w:themeShade="BF"/>
          <w:sz w:val="22"/>
          <w:szCs w:val="22"/>
        </w:rPr>
        <w:t xml:space="preserve"> typically is from high survival or recruitment of the resident population. In our case, we provide compelling collar-based evidence the resident population should be declining, so the stable DNA SCR results suggest that some of the elevated growth rates observed are due to immigration. All available evidence suggests these immigrants stay (Figure 6A), but even if they didn’t, the fact remains that annually there about the same # of bears in the Elk Valley</w:t>
      </w:r>
      <w:r w:rsidR="009665BF" w:rsidRPr="009665BF">
        <w:rPr>
          <w:rFonts w:ascii="Times New Roman" w:hAnsi="Times New Roman" w:cs="Times New Roman"/>
          <w:color w:val="2E74B5" w:themeColor="accent5" w:themeShade="BF"/>
          <w:sz w:val="22"/>
          <w:szCs w:val="22"/>
        </w:rPr>
        <w:t>, and the resident population from the year before would be declining without immigration. Some animals must stay to allow the abundance of bears to be stable through time.</w:t>
      </w:r>
      <w:r w:rsidR="00F97AE7">
        <w:rPr>
          <w:rFonts w:ascii="Times New Roman" w:hAnsi="Times New Roman" w:cs="Times New Roman"/>
          <w:color w:val="2E74B5" w:themeColor="accent5" w:themeShade="BF"/>
          <w:sz w:val="22"/>
          <w:szCs w:val="22"/>
        </w:rPr>
        <w:t xml:space="preserve"> Additional analyses are unlikely to provide additional ecological insights and given the coarseness of DNA SCR data we suspect the models would have substantial challenges resolving passing through behaviour from death (in both cases the animal is never caught again), and we strongly advise against doing any non-spatial modelling on these data given the restricted study area size and changes in annual sampling distribution </w:t>
      </w:r>
      <w:r w:rsidR="00F97AE7">
        <w:rPr>
          <w:rFonts w:ascii="Times New Roman" w:hAnsi="Times New Roman" w:cs="Times New Roman"/>
          <w:color w:val="2E74B5" w:themeColor="accent5" w:themeShade="BF"/>
          <w:sz w:val="22"/>
          <w:szCs w:val="22"/>
        </w:rPr>
        <w:fldChar w:fldCharType="begin"/>
      </w:r>
      <w:r w:rsidR="00F97AE7">
        <w:rPr>
          <w:rFonts w:ascii="Times New Roman" w:hAnsi="Times New Roman" w:cs="Times New Roman"/>
          <w:color w:val="2E74B5" w:themeColor="accent5" w:themeShade="BF"/>
          <w:sz w:val="22"/>
          <w:szCs w:val="22"/>
        </w:rPr>
        <w:instrText xml:space="preserve"> ADDIN ZOTERO_ITEM CSL_CITATION {"citationID":"0A9fBS2E","properties":{"formattedCitation":"(Lamb et al., 2019)","plainCitation":"(Lamb et al., 2019)","noteIndex":0},"citationItems":[{"id":900,"uris":["http://zotero.org/users/6749014/items/2Q8W4QST"],"itemData":{"id":900,"type":"article-journal","abstract":"The Anthropocene is an era of marked human impact on the world. Quantifying these impacts has become central to understanding the dynamics of coupled human-natural systems, resource-dependent livelihoods, and biodiversity conservation. Ecologists are facing growing pressure to quantify the size, distribution, and trajectory of wild populations in a cost-effective and socially acceptable manner. Genetic tagging, combined with modern computational and genetic analyses, is an under-utilized tool to meet this demand, especially for wide-ranging, elusive, sensitive, and low-density species. Genetic tagging studies are now revealing unprecedented insight into the mechanisms that control the density, trajectory, connectivity, and patterns of human–wildlife interaction for populations over vast spatial extents. Here, we outline the application of, and ecological inferences from, new analytical techniques applied to genetically tagged individuals, contrast this approach with conventional methods, and describe how genetic tagging can be better applied to address outstanding questions in ecology. We provide example analyses using a long-term genetic tagging dataset of grizzly bears in the Canadian Rockies. The genetic tagging toolbox is a powerful and overlooked ensemble that ecologists and conservation biologists can leverage to generate evidence and meet the challenges of the Anthropocene.","container-title":"Ecological Applications","DOI":"10.1002/eap.1876","ISSN":"1051-0761, 1939-5582","issue":"4","journalAbbreviation":"Ecol Appl","language":"en","license":"CC0 1.0 Universal Public Domain Dedication","page":"e01876","source":"DOI.org (Crossref)","title":"Genetic tagging in the Anthropocene: scaling ecology from alleles to ecosystems","title-short":"Genetic tagging in the Anthropocene","volume":"29","author":[{"family":"Lamb","given":"Clayton T."},{"family":"Ford","given":"Adam T."},{"family":"Proctor","given":"Michael F."},{"family":"Royle","given":"J. Andrew"},{"family":"Mowat","given":"Garth"},{"family":"Boutin","given":"Stan"}],"issued":{"date-parts":[["2019",6]]}}}],"schema":"https://github.com/citation-style-language/schema/raw/master/csl-citation.json"} </w:instrText>
      </w:r>
      <w:r w:rsidR="00F97AE7">
        <w:rPr>
          <w:rFonts w:ascii="Times New Roman" w:hAnsi="Times New Roman" w:cs="Times New Roman"/>
          <w:color w:val="2E74B5" w:themeColor="accent5" w:themeShade="BF"/>
          <w:sz w:val="22"/>
          <w:szCs w:val="22"/>
        </w:rPr>
        <w:fldChar w:fldCharType="separate"/>
      </w:r>
      <w:r w:rsidR="00F97AE7">
        <w:rPr>
          <w:rFonts w:ascii="Times New Roman" w:hAnsi="Times New Roman" w:cs="Times New Roman"/>
          <w:noProof/>
          <w:color w:val="2E74B5" w:themeColor="accent5" w:themeShade="BF"/>
          <w:sz w:val="22"/>
          <w:szCs w:val="22"/>
        </w:rPr>
        <w:t>(Lamb et al., 2019)</w:t>
      </w:r>
      <w:r w:rsidR="00F97AE7">
        <w:rPr>
          <w:rFonts w:ascii="Times New Roman" w:hAnsi="Times New Roman" w:cs="Times New Roman"/>
          <w:color w:val="2E74B5" w:themeColor="accent5" w:themeShade="BF"/>
          <w:sz w:val="22"/>
          <w:szCs w:val="22"/>
        </w:rPr>
        <w:fldChar w:fldCharType="end"/>
      </w:r>
      <w:r w:rsidR="00F97AE7">
        <w:rPr>
          <w:rFonts w:ascii="Times New Roman" w:hAnsi="Times New Roman" w:cs="Times New Roman"/>
          <w:color w:val="2E74B5" w:themeColor="accent5" w:themeShade="BF"/>
          <w:sz w:val="22"/>
          <w:szCs w:val="22"/>
        </w:rPr>
        <w:t>.</w:t>
      </w:r>
    </w:p>
    <w:p w14:paraId="595C8741" w14:textId="46B43F8E" w:rsidR="007331A9" w:rsidRPr="00282FC1" w:rsidRDefault="007331A9" w:rsidP="00F005BF">
      <w:pPr>
        <w:pStyle w:val="ListParagraph"/>
        <w:spacing w:line="276" w:lineRule="auto"/>
        <w:ind w:left="0"/>
        <w:rPr>
          <w:rFonts w:ascii="Times New Roman" w:hAnsi="Times New Roman" w:cs="Times New Roman"/>
          <w:color w:val="000000"/>
          <w:sz w:val="22"/>
          <w:szCs w:val="22"/>
        </w:rPr>
      </w:pPr>
      <w:r w:rsidRPr="00282FC1">
        <w:rPr>
          <w:rFonts w:ascii="Times New Roman" w:hAnsi="Times New Roman" w:cs="Times New Roman"/>
          <w:color w:val="000000"/>
          <w:sz w:val="22"/>
          <w:szCs w:val="22"/>
        </w:rPr>
        <w:br/>
      </w:r>
      <w:r w:rsidRPr="00282FC1">
        <w:rPr>
          <w:rFonts w:ascii="Times New Roman" w:hAnsi="Times New Roman" w:cs="Times New Roman"/>
          <w:color w:val="000000"/>
          <w:sz w:val="22"/>
          <w:szCs w:val="22"/>
        </w:rPr>
        <w:br/>
      </w:r>
      <w:r w:rsidRPr="00282FC1">
        <w:rPr>
          <w:rFonts w:ascii="Times New Roman" w:hAnsi="Times New Roman" w:cs="Times New Roman"/>
          <w:color w:val="000000"/>
          <w:sz w:val="22"/>
          <w:szCs w:val="22"/>
        </w:rPr>
        <w:br/>
      </w:r>
      <w:r w:rsidRPr="00282FC1">
        <w:rPr>
          <w:rFonts w:ascii="Times New Roman" w:hAnsi="Times New Roman" w:cs="Times New Roman"/>
          <w:color w:val="000000"/>
          <w:sz w:val="22"/>
          <w:szCs w:val="22"/>
        </w:rPr>
        <w:br/>
        <w:t>Reviewer: 2</w:t>
      </w:r>
      <w:r w:rsidRPr="00282FC1">
        <w:rPr>
          <w:rFonts w:ascii="Times New Roman" w:hAnsi="Times New Roman" w:cs="Times New Roman"/>
          <w:color w:val="000000"/>
          <w:sz w:val="22"/>
          <w:szCs w:val="22"/>
        </w:rPr>
        <w:br/>
      </w:r>
      <w:r w:rsidRPr="00282FC1">
        <w:rPr>
          <w:rFonts w:ascii="Times New Roman" w:hAnsi="Times New Roman" w:cs="Times New Roman"/>
          <w:color w:val="000000"/>
          <w:sz w:val="22"/>
          <w:szCs w:val="22"/>
        </w:rPr>
        <w:br/>
        <w:t>Comments to Authors and Editors</w:t>
      </w:r>
      <w:r w:rsidRPr="00282FC1">
        <w:rPr>
          <w:rFonts w:ascii="Times New Roman" w:hAnsi="Times New Roman" w:cs="Times New Roman"/>
          <w:color w:val="000000"/>
          <w:sz w:val="22"/>
          <w:szCs w:val="22"/>
        </w:rPr>
        <w:br/>
        <w:t>I appreciate the authors’ detailed responses to reviewer and editor feedback. I think the manuscript is improved and will make an important contribution to the literature and grizzly bear conservation. My comments are only minor suggestions.</w:t>
      </w:r>
      <w:r w:rsidRPr="00282FC1">
        <w:rPr>
          <w:rFonts w:ascii="Times New Roman" w:hAnsi="Times New Roman" w:cs="Times New Roman"/>
          <w:color w:val="000000"/>
          <w:sz w:val="22"/>
          <w:szCs w:val="22"/>
        </w:rPr>
        <w:br/>
      </w:r>
      <w:r w:rsidRPr="00282FC1">
        <w:rPr>
          <w:rFonts w:ascii="Times New Roman" w:hAnsi="Times New Roman" w:cs="Times New Roman"/>
          <w:color w:val="000000"/>
          <w:sz w:val="22"/>
          <w:szCs w:val="22"/>
        </w:rPr>
        <w:br/>
        <w:t>Minor comments: line #’s refer to the track changes copy:</w:t>
      </w:r>
      <w:r w:rsidRPr="00282FC1">
        <w:rPr>
          <w:rFonts w:ascii="Times New Roman" w:hAnsi="Times New Roman" w:cs="Times New Roman"/>
          <w:color w:val="000000"/>
          <w:sz w:val="22"/>
          <w:szCs w:val="22"/>
        </w:rPr>
        <w:br/>
      </w:r>
      <w:r w:rsidRPr="00282FC1">
        <w:rPr>
          <w:rFonts w:ascii="Times New Roman" w:hAnsi="Times New Roman" w:cs="Times New Roman"/>
          <w:color w:val="000000"/>
          <w:sz w:val="22"/>
          <w:szCs w:val="22"/>
        </w:rPr>
        <w:lastRenderedPageBreak/>
        <w:br/>
        <w:t>Line 73: “our” here could mean the authors or humans; suggest clarifying.</w:t>
      </w:r>
    </w:p>
    <w:p w14:paraId="0F9E8301" w14:textId="77777777" w:rsidR="00C349E5" w:rsidRPr="00282FC1" w:rsidRDefault="00C349E5" w:rsidP="00C349E5">
      <w:pPr>
        <w:pStyle w:val="ListParagraph"/>
        <w:spacing w:line="276" w:lineRule="auto"/>
        <w:ind w:left="0"/>
        <w:rPr>
          <w:rFonts w:ascii="Times New Roman" w:hAnsi="Times New Roman" w:cs="Times New Roman"/>
          <w:color w:val="000000"/>
          <w:sz w:val="22"/>
          <w:szCs w:val="22"/>
        </w:rPr>
      </w:pPr>
    </w:p>
    <w:p w14:paraId="1D396470" w14:textId="0C897154" w:rsidR="007331A9" w:rsidRPr="00450A17" w:rsidRDefault="007331A9" w:rsidP="00C349E5">
      <w:pPr>
        <w:pStyle w:val="ListParagraph"/>
        <w:numPr>
          <w:ilvl w:val="0"/>
          <w:numId w:val="79"/>
        </w:numPr>
        <w:spacing w:line="276" w:lineRule="auto"/>
        <w:rPr>
          <w:rFonts w:ascii="Times New Roman" w:hAnsi="Times New Roman" w:cs="Times New Roman"/>
          <w:color w:val="2E74B5" w:themeColor="accent5" w:themeShade="BF"/>
          <w:sz w:val="22"/>
          <w:szCs w:val="22"/>
        </w:rPr>
      </w:pPr>
      <w:r w:rsidRPr="00450A17">
        <w:rPr>
          <w:rFonts w:ascii="Times New Roman" w:hAnsi="Times New Roman" w:cs="Times New Roman"/>
          <w:color w:val="2E74B5" w:themeColor="accent5" w:themeShade="BF"/>
          <w:sz w:val="22"/>
          <w:szCs w:val="22"/>
          <w:shd w:val="clear" w:color="auto" w:fill="FFFFFF"/>
        </w:rPr>
        <w:t>Agreed, changed sentence to “</w:t>
      </w:r>
      <w:r w:rsidRPr="00450A17">
        <w:rPr>
          <w:rFonts w:ascii="Times New Roman" w:hAnsi="Times New Roman" w:cs="Times New Roman"/>
          <w:color w:val="2E74B5" w:themeColor="accent5" w:themeShade="BF"/>
          <w:sz w:val="22"/>
          <w:szCs w:val="22"/>
          <w:shd w:val="clear" w:color="auto" w:fill="FFFFFF"/>
        </w:rPr>
        <w:t>In these emerging landscapes of coexistence, the viability of coexistence depends in part on people having the necessary tools to keep themselves</w:t>
      </w:r>
      <w:r w:rsidRPr="00450A17">
        <w:rPr>
          <w:rFonts w:ascii="Times New Roman" w:hAnsi="Times New Roman" w:cs="Times New Roman"/>
          <w:color w:val="2E74B5" w:themeColor="accent5" w:themeShade="BF"/>
          <w:sz w:val="22"/>
          <w:szCs w:val="22"/>
          <w:shd w:val="clear" w:color="auto" w:fill="FFFFFF"/>
        </w:rPr>
        <w:t xml:space="preserve"> </w:t>
      </w:r>
      <w:r w:rsidRPr="00450A17">
        <w:rPr>
          <w:rFonts w:ascii="Times New Roman" w:hAnsi="Times New Roman" w:cs="Times New Roman"/>
          <w:color w:val="2E74B5" w:themeColor="accent5" w:themeShade="BF"/>
          <w:sz w:val="22"/>
          <w:szCs w:val="22"/>
          <w:shd w:val="clear" w:color="auto" w:fill="FFFFFF"/>
        </w:rPr>
        <w:t>and their property safe while allowing bears to move across landscapes, survive, and reproduce at rates that support stable populations.</w:t>
      </w:r>
      <w:r w:rsidRPr="00450A17">
        <w:rPr>
          <w:rFonts w:ascii="Times New Roman" w:hAnsi="Times New Roman" w:cs="Times New Roman"/>
          <w:color w:val="2E74B5" w:themeColor="accent5" w:themeShade="BF"/>
          <w:sz w:val="22"/>
          <w:szCs w:val="22"/>
          <w:shd w:val="clear" w:color="auto" w:fill="FFFFFF"/>
        </w:rPr>
        <w:t>”</w:t>
      </w:r>
    </w:p>
    <w:p w14:paraId="02115002" w14:textId="3669446A" w:rsidR="00C349E5" w:rsidRPr="00282FC1" w:rsidRDefault="007331A9" w:rsidP="00C349E5">
      <w:pPr>
        <w:pStyle w:val="ListParagraph"/>
        <w:spacing w:line="276" w:lineRule="auto"/>
        <w:ind w:left="0"/>
        <w:rPr>
          <w:rFonts w:ascii="Times New Roman" w:hAnsi="Times New Roman" w:cs="Times New Roman"/>
          <w:color w:val="000000"/>
          <w:sz w:val="22"/>
          <w:szCs w:val="22"/>
        </w:rPr>
      </w:pPr>
      <w:r w:rsidRPr="00282FC1">
        <w:rPr>
          <w:rFonts w:ascii="Times New Roman" w:hAnsi="Times New Roman" w:cs="Times New Roman"/>
          <w:color w:val="000000"/>
          <w:sz w:val="22"/>
          <w:szCs w:val="22"/>
        </w:rPr>
        <w:br/>
      </w:r>
      <w:r w:rsidRPr="00282FC1">
        <w:rPr>
          <w:rFonts w:ascii="Times New Roman" w:hAnsi="Times New Roman" w:cs="Times New Roman"/>
          <w:color w:val="000000"/>
          <w:sz w:val="22"/>
          <w:szCs w:val="22"/>
        </w:rPr>
        <w:br/>
        <w:t>Line 386: how did the recaptures or DNA detections align with the timing of the study? I.e., how do you know for sure that these animals remained alive the full study timeline if the last data point was sometime before the end of your study period? Maybe clarify this assumption?</w:t>
      </w:r>
      <w:r w:rsidRPr="00282FC1">
        <w:rPr>
          <w:rStyle w:val="apple-converted-space"/>
          <w:rFonts w:ascii="Times New Roman" w:hAnsi="Times New Roman" w:cs="Times New Roman"/>
          <w:color w:val="000000"/>
          <w:sz w:val="22"/>
          <w:szCs w:val="22"/>
        </w:rPr>
        <w:t> </w:t>
      </w:r>
    </w:p>
    <w:p w14:paraId="6D370BEE" w14:textId="7FF25894" w:rsidR="00C349E5" w:rsidRPr="00450A17" w:rsidRDefault="00282FC1" w:rsidP="00C349E5">
      <w:pPr>
        <w:pStyle w:val="ListParagraph"/>
        <w:numPr>
          <w:ilvl w:val="0"/>
          <w:numId w:val="78"/>
        </w:numPr>
        <w:spacing w:line="276" w:lineRule="auto"/>
        <w:rPr>
          <w:rFonts w:ascii="Times New Roman" w:hAnsi="Times New Roman" w:cs="Times New Roman"/>
          <w:color w:val="2E74B5" w:themeColor="accent5" w:themeShade="BF"/>
          <w:sz w:val="22"/>
          <w:szCs w:val="22"/>
        </w:rPr>
      </w:pPr>
      <w:r w:rsidRPr="00450A17">
        <w:rPr>
          <w:rFonts w:ascii="Times New Roman" w:hAnsi="Times New Roman" w:cs="Times New Roman"/>
          <w:color w:val="2E74B5" w:themeColor="accent5" w:themeShade="BF"/>
          <w:sz w:val="22"/>
          <w:szCs w:val="22"/>
        </w:rPr>
        <w:t xml:space="preserve">All detections were within the timeframe of the study. Once a collar failed, </w:t>
      </w:r>
      <w:proofErr w:type="spellStart"/>
      <w:r w:rsidRPr="00450A17">
        <w:rPr>
          <w:rFonts w:ascii="Times New Roman" w:hAnsi="Times New Roman" w:cs="Times New Roman"/>
          <w:color w:val="2E74B5" w:themeColor="accent5" w:themeShade="BF"/>
          <w:sz w:val="22"/>
          <w:szCs w:val="22"/>
        </w:rPr>
        <w:t>ee</w:t>
      </w:r>
      <w:proofErr w:type="spellEnd"/>
      <w:r w:rsidRPr="00450A17">
        <w:rPr>
          <w:rFonts w:ascii="Times New Roman" w:hAnsi="Times New Roman" w:cs="Times New Roman"/>
          <w:color w:val="2E74B5" w:themeColor="accent5" w:themeShade="BF"/>
          <w:sz w:val="22"/>
          <w:szCs w:val="22"/>
        </w:rPr>
        <w:t xml:space="preserve"> didn’t need to confirm that the animal was necessarily alive for the remainder of the study, we just needed to confirm that the animal did not die while the collar was on, and that the collar didn’t fail </w:t>
      </w:r>
      <w:r w:rsidR="00450A17" w:rsidRPr="00450A17">
        <w:rPr>
          <w:rFonts w:ascii="Times New Roman" w:hAnsi="Times New Roman" w:cs="Times New Roman"/>
          <w:color w:val="2E74B5" w:themeColor="accent5" w:themeShade="BF"/>
          <w:sz w:val="22"/>
          <w:szCs w:val="22"/>
        </w:rPr>
        <w:t>because of</w:t>
      </w:r>
      <w:r w:rsidRPr="00450A17">
        <w:rPr>
          <w:rFonts w:ascii="Times New Roman" w:hAnsi="Times New Roman" w:cs="Times New Roman"/>
          <w:color w:val="2E74B5" w:themeColor="accent5" w:themeShade="BF"/>
          <w:sz w:val="22"/>
          <w:szCs w:val="22"/>
        </w:rPr>
        <w:t xml:space="preserve"> a mortality event (like getting hit by a train which might wreck the collar). So, </w:t>
      </w:r>
      <w:r w:rsidR="00450A17" w:rsidRPr="00450A17">
        <w:rPr>
          <w:rFonts w:ascii="Times New Roman" w:hAnsi="Times New Roman" w:cs="Times New Roman"/>
          <w:color w:val="2E74B5" w:themeColor="accent5" w:themeShade="BF"/>
          <w:sz w:val="22"/>
          <w:szCs w:val="22"/>
        </w:rPr>
        <w:t>if</w:t>
      </w:r>
      <w:r w:rsidRPr="00450A17">
        <w:rPr>
          <w:rFonts w:ascii="Times New Roman" w:hAnsi="Times New Roman" w:cs="Times New Roman"/>
          <w:color w:val="2E74B5" w:themeColor="accent5" w:themeShade="BF"/>
          <w:sz w:val="22"/>
          <w:szCs w:val="22"/>
        </w:rPr>
        <w:t xml:space="preserve"> we could </w:t>
      </w:r>
      <w:r w:rsidR="00450A17" w:rsidRPr="00450A17">
        <w:rPr>
          <w:rFonts w:ascii="Times New Roman" w:hAnsi="Times New Roman" w:cs="Times New Roman"/>
          <w:color w:val="2E74B5" w:themeColor="accent5" w:themeShade="BF"/>
          <w:sz w:val="22"/>
          <w:szCs w:val="22"/>
        </w:rPr>
        <w:t>confirm that</w:t>
      </w:r>
      <w:r w:rsidRPr="00450A17">
        <w:rPr>
          <w:rFonts w:ascii="Times New Roman" w:hAnsi="Times New Roman" w:cs="Times New Roman"/>
          <w:color w:val="2E74B5" w:themeColor="accent5" w:themeShade="BF"/>
          <w:sz w:val="22"/>
          <w:szCs w:val="22"/>
        </w:rPr>
        <w:t xml:space="preserve"> the animal</w:t>
      </w:r>
      <w:r w:rsidR="00450A17" w:rsidRPr="00450A17">
        <w:rPr>
          <w:rFonts w:ascii="Times New Roman" w:hAnsi="Times New Roman" w:cs="Times New Roman"/>
          <w:color w:val="2E74B5" w:themeColor="accent5" w:themeShade="BF"/>
          <w:sz w:val="22"/>
          <w:szCs w:val="22"/>
        </w:rPr>
        <w:t xml:space="preserve"> was censored and not dead at the end of its collar period</w:t>
      </w:r>
      <w:r w:rsidRPr="00450A17">
        <w:rPr>
          <w:rFonts w:ascii="Times New Roman" w:hAnsi="Times New Roman" w:cs="Times New Roman"/>
          <w:color w:val="2E74B5" w:themeColor="accent5" w:themeShade="BF"/>
          <w:sz w:val="22"/>
          <w:szCs w:val="22"/>
        </w:rPr>
        <w:t xml:space="preserve"> </w:t>
      </w:r>
      <w:r w:rsidR="00450A17" w:rsidRPr="00450A17">
        <w:rPr>
          <w:rFonts w:ascii="Times New Roman" w:hAnsi="Times New Roman" w:cs="Times New Roman"/>
          <w:color w:val="2E74B5" w:themeColor="accent5" w:themeShade="BF"/>
          <w:sz w:val="22"/>
          <w:szCs w:val="22"/>
        </w:rPr>
        <w:t>(via live capture, find out that it died later, or via DNA detection) then we could confidently censor the animal at the point of collar failure. In most collar survival studies, people just assume that the failed collar is not related to mortality and just censor the animal. We tried to go the extra mile here and confirm this was true in as many cases as possible, so we had maximal certainty in fates.</w:t>
      </w:r>
    </w:p>
    <w:p w14:paraId="245B781A" w14:textId="77777777" w:rsidR="00C349E5" w:rsidRPr="00282FC1" w:rsidRDefault="00C349E5" w:rsidP="00C349E5">
      <w:pPr>
        <w:pStyle w:val="ListParagraph"/>
        <w:spacing w:line="276" w:lineRule="auto"/>
        <w:ind w:left="1080"/>
        <w:rPr>
          <w:rFonts w:ascii="Times New Roman" w:hAnsi="Times New Roman" w:cs="Times New Roman"/>
          <w:color w:val="000000"/>
          <w:sz w:val="22"/>
          <w:szCs w:val="22"/>
        </w:rPr>
      </w:pPr>
    </w:p>
    <w:p w14:paraId="2E6DFDF0" w14:textId="1048759C" w:rsidR="00C349E5" w:rsidRPr="00282FC1" w:rsidRDefault="007331A9" w:rsidP="00C349E5">
      <w:pPr>
        <w:pStyle w:val="ListParagraph"/>
        <w:spacing w:line="276" w:lineRule="auto"/>
        <w:ind w:left="0"/>
        <w:rPr>
          <w:rFonts w:ascii="Times New Roman" w:hAnsi="Times New Roman" w:cs="Times New Roman"/>
          <w:color w:val="000000"/>
          <w:sz w:val="22"/>
          <w:szCs w:val="22"/>
        </w:rPr>
      </w:pPr>
      <w:r w:rsidRPr="00282FC1">
        <w:rPr>
          <w:rFonts w:ascii="Times New Roman" w:hAnsi="Times New Roman" w:cs="Times New Roman"/>
          <w:color w:val="000000"/>
          <w:sz w:val="22"/>
          <w:szCs w:val="22"/>
        </w:rPr>
        <w:br/>
        <w:t>Line 397: “confirmed to be” is written twice.</w:t>
      </w:r>
      <w:r w:rsidRPr="00282FC1">
        <w:rPr>
          <w:rStyle w:val="apple-converted-space"/>
          <w:rFonts w:ascii="Times New Roman" w:hAnsi="Times New Roman" w:cs="Times New Roman"/>
          <w:color w:val="000000"/>
          <w:sz w:val="22"/>
          <w:szCs w:val="22"/>
        </w:rPr>
        <w:t> </w:t>
      </w:r>
    </w:p>
    <w:p w14:paraId="3EAADD62" w14:textId="6049A4C7" w:rsidR="00C349E5" w:rsidRPr="00450A17" w:rsidRDefault="00C349E5" w:rsidP="00C349E5">
      <w:pPr>
        <w:pStyle w:val="ListParagraph"/>
        <w:numPr>
          <w:ilvl w:val="0"/>
          <w:numId w:val="77"/>
        </w:numPr>
        <w:spacing w:line="276" w:lineRule="auto"/>
        <w:rPr>
          <w:rFonts w:ascii="Times New Roman" w:hAnsi="Times New Roman" w:cs="Times New Roman"/>
          <w:color w:val="2E74B5" w:themeColor="accent5" w:themeShade="BF"/>
          <w:sz w:val="22"/>
          <w:szCs w:val="22"/>
        </w:rPr>
      </w:pPr>
      <w:r w:rsidRPr="00450A17">
        <w:rPr>
          <w:rFonts w:ascii="Times New Roman" w:hAnsi="Times New Roman" w:cs="Times New Roman"/>
          <w:color w:val="2E74B5" w:themeColor="accent5" w:themeShade="BF"/>
          <w:sz w:val="22"/>
          <w:szCs w:val="22"/>
        </w:rPr>
        <w:t>Removed</w:t>
      </w:r>
      <w:r w:rsidR="00450A17" w:rsidRPr="00450A17">
        <w:rPr>
          <w:rFonts w:ascii="Times New Roman" w:hAnsi="Times New Roman" w:cs="Times New Roman"/>
          <w:color w:val="2E74B5" w:themeColor="accent5" w:themeShade="BF"/>
          <w:sz w:val="22"/>
          <w:szCs w:val="22"/>
        </w:rPr>
        <w:t xml:space="preserve"> the</w:t>
      </w:r>
      <w:r w:rsidRPr="00450A17">
        <w:rPr>
          <w:rFonts w:ascii="Times New Roman" w:hAnsi="Times New Roman" w:cs="Times New Roman"/>
          <w:color w:val="2E74B5" w:themeColor="accent5" w:themeShade="BF"/>
          <w:sz w:val="22"/>
          <w:szCs w:val="22"/>
        </w:rPr>
        <w:t xml:space="preserve"> </w:t>
      </w:r>
      <w:proofErr w:type="gramStart"/>
      <w:r w:rsidRPr="00450A17">
        <w:rPr>
          <w:rFonts w:ascii="Times New Roman" w:hAnsi="Times New Roman" w:cs="Times New Roman"/>
          <w:color w:val="2E74B5" w:themeColor="accent5" w:themeShade="BF"/>
          <w:sz w:val="22"/>
          <w:szCs w:val="22"/>
        </w:rPr>
        <w:t>duplicate</w:t>
      </w:r>
      <w:proofErr w:type="gramEnd"/>
    </w:p>
    <w:p w14:paraId="4254BD31" w14:textId="63577D47" w:rsidR="00C349E5" w:rsidRPr="00282FC1" w:rsidRDefault="007331A9" w:rsidP="00C349E5">
      <w:pPr>
        <w:pStyle w:val="ListParagraph"/>
        <w:spacing w:line="276" w:lineRule="auto"/>
        <w:ind w:left="0"/>
        <w:rPr>
          <w:rFonts w:ascii="Times New Roman" w:hAnsi="Times New Roman" w:cs="Times New Roman"/>
          <w:color w:val="000000"/>
          <w:sz w:val="22"/>
          <w:szCs w:val="22"/>
        </w:rPr>
      </w:pPr>
      <w:r w:rsidRPr="00282FC1">
        <w:rPr>
          <w:rFonts w:ascii="Times New Roman" w:hAnsi="Times New Roman" w:cs="Times New Roman"/>
          <w:color w:val="000000"/>
          <w:sz w:val="22"/>
          <w:szCs w:val="22"/>
        </w:rPr>
        <w:br/>
        <w:t>Line 470: It might be interesting to include estimated # of bears killed but unreported, alongside the rates you provide, to give this even more context?</w:t>
      </w:r>
    </w:p>
    <w:p w14:paraId="47EAE2BB" w14:textId="2B8935C2" w:rsidR="00C349E5" w:rsidRPr="00450A17" w:rsidRDefault="00282FC1" w:rsidP="00C349E5">
      <w:pPr>
        <w:pStyle w:val="ListParagraph"/>
        <w:numPr>
          <w:ilvl w:val="0"/>
          <w:numId w:val="73"/>
        </w:numPr>
        <w:spacing w:line="276" w:lineRule="auto"/>
        <w:rPr>
          <w:rFonts w:ascii="Times New Roman" w:hAnsi="Times New Roman" w:cs="Times New Roman"/>
          <w:color w:val="2E74B5" w:themeColor="accent5" w:themeShade="BF"/>
          <w:sz w:val="22"/>
          <w:szCs w:val="22"/>
        </w:rPr>
      </w:pPr>
      <w:r w:rsidRPr="00450A17">
        <w:rPr>
          <w:rFonts w:ascii="Times New Roman" w:hAnsi="Times New Roman" w:cs="Times New Roman"/>
          <w:color w:val="2E74B5" w:themeColor="accent5" w:themeShade="BF"/>
          <w:sz w:val="22"/>
          <w:szCs w:val="22"/>
        </w:rPr>
        <w:t>Added details on reporting rate: “</w:t>
      </w:r>
      <w:r w:rsidRPr="00450A17">
        <w:rPr>
          <w:rFonts w:ascii="Times New Roman" w:hAnsi="Times New Roman" w:cs="Times New Roman"/>
          <w:color w:val="2E74B5" w:themeColor="accent5" w:themeShade="BF"/>
          <w:sz w:val="22"/>
          <w:szCs w:val="22"/>
        </w:rPr>
        <w:t>The management of bear collisions is further complicated by only one in four bears killed in collisions being reported to authorities because animals are often able to move hundreds of meters off the transportation corridor after being struck and before dying.</w:t>
      </w:r>
      <w:r w:rsidRPr="00450A17">
        <w:rPr>
          <w:rFonts w:ascii="Times New Roman" w:hAnsi="Times New Roman" w:cs="Times New Roman"/>
          <w:color w:val="2E74B5" w:themeColor="accent5" w:themeShade="BF"/>
          <w:sz w:val="22"/>
          <w:szCs w:val="22"/>
        </w:rPr>
        <w:t>”</w:t>
      </w:r>
    </w:p>
    <w:p w14:paraId="00FA7A95" w14:textId="3DD198B7" w:rsidR="00C349E5" w:rsidRPr="00282FC1" w:rsidRDefault="007331A9" w:rsidP="00C349E5">
      <w:pPr>
        <w:pStyle w:val="ListParagraph"/>
        <w:spacing w:line="276" w:lineRule="auto"/>
        <w:ind w:left="0"/>
        <w:rPr>
          <w:rFonts w:ascii="Times New Roman" w:hAnsi="Times New Roman" w:cs="Times New Roman"/>
          <w:color w:val="000000"/>
          <w:sz w:val="22"/>
          <w:szCs w:val="22"/>
        </w:rPr>
      </w:pPr>
      <w:r w:rsidRPr="00282FC1">
        <w:rPr>
          <w:rFonts w:ascii="Times New Roman" w:hAnsi="Times New Roman" w:cs="Times New Roman"/>
          <w:color w:val="000000"/>
          <w:sz w:val="22"/>
          <w:szCs w:val="22"/>
        </w:rPr>
        <w:br/>
      </w:r>
      <w:r w:rsidRPr="00282FC1">
        <w:rPr>
          <w:rFonts w:ascii="Times New Roman" w:hAnsi="Times New Roman" w:cs="Times New Roman"/>
          <w:color w:val="000000"/>
          <w:sz w:val="22"/>
          <w:szCs w:val="22"/>
        </w:rPr>
        <w:br/>
        <w:t xml:space="preserve">Line 596: this rather depends on what self-sustaining means (is immigration to offset mortalities </w:t>
      </w:r>
      <w:proofErr w:type="gramStart"/>
      <w:r w:rsidRPr="00282FC1">
        <w:rPr>
          <w:rFonts w:ascii="Times New Roman" w:hAnsi="Times New Roman" w:cs="Times New Roman"/>
          <w:color w:val="000000"/>
          <w:sz w:val="22"/>
          <w:szCs w:val="22"/>
        </w:rPr>
        <w:t>self-sustaining, if</w:t>
      </w:r>
      <w:proofErr w:type="gramEnd"/>
      <w:r w:rsidRPr="00282FC1">
        <w:rPr>
          <w:rFonts w:ascii="Times New Roman" w:hAnsi="Times New Roman" w:cs="Times New Roman"/>
          <w:color w:val="000000"/>
          <w:sz w:val="22"/>
          <w:szCs w:val="22"/>
        </w:rPr>
        <w:t xml:space="preserve"> those animals wouldn’t have been successful in their natal populations?). Perhaps change this to include “a self-sustaining bear population that doesn’t rely on immigration”.</w:t>
      </w:r>
    </w:p>
    <w:p w14:paraId="25CA4360" w14:textId="2790FF50" w:rsidR="00C349E5" w:rsidRPr="00450A17" w:rsidRDefault="00C349E5" w:rsidP="00C349E5">
      <w:pPr>
        <w:pStyle w:val="ListParagraph"/>
        <w:numPr>
          <w:ilvl w:val="0"/>
          <w:numId w:val="74"/>
        </w:numPr>
        <w:spacing w:line="276" w:lineRule="auto"/>
        <w:rPr>
          <w:rFonts w:ascii="Times New Roman" w:hAnsi="Times New Roman" w:cs="Times New Roman"/>
          <w:color w:val="2E74B5" w:themeColor="accent5" w:themeShade="BF"/>
          <w:sz w:val="22"/>
          <w:szCs w:val="22"/>
        </w:rPr>
      </w:pPr>
      <w:r w:rsidRPr="00450A17">
        <w:rPr>
          <w:rFonts w:ascii="Times New Roman" w:hAnsi="Times New Roman" w:cs="Times New Roman"/>
          <w:color w:val="2E74B5" w:themeColor="accent5" w:themeShade="BF"/>
          <w:sz w:val="22"/>
          <w:szCs w:val="22"/>
        </w:rPr>
        <w:t>Agreed, added the text as suggested by the reviewer: “</w:t>
      </w:r>
      <w:r w:rsidRPr="00450A17">
        <w:rPr>
          <w:rFonts w:ascii="Times New Roman" w:hAnsi="Times New Roman" w:cs="Times New Roman"/>
          <w:color w:val="2E74B5" w:themeColor="accent5" w:themeShade="BF"/>
          <w:sz w:val="22"/>
          <w:szCs w:val="22"/>
        </w:rPr>
        <w:t>Creating a self-sustaining population of bears in the Elk Valley that does not rely on immigration will require targeted efforts to reduce or secure attractants on private property and strategies to minimize collisions with trains and vehicles.</w:t>
      </w:r>
      <w:r w:rsidRPr="00450A17">
        <w:rPr>
          <w:rFonts w:ascii="Times New Roman" w:hAnsi="Times New Roman" w:cs="Times New Roman"/>
          <w:color w:val="2E74B5" w:themeColor="accent5" w:themeShade="BF"/>
          <w:sz w:val="22"/>
          <w:szCs w:val="22"/>
        </w:rPr>
        <w:t>”</w:t>
      </w:r>
    </w:p>
    <w:p w14:paraId="6A842956" w14:textId="793015E8" w:rsidR="00C349E5" w:rsidRPr="00282FC1" w:rsidRDefault="007331A9" w:rsidP="00C349E5">
      <w:pPr>
        <w:pStyle w:val="ListParagraph"/>
        <w:spacing w:line="276" w:lineRule="auto"/>
        <w:ind w:left="0"/>
        <w:rPr>
          <w:rFonts w:ascii="Times New Roman" w:hAnsi="Times New Roman" w:cs="Times New Roman"/>
          <w:color w:val="000000"/>
          <w:sz w:val="22"/>
          <w:szCs w:val="22"/>
        </w:rPr>
      </w:pPr>
      <w:r w:rsidRPr="00282FC1">
        <w:rPr>
          <w:rFonts w:ascii="Times New Roman" w:hAnsi="Times New Roman" w:cs="Times New Roman"/>
          <w:color w:val="000000"/>
          <w:sz w:val="22"/>
          <w:szCs w:val="22"/>
        </w:rPr>
        <w:br/>
      </w:r>
      <w:r w:rsidRPr="00282FC1">
        <w:rPr>
          <w:rFonts w:ascii="Times New Roman" w:hAnsi="Times New Roman" w:cs="Times New Roman"/>
          <w:color w:val="000000"/>
          <w:sz w:val="22"/>
          <w:szCs w:val="22"/>
        </w:rPr>
        <w:br/>
      </w:r>
      <w:r w:rsidRPr="00282FC1">
        <w:rPr>
          <w:rFonts w:ascii="Times New Roman" w:hAnsi="Times New Roman" w:cs="Times New Roman"/>
          <w:color w:val="000000"/>
          <w:sz w:val="22"/>
          <w:szCs w:val="22"/>
        </w:rPr>
        <w:lastRenderedPageBreak/>
        <w:t>Figure 2: if you need to reduce length further, perhaps the info in panels c and d (weight and fat) could be omitted or moved to the appendix (this info isn't important to estimating population size, right?). Same for the info in your methods and results on these topics.</w:t>
      </w:r>
    </w:p>
    <w:p w14:paraId="6B32C273" w14:textId="3E389626" w:rsidR="00C349E5" w:rsidRPr="00450A17" w:rsidRDefault="00C349E5" w:rsidP="00C349E5">
      <w:pPr>
        <w:pStyle w:val="ListParagraph"/>
        <w:numPr>
          <w:ilvl w:val="0"/>
          <w:numId w:val="75"/>
        </w:numPr>
        <w:spacing w:line="276" w:lineRule="auto"/>
        <w:rPr>
          <w:rFonts w:ascii="Times New Roman" w:hAnsi="Times New Roman" w:cs="Times New Roman"/>
          <w:color w:val="2E74B5" w:themeColor="accent5" w:themeShade="BF"/>
          <w:sz w:val="22"/>
          <w:szCs w:val="22"/>
        </w:rPr>
      </w:pPr>
      <w:r w:rsidRPr="00450A17">
        <w:rPr>
          <w:rFonts w:ascii="Times New Roman" w:hAnsi="Times New Roman" w:cs="Times New Roman"/>
          <w:color w:val="2E74B5" w:themeColor="accent5" w:themeShade="BF"/>
          <w:sz w:val="22"/>
          <w:szCs w:val="22"/>
        </w:rPr>
        <w:t>Thanks, good ideas. Length seems to be OK but will do this if we run into issues in production.</w:t>
      </w:r>
    </w:p>
    <w:p w14:paraId="3428BCF0" w14:textId="353624D7" w:rsidR="00C349E5" w:rsidRPr="00282FC1" w:rsidRDefault="007331A9" w:rsidP="00C349E5">
      <w:pPr>
        <w:pStyle w:val="ListParagraph"/>
        <w:spacing w:line="276" w:lineRule="auto"/>
        <w:ind w:left="0"/>
        <w:rPr>
          <w:rFonts w:ascii="Times New Roman" w:hAnsi="Times New Roman" w:cs="Times New Roman"/>
          <w:color w:val="000000"/>
          <w:sz w:val="22"/>
          <w:szCs w:val="22"/>
        </w:rPr>
      </w:pPr>
      <w:r w:rsidRPr="00282FC1">
        <w:rPr>
          <w:rFonts w:ascii="Times New Roman" w:hAnsi="Times New Roman" w:cs="Times New Roman"/>
          <w:color w:val="000000"/>
          <w:sz w:val="22"/>
          <w:szCs w:val="22"/>
        </w:rPr>
        <w:br/>
      </w:r>
      <w:r w:rsidRPr="00282FC1">
        <w:rPr>
          <w:rFonts w:ascii="Times New Roman" w:hAnsi="Times New Roman" w:cs="Times New Roman"/>
          <w:color w:val="000000"/>
          <w:sz w:val="22"/>
          <w:szCs w:val="22"/>
        </w:rPr>
        <w:br/>
        <w:t>Figure 5: it would look better if you could get the label for panel a, y axis, to be next to the axis values</w:t>
      </w:r>
      <w:r w:rsidRPr="00282FC1">
        <w:rPr>
          <w:rFonts w:ascii="Times New Roman" w:hAnsi="Times New Roman" w:cs="Times New Roman"/>
          <w:color w:val="000000"/>
          <w:sz w:val="22"/>
          <w:szCs w:val="22"/>
        </w:rPr>
        <w:t>.</w:t>
      </w:r>
    </w:p>
    <w:p w14:paraId="19E5189C" w14:textId="388D2557" w:rsidR="00C349E5" w:rsidRPr="00450A17" w:rsidRDefault="00C349E5" w:rsidP="00C349E5">
      <w:pPr>
        <w:pStyle w:val="ListParagraph"/>
        <w:numPr>
          <w:ilvl w:val="0"/>
          <w:numId w:val="76"/>
        </w:numPr>
        <w:spacing w:line="276" w:lineRule="auto"/>
        <w:rPr>
          <w:rFonts w:ascii="Times New Roman" w:hAnsi="Times New Roman" w:cs="Times New Roman"/>
          <w:color w:val="2E74B5" w:themeColor="accent5" w:themeShade="BF"/>
          <w:sz w:val="22"/>
          <w:szCs w:val="22"/>
        </w:rPr>
      </w:pPr>
      <w:r w:rsidRPr="00450A17">
        <w:rPr>
          <w:rFonts w:ascii="Times New Roman" w:hAnsi="Times New Roman" w:cs="Times New Roman"/>
          <w:color w:val="2E74B5" w:themeColor="accent5" w:themeShade="BF"/>
          <w:sz w:val="22"/>
          <w:szCs w:val="22"/>
        </w:rPr>
        <w:t xml:space="preserve">Yes, we’ve fixed. This was not possible in </w:t>
      </w:r>
      <w:proofErr w:type="gramStart"/>
      <w:r w:rsidRPr="00450A17">
        <w:rPr>
          <w:rFonts w:ascii="Times New Roman" w:hAnsi="Times New Roman" w:cs="Times New Roman"/>
          <w:color w:val="2E74B5" w:themeColor="accent5" w:themeShade="BF"/>
          <w:sz w:val="22"/>
          <w:szCs w:val="22"/>
        </w:rPr>
        <w:t>R</w:t>
      </w:r>
      <w:proofErr w:type="gramEnd"/>
      <w:r w:rsidRPr="00450A17">
        <w:rPr>
          <w:rFonts w:ascii="Times New Roman" w:hAnsi="Times New Roman" w:cs="Times New Roman"/>
          <w:color w:val="2E74B5" w:themeColor="accent5" w:themeShade="BF"/>
          <w:sz w:val="22"/>
          <w:szCs w:val="22"/>
        </w:rPr>
        <w:t xml:space="preserve"> but we’ve moved it using </w:t>
      </w:r>
      <w:r w:rsidR="00450A17" w:rsidRPr="00450A17">
        <w:rPr>
          <w:rFonts w:ascii="Times New Roman" w:hAnsi="Times New Roman" w:cs="Times New Roman"/>
          <w:color w:val="2E74B5" w:themeColor="accent5" w:themeShade="BF"/>
          <w:sz w:val="22"/>
          <w:szCs w:val="22"/>
        </w:rPr>
        <w:t>PowerPoint</w:t>
      </w:r>
      <w:r w:rsidRPr="00450A17">
        <w:rPr>
          <w:rFonts w:ascii="Times New Roman" w:hAnsi="Times New Roman" w:cs="Times New Roman"/>
          <w:color w:val="2E74B5" w:themeColor="accent5" w:themeShade="BF"/>
          <w:sz w:val="22"/>
          <w:szCs w:val="22"/>
        </w:rPr>
        <w:t xml:space="preserve"> now.</w:t>
      </w:r>
    </w:p>
    <w:p w14:paraId="2CE6FA9A" w14:textId="77777777" w:rsidR="00C349E5" w:rsidRDefault="00C349E5" w:rsidP="00C349E5">
      <w:pPr>
        <w:pStyle w:val="ListParagraph"/>
        <w:spacing w:line="276" w:lineRule="auto"/>
        <w:ind w:left="0"/>
        <w:rPr>
          <w:rFonts w:ascii="Times New Roman" w:hAnsi="Times New Roman" w:cs="Times New Roman"/>
          <w:color w:val="000000"/>
          <w:sz w:val="22"/>
          <w:szCs w:val="22"/>
        </w:rPr>
      </w:pPr>
    </w:p>
    <w:p w14:paraId="795534FB" w14:textId="77777777" w:rsidR="00F97AE7" w:rsidRDefault="00F97AE7" w:rsidP="00C349E5">
      <w:pPr>
        <w:pStyle w:val="ListParagraph"/>
        <w:spacing w:line="276" w:lineRule="auto"/>
        <w:ind w:left="0"/>
        <w:rPr>
          <w:rFonts w:ascii="Times New Roman" w:hAnsi="Times New Roman" w:cs="Times New Roman"/>
          <w:color w:val="000000"/>
          <w:sz w:val="22"/>
          <w:szCs w:val="22"/>
        </w:rPr>
      </w:pPr>
    </w:p>
    <w:p w14:paraId="73CDA37F" w14:textId="7DDB15F9" w:rsidR="00F97AE7" w:rsidRDefault="00F97AE7" w:rsidP="00C349E5">
      <w:pPr>
        <w:pStyle w:val="ListParagraph"/>
        <w:spacing w:line="276" w:lineRule="auto"/>
        <w:ind w:left="0"/>
        <w:rPr>
          <w:rFonts w:ascii="Times New Roman" w:hAnsi="Times New Roman" w:cs="Times New Roman"/>
          <w:color w:val="000000"/>
          <w:sz w:val="22"/>
          <w:szCs w:val="22"/>
        </w:rPr>
      </w:pPr>
      <w:r>
        <w:rPr>
          <w:rFonts w:ascii="Times New Roman" w:hAnsi="Times New Roman" w:cs="Times New Roman"/>
          <w:color w:val="000000"/>
          <w:sz w:val="22"/>
          <w:szCs w:val="22"/>
        </w:rPr>
        <w:t>References</w:t>
      </w:r>
    </w:p>
    <w:p w14:paraId="2301B820" w14:textId="77777777" w:rsidR="00F97AE7" w:rsidRPr="00F97AE7" w:rsidRDefault="00F97AE7" w:rsidP="00F97AE7">
      <w:pPr>
        <w:pStyle w:val="Bibliography"/>
        <w:rPr>
          <w:rFonts w:ascii="Times New Roman" w:hAnsi="Times New Roman" w:cs="Times New Roman"/>
          <w:color w:val="000000"/>
          <w:sz w:val="22"/>
          <w:lang w:val="en-US"/>
        </w:rPr>
      </w:pPr>
      <w:r>
        <w:rPr>
          <w:color w:val="000000"/>
          <w:sz w:val="22"/>
          <w:szCs w:val="22"/>
        </w:rPr>
        <w:fldChar w:fldCharType="begin"/>
      </w:r>
      <w:r>
        <w:rPr>
          <w:color w:val="000000"/>
          <w:sz w:val="22"/>
          <w:szCs w:val="22"/>
        </w:rPr>
        <w:instrText xml:space="preserve"> ADDIN ZOTERO_BIBL {"uncited":[],"omitted":[],"custom":[]} CSL_BIBLIOGRAPHY </w:instrText>
      </w:r>
      <w:r>
        <w:rPr>
          <w:color w:val="000000"/>
          <w:sz w:val="22"/>
          <w:szCs w:val="22"/>
        </w:rPr>
        <w:fldChar w:fldCharType="separate"/>
      </w:r>
      <w:r w:rsidRPr="00F97AE7">
        <w:rPr>
          <w:rFonts w:ascii="Times New Roman" w:hAnsi="Times New Roman" w:cs="Times New Roman"/>
          <w:color w:val="000000"/>
          <w:sz w:val="22"/>
          <w:lang w:val="en-US"/>
        </w:rPr>
        <w:t xml:space="preserve">Boulanger, J., &amp; McLellan, B. (2001). </w:t>
      </w:r>
      <w:r w:rsidRPr="00F97AE7">
        <w:rPr>
          <w:rFonts w:ascii="Times New Roman" w:hAnsi="Times New Roman" w:cs="Times New Roman"/>
          <w:i/>
          <w:iCs/>
          <w:color w:val="000000"/>
          <w:sz w:val="22"/>
          <w:lang w:val="en-US"/>
        </w:rPr>
        <w:t>Closure violation in DNA-based mark–recapture estimation of grizzly bear populations</w:t>
      </w:r>
      <w:r w:rsidRPr="00F97AE7">
        <w:rPr>
          <w:rFonts w:ascii="Times New Roman" w:hAnsi="Times New Roman" w:cs="Times New Roman"/>
          <w:color w:val="000000"/>
          <w:sz w:val="22"/>
          <w:lang w:val="en-US"/>
        </w:rPr>
        <w:t xml:space="preserve">. </w:t>
      </w:r>
      <w:r w:rsidRPr="00F97AE7">
        <w:rPr>
          <w:rFonts w:ascii="Times New Roman" w:hAnsi="Times New Roman" w:cs="Times New Roman"/>
          <w:i/>
          <w:iCs/>
          <w:color w:val="000000"/>
          <w:sz w:val="22"/>
          <w:lang w:val="en-US"/>
        </w:rPr>
        <w:t>79</w:t>
      </w:r>
      <w:r w:rsidRPr="00F97AE7">
        <w:rPr>
          <w:rFonts w:ascii="Times New Roman" w:hAnsi="Times New Roman" w:cs="Times New Roman"/>
          <w:color w:val="000000"/>
          <w:sz w:val="22"/>
          <w:lang w:val="en-US"/>
        </w:rPr>
        <w:t>, 10.</w:t>
      </w:r>
    </w:p>
    <w:p w14:paraId="14016437" w14:textId="77777777" w:rsidR="00F97AE7" w:rsidRPr="00F97AE7" w:rsidRDefault="00F97AE7" w:rsidP="00F97AE7">
      <w:pPr>
        <w:pStyle w:val="Bibliography"/>
        <w:rPr>
          <w:rFonts w:ascii="Times New Roman" w:hAnsi="Times New Roman" w:cs="Times New Roman"/>
          <w:color w:val="000000"/>
          <w:sz w:val="22"/>
          <w:lang w:val="en-US"/>
        </w:rPr>
      </w:pPr>
      <w:proofErr w:type="spellStart"/>
      <w:r w:rsidRPr="00F97AE7">
        <w:rPr>
          <w:rFonts w:ascii="Times New Roman" w:hAnsi="Times New Roman" w:cs="Times New Roman"/>
          <w:color w:val="000000"/>
          <w:sz w:val="22"/>
          <w:lang w:val="en-US"/>
        </w:rPr>
        <w:t>Efford</w:t>
      </w:r>
      <w:proofErr w:type="spellEnd"/>
      <w:r w:rsidRPr="00F97AE7">
        <w:rPr>
          <w:rFonts w:ascii="Times New Roman" w:hAnsi="Times New Roman" w:cs="Times New Roman"/>
          <w:color w:val="000000"/>
          <w:sz w:val="22"/>
          <w:lang w:val="en-US"/>
        </w:rPr>
        <w:t xml:space="preserve">, M. G., &amp; </w:t>
      </w:r>
      <w:proofErr w:type="spellStart"/>
      <w:r w:rsidRPr="00F97AE7">
        <w:rPr>
          <w:rFonts w:ascii="Times New Roman" w:hAnsi="Times New Roman" w:cs="Times New Roman"/>
          <w:color w:val="000000"/>
          <w:sz w:val="22"/>
          <w:lang w:val="en-US"/>
        </w:rPr>
        <w:t>Fewster</w:t>
      </w:r>
      <w:proofErr w:type="spellEnd"/>
      <w:r w:rsidRPr="00F97AE7">
        <w:rPr>
          <w:rFonts w:ascii="Times New Roman" w:hAnsi="Times New Roman" w:cs="Times New Roman"/>
          <w:color w:val="000000"/>
          <w:sz w:val="22"/>
          <w:lang w:val="en-US"/>
        </w:rPr>
        <w:t xml:space="preserve">, R. M. (2013). Estimating population size by spatially explicit capture-recapture. </w:t>
      </w:r>
      <w:r w:rsidRPr="00F97AE7">
        <w:rPr>
          <w:rFonts w:ascii="Times New Roman" w:hAnsi="Times New Roman" w:cs="Times New Roman"/>
          <w:i/>
          <w:iCs/>
          <w:color w:val="000000"/>
          <w:sz w:val="22"/>
          <w:lang w:val="en-US"/>
        </w:rPr>
        <w:t>Oikos</w:t>
      </w:r>
      <w:r w:rsidRPr="00F97AE7">
        <w:rPr>
          <w:rFonts w:ascii="Times New Roman" w:hAnsi="Times New Roman" w:cs="Times New Roman"/>
          <w:color w:val="000000"/>
          <w:sz w:val="22"/>
          <w:lang w:val="en-US"/>
        </w:rPr>
        <w:t xml:space="preserve">, </w:t>
      </w:r>
      <w:r w:rsidRPr="00F97AE7">
        <w:rPr>
          <w:rFonts w:ascii="Times New Roman" w:hAnsi="Times New Roman" w:cs="Times New Roman"/>
          <w:i/>
          <w:iCs/>
          <w:color w:val="000000"/>
          <w:sz w:val="22"/>
          <w:lang w:val="en-US"/>
        </w:rPr>
        <w:t>122</w:t>
      </w:r>
      <w:r w:rsidRPr="00F97AE7">
        <w:rPr>
          <w:rFonts w:ascii="Times New Roman" w:hAnsi="Times New Roman" w:cs="Times New Roman"/>
          <w:color w:val="000000"/>
          <w:sz w:val="22"/>
          <w:lang w:val="en-US"/>
        </w:rPr>
        <w:t>, 918–928.</w:t>
      </w:r>
    </w:p>
    <w:p w14:paraId="146E5B7D" w14:textId="77777777" w:rsidR="00F97AE7" w:rsidRPr="00F97AE7" w:rsidRDefault="00F97AE7" w:rsidP="00F97AE7">
      <w:pPr>
        <w:pStyle w:val="Bibliography"/>
        <w:rPr>
          <w:rFonts w:ascii="Times New Roman" w:hAnsi="Times New Roman" w:cs="Times New Roman"/>
          <w:color w:val="000000"/>
          <w:sz w:val="22"/>
          <w:lang w:val="en-US"/>
        </w:rPr>
      </w:pPr>
      <w:proofErr w:type="spellStart"/>
      <w:r w:rsidRPr="00F97AE7">
        <w:rPr>
          <w:rFonts w:ascii="Times New Roman" w:hAnsi="Times New Roman" w:cs="Times New Roman"/>
          <w:color w:val="000000"/>
          <w:sz w:val="22"/>
          <w:lang w:val="en-US"/>
        </w:rPr>
        <w:t>Efford</w:t>
      </w:r>
      <w:proofErr w:type="spellEnd"/>
      <w:r w:rsidRPr="00F97AE7">
        <w:rPr>
          <w:rFonts w:ascii="Times New Roman" w:hAnsi="Times New Roman" w:cs="Times New Roman"/>
          <w:color w:val="000000"/>
          <w:sz w:val="22"/>
          <w:lang w:val="en-US"/>
        </w:rPr>
        <w:t xml:space="preserve">, M. G., &amp; Schofield, M. R. (2020). A spatial open-population capture-recapture model. </w:t>
      </w:r>
      <w:r w:rsidRPr="00F97AE7">
        <w:rPr>
          <w:rFonts w:ascii="Times New Roman" w:hAnsi="Times New Roman" w:cs="Times New Roman"/>
          <w:i/>
          <w:iCs/>
          <w:color w:val="000000"/>
          <w:sz w:val="22"/>
          <w:lang w:val="en-US"/>
        </w:rPr>
        <w:t>Biometrics</w:t>
      </w:r>
      <w:r w:rsidRPr="00F97AE7">
        <w:rPr>
          <w:rFonts w:ascii="Times New Roman" w:hAnsi="Times New Roman" w:cs="Times New Roman"/>
          <w:color w:val="000000"/>
          <w:sz w:val="22"/>
          <w:lang w:val="en-US"/>
        </w:rPr>
        <w:t xml:space="preserve">, </w:t>
      </w:r>
      <w:r w:rsidRPr="00F97AE7">
        <w:rPr>
          <w:rFonts w:ascii="Times New Roman" w:hAnsi="Times New Roman" w:cs="Times New Roman"/>
          <w:i/>
          <w:iCs/>
          <w:color w:val="000000"/>
          <w:sz w:val="22"/>
          <w:lang w:val="en-US"/>
        </w:rPr>
        <w:t>76</w:t>
      </w:r>
      <w:r w:rsidRPr="00F97AE7">
        <w:rPr>
          <w:rFonts w:ascii="Times New Roman" w:hAnsi="Times New Roman" w:cs="Times New Roman"/>
          <w:color w:val="000000"/>
          <w:sz w:val="22"/>
          <w:lang w:val="en-US"/>
        </w:rPr>
        <w:t>, 392–402.</w:t>
      </w:r>
    </w:p>
    <w:p w14:paraId="68B88527" w14:textId="77777777" w:rsidR="00F97AE7" w:rsidRPr="00F97AE7" w:rsidRDefault="00F97AE7" w:rsidP="00F97AE7">
      <w:pPr>
        <w:pStyle w:val="Bibliography"/>
        <w:rPr>
          <w:rFonts w:ascii="Times New Roman" w:hAnsi="Times New Roman" w:cs="Times New Roman"/>
          <w:color w:val="000000"/>
          <w:sz w:val="22"/>
          <w:lang w:val="en-US"/>
        </w:rPr>
      </w:pPr>
      <w:r w:rsidRPr="00F97AE7">
        <w:rPr>
          <w:rFonts w:ascii="Times New Roman" w:hAnsi="Times New Roman" w:cs="Times New Roman"/>
          <w:color w:val="000000"/>
          <w:sz w:val="22"/>
          <w:lang w:val="en-US"/>
        </w:rPr>
        <w:t xml:space="preserve">Lamb, C. T., Ford, A. T., Proctor, M. F., </w:t>
      </w:r>
      <w:proofErr w:type="spellStart"/>
      <w:r w:rsidRPr="00F97AE7">
        <w:rPr>
          <w:rFonts w:ascii="Times New Roman" w:hAnsi="Times New Roman" w:cs="Times New Roman"/>
          <w:color w:val="000000"/>
          <w:sz w:val="22"/>
          <w:lang w:val="en-US"/>
        </w:rPr>
        <w:t>Royle</w:t>
      </w:r>
      <w:proofErr w:type="spellEnd"/>
      <w:r w:rsidRPr="00F97AE7">
        <w:rPr>
          <w:rFonts w:ascii="Times New Roman" w:hAnsi="Times New Roman" w:cs="Times New Roman"/>
          <w:color w:val="000000"/>
          <w:sz w:val="22"/>
          <w:lang w:val="en-US"/>
        </w:rPr>
        <w:t xml:space="preserve">, J. A., Mowat, G., &amp; Boutin, S. (2019). Genetic tagging in the Anthropocene: Scaling ecology from alleles to ecosystems. </w:t>
      </w:r>
      <w:r w:rsidRPr="00F97AE7">
        <w:rPr>
          <w:rFonts w:ascii="Times New Roman" w:hAnsi="Times New Roman" w:cs="Times New Roman"/>
          <w:i/>
          <w:iCs/>
          <w:color w:val="000000"/>
          <w:sz w:val="22"/>
          <w:lang w:val="en-US"/>
        </w:rPr>
        <w:t>Ecological Applications</w:t>
      </w:r>
      <w:r w:rsidRPr="00F97AE7">
        <w:rPr>
          <w:rFonts w:ascii="Times New Roman" w:hAnsi="Times New Roman" w:cs="Times New Roman"/>
          <w:color w:val="000000"/>
          <w:sz w:val="22"/>
          <w:lang w:val="en-US"/>
        </w:rPr>
        <w:t xml:space="preserve">, </w:t>
      </w:r>
      <w:r w:rsidRPr="00F97AE7">
        <w:rPr>
          <w:rFonts w:ascii="Times New Roman" w:hAnsi="Times New Roman" w:cs="Times New Roman"/>
          <w:i/>
          <w:iCs/>
          <w:color w:val="000000"/>
          <w:sz w:val="22"/>
          <w:lang w:val="en-US"/>
        </w:rPr>
        <w:t>29</w:t>
      </w:r>
      <w:r w:rsidRPr="00F97AE7">
        <w:rPr>
          <w:rFonts w:ascii="Times New Roman" w:hAnsi="Times New Roman" w:cs="Times New Roman"/>
          <w:color w:val="000000"/>
          <w:sz w:val="22"/>
          <w:lang w:val="en-US"/>
        </w:rPr>
        <w:t>, e01876.</w:t>
      </w:r>
    </w:p>
    <w:p w14:paraId="09D91299" w14:textId="77777777" w:rsidR="00F97AE7" w:rsidRPr="00F97AE7" w:rsidRDefault="00F97AE7" w:rsidP="00F97AE7">
      <w:pPr>
        <w:pStyle w:val="Bibliography"/>
        <w:rPr>
          <w:rFonts w:ascii="Times New Roman" w:hAnsi="Times New Roman" w:cs="Times New Roman"/>
          <w:color w:val="000000"/>
          <w:sz w:val="22"/>
          <w:lang w:val="en-US"/>
        </w:rPr>
      </w:pPr>
      <w:r w:rsidRPr="00F97AE7">
        <w:rPr>
          <w:rFonts w:ascii="Times New Roman" w:hAnsi="Times New Roman" w:cs="Times New Roman"/>
          <w:color w:val="000000"/>
          <w:sz w:val="22"/>
          <w:lang w:val="en-US"/>
        </w:rPr>
        <w:t xml:space="preserve">Lamb, C. T., Mowat, G., McLellan, B. N., Nielsen, S. E., &amp; Boutin, S. (2017). Forbidden fruit: Human settlement and abundant fruit create an ecological trap for an apex omnivore. </w:t>
      </w:r>
      <w:r w:rsidRPr="00F97AE7">
        <w:rPr>
          <w:rFonts w:ascii="Times New Roman" w:hAnsi="Times New Roman" w:cs="Times New Roman"/>
          <w:i/>
          <w:iCs/>
          <w:color w:val="000000"/>
          <w:sz w:val="22"/>
          <w:lang w:val="en-US"/>
        </w:rPr>
        <w:t>Journal of Animal Ecology</w:t>
      </w:r>
      <w:r w:rsidRPr="00F97AE7">
        <w:rPr>
          <w:rFonts w:ascii="Times New Roman" w:hAnsi="Times New Roman" w:cs="Times New Roman"/>
          <w:color w:val="000000"/>
          <w:sz w:val="22"/>
          <w:lang w:val="en-US"/>
        </w:rPr>
        <w:t xml:space="preserve">, </w:t>
      </w:r>
      <w:r w:rsidRPr="00F97AE7">
        <w:rPr>
          <w:rFonts w:ascii="Times New Roman" w:hAnsi="Times New Roman" w:cs="Times New Roman"/>
          <w:i/>
          <w:iCs/>
          <w:color w:val="000000"/>
          <w:sz w:val="22"/>
          <w:lang w:val="en-US"/>
        </w:rPr>
        <w:t>86</w:t>
      </w:r>
      <w:r w:rsidRPr="00F97AE7">
        <w:rPr>
          <w:rFonts w:ascii="Times New Roman" w:hAnsi="Times New Roman" w:cs="Times New Roman"/>
          <w:color w:val="000000"/>
          <w:sz w:val="22"/>
          <w:lang w:val="en-US"/>
        </w:rPr>
        <w:t>, 55–65.</w:t>
      </w:r>
    </w:p>
    <w:p w14:paraId="2DC93E0A" w14:textId="6EA48E14" w:rsidR="00F97AE7" w:rsidRPr="00282FC1" w:rsidRDefault="00F97AE7" w:rsidP="00C349E5">
      <w:pPr>
        <w:pStyle w:val="ListParagraph"/>
        <w:spacing w:line="276" w:lineRule="auto"/>
        <w:ind w:left="0"/>
        <w:rPr>
          <w:rFonts w:ascii="Times New Roman" w:hAnsi="Times New Roman" w:cs="Times New Roman"/>
          <w:color w:val="000000"/>
          <w:sz w:val="22"/>
          <w:szCs w:val="22"/>
        </w:rPr>
      </w:pPr>
      <w:r>
        <w:rPr>
          <w:rFonts w:ascii="Times New Roman" w:hAnsi="Times New Roman" w:cs="Times New Roman"/>
          <w:color w:val="000000"/>
          <w:sz w:val="22"/>
          <w:szCs w:val="22"/>
        </w:rPr>
        <w:fldChar w:fldCharType="end"/>
      </w:r>
    </w:p>
    <w:sectPr w:rsidR="00F97AE7" w:rsidRPr="00282FC1">
      <w:footerReference w:type="even" r:id="rId9"/>
      <w:foot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793466" w14:textId="77777777" w:rsidR="004C3A10" w:rsidRDefault="004C3A10" w:rsidP="00632402">
      <w:r>
        <w:separator/>
      </w:r>
    </w:p>
  </w:endnote>
  <w:endnote w:type="continuationSeparator" w:id="0">
    <w:p w14:paraId="7203AE47" w14:textId="77777777" w:rsidR="004C3A10" w:rsidRDefault="004C3A10" w:rsidP="006324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346535"/>
      <w:docPartObj>
        <w:docPartGallery w:val="Page Numbers (Bottom of Page)"/>
        <w:docPartUnique/>
      </w:docPartObj>
    </w:sdtPr>
    <w:sdtContent>
      <w:p w14:paraId="1FDDE4C5" w14:textId="30AC2D91" w:rsidR="00632402" w:rsidRDefault="00632402" w:rsidP="00E157E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89539F9" w14:textId="77777777" w:rsidR="00632402" w:rsidRDefault="00632402" w:rsidP="0063240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84232402"/>
      <w:docPartObj>
        <w:docPartGallery w:val="Page Numbers (Bottom of Page)"/>
        <w:docPartUnique/>
      </w:docPartObj>
    </w:sdtPr>
    <w:sdtContent>
      <w:p w14:paraId="15C3CD10" w14:textId="68D9557E" w:rsidR="00632402" w:rsidRDefault="00632402" w:rsidP="00E157E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36B485D" w14:textId="77777777" w:rsidR="00632402" w:rsidRDefault="00632402" w:rsidP="0063240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BB87F0" w14:textId="77777777" w:rsidR="004C3A10" w:rsidRDefault="004C3A10" w:rsidP="00632402">
      <w:r>
        <w:separator/>
      </w:r>
    </w:p>
  </w:footnote>
  <w:footnote w:type="continuationSeparator" w:id="0">
    <w:p w14:paraId="4AF9E73D" w14:textId="77777777" w:rsidR="004C3A10" w:rsidRDefault="004C3A10" w:rsidP="006324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3530A"/>
    <w:multiLevelType w:val="hybridMultilevel"/>
    <w:tmpl w:val="3B6885C8"/>
    <w:lvl w:ilvl="0" w:tplc="4CD4B9E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A2C5B21"/>
    <w:multiLevelType w:val="hybridMultilevel"/>
    <w:tmpl w:val="015094FA"/>
    <w:lvl w:ilvl="0" w:tplc="BF743A4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A383BA2"/>
    <w:multiLevelType w:val="hybridMultilevel"/>
    <w:tmpl w:val="6E0669EC"/>
    <w:lvl w:ilvl="0" w:tplc="225802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A493DEC"/>
    <w:multiLevelType w:val="hybridMultilevel"/>
    <w:tmpl w:val="2862AC64"/>
    <w:lvl w:ilvl="0" w:tplc="B85057A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CB11D80"/>
    <w:multiLevelType w:val="hybridMultilevel"/>
    <w:tmpl w:val="F1DAFB0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3B275F"/>
    <w:multiLevelType w:val="hybridMultilevel"/>
    <w:tmpl w:val="9C90E140"/>
    <w:lvl w:ilvl="0" w:tplc="9F5ABBD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3C23C6A"/>
    <w:multiLevelType w:val="hybridMultilevel"/>
    <w:tmpl w:val="53007E34"/>
    <w:lvl w:ilvl="0" w:tplc="6980AD2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4523CB5"/>
    <w:multiLevelType w:val="hybridMultilevel"/>
    <w:tmpl w:val="7F7894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703743"/>
    <w:multiLevelType w:val="hybridMultilevel"/>
    <w:tmpl w:val="A3E2AC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5675543"/>
    <w:multiLevelType w:val="hybridMultilevel"/>
    <w:tmpl w:val="E33AD080"/>
    <w:lvl w:ilvl="0" w:tplc="4F665D6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5CA112A"/>
    <w:multiLevelType w:val="hybridMultilevel"/>
    <w:tmpl w:val="D52CADAE"/>
    <w:lvl w:ilvl="0" w:tplc="D73240A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79906D9"/>
    <w:multiLevelType w:val="hybridMultilevel"/>
    <w:tmpl w:val="DA964A44"/>
    <w:lvl w:ilvl="0" w:tplc="752A598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9823A49"/>
    <w:multiLevelType w:val="hybridMultilevel"/>
    <w:tmpl w:val="9B10294C"/>
    <w:lvl w:ilvl="0" w:tplc="E564BF5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BF34FD"/>
    <w:multiLevelType w:val="hybridMultilevel"/>
    <w:tmpl w:val="3D9E4EF6"/>
    <w:lvl w:ilvl="0" w:tplc="B5F4E4E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C692F9B"/>
    <w:multiLevelType w:val="hybridMultilevel"/>
    <w:tmpl w:val="4998990C"/>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5" w15:restartNumberingAfterBreak="0">
    <w:nsid w:val="23F06F31"/>
    <w:multiLevelType w:val="hybridMultilevel"/>
    <w:tmpl w:val="02941F68"/>
    <w:lvl w:ilvl="0" w:tplc="E44CF9A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5247F00"/>
    <w:multiLevelType w:val="hybridMultilevel"/>
    <w:tmpl w:val="015094FA"/>
    <w:lvl w:ilvl="0" w:tplc="FFFFFFFF">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7" w15:restartNumberingAfterBreak="0">
    <w:nsid w:val="254C17B2"/>
    <w:multiLevelType w:val="hybridMultilevel"/>
    <w:tmpl w:val="E8A6CD82"/>
    <w:lvl w:ilvl="0" w:tplc="1A96438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69E22E3"/>
    <w:multiLevelType w:val="hybridMultilevel"/>
    <w:tmpl w:val="BBA2C6BC"/>
    <w:lvl w:ilvl="0" w:tplc="712E95D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6C176AD"/>
    <w:multiLevelType w:val="hybridMultilevel"/>
    <w:tmpl w:val="4998990C"/>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0" w15:restartNumberingAfterBreak="0">
    <w:nsid w:val="28876B34"/>
    <w:multiLevelType w:val="hybridMultilevel"/>
    <w:tmpl w:val="4998990C"/>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1" w15:restartNumberingAfterBreak="0">
    <w:nsid w:val="2BD079D9"/>
    <w:multiLevelType w:val="hybridMultilevel"/>
    <w:tmpl w:val="89366DBA"/>
    <w:lvl w:ilvl="0" w:tplc="F97A8AB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2C7B29D6"/>
    <w:multiLevelType w:val="hybridMultilevel"/>
    <w:tmpl w:val="0FB60A3A"/>
    <w:lvl w:ilvl="0" w:tplc="3618AD3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30462491"/>
    <w:multiLevelType w:val="hybridMultilevel"/>
    <w:tmpl w:val="4998990C"/>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4" w15:restartNumberingAfterBreak="0">
    <w:nsid w:val="30A02A3C"/>
    <w:multiLevelType w:val="hybridMultilevel"/>
    <w:tmpl w:val="FF006B1C"/>
    <w:lvl w:ilvl="0" w:tplc="5B344E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35451DC"/>
    <w:multiLevelType w:val="hybridMultilevel"/>
    <w:tmpl w:val="7B3C2508"/>
    <w:lvl w:ilvl="0" w:tplc="2FF09A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341C417B"/>
    <w:multiLevelType w:val="hybridMultilevel"/>
    <w:tmpl w:val="8C4CA03C"/>
    <w:lvl w:ilvl="0" w:tplc="B034594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34B82D62"/>
    <w:multiLevelType w:val="hybridMultilevel"/>
    <w:tmpl w:val="EEDC25F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355C4F0B"/>
    <w:multiLevelType w:val="hybridMultilevel"/>
    <w:tmpl w:val="FBDE0DDC"/>
    <w:lvl w:ilvl="0" w:tplc="BBB6D0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36353A93"/>
    <w:multiLevelType w:val="hybridMultilevel"/>
    <w:tmpl w:val="20C0BDD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7503508"/>
    <w:multiLevelType w:val="hybridMultilevel"/>
    <w:tmpl w:val="D6C0280C"/>
    <w:lvl w:ilvl="0" w:tplc="3C2CBD6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380C73D3"/>
    <w:multiLevelType w:val="hybridMultilevel"/>
    <w:tmpl w:val="DED8A684"/>
    <w:lvl w:ilvl="0" w:tplc="BAF0433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38CE7743"/>
    <w:multiLevelType w:val="hybridMultilevel"/>
    <w:tmpl w:val="71D433CA"/>
    <w:lvl w:ilvl="0" w:tplc="F88CAB6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392624E2"/>
    <w:multiLevelType w:val="hybridMultilevel"/>
    <w:tmpl w:val="4C663E1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9B75256"/>
    <w:multiLevelType w:val="hybridMultilevel"/>
    <w:tmpl w:val="BB3EDA00"/>
    <w:lvl w:ilvl="0" w:tplc="94146C8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3A162536"/>
    <w:multiLevelType w:val="hybridMultilevel"/>
    <w:tmpl w:val="4998990C"/>
    <w:lvl w:ilvl="0" w:tplc="FFFFFFFF">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6" w15:restartNumberingAfterBreak="0">
    <w:nsid w:val="3C13730D"/>
    <w:multiLevelType w:val="hybridMultilevel"/>
    <w:tmpl w:val="04BA97A8"/>
    <w:lvl w:ilvl="0" w:tplc="AE8A79A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3C2B79ED"/>
    <w:multiLevelType w:val="hybridMultilevel"/>
    <w:tmpl w:val="015094FA"/>
    <w:lvl w:ilvl="0" w:tplc="FFFFFFFF">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8" w15:restartNumberingAfterBreak="0">
    <w:nsid w:val="3C4D0BFA"/>
    <w:multiLevelType w:val="hybridMultilevel"/>
    <w:tmpl w:val="8056FEC6"/>
    <w:lvl w:ilvl="0" w:tplc="1B5AC84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3E086928"/>
    <w:multiLevelType w:val="hybridMultilevel"/>
    <w:tmpl w:val="17CADECA"/>
    <w:lvl w:ilvl="0" w:tplc="99B63F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3F1954FA"/>
    <w:multiLevelType w:val="multilevel"/>
    <w:tmpl w:val="8B7818F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0E6682B"/>
    <w:multiLevelType w:val="hybridMultilevel"/>
    <w:tmpl w:val="6A7C794A"/>
    <w:lvl w:ilvl="0" w:tplc="32122BD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412156E4"/>
    <w:multiLevelType w:val="hybridMultilevel"/>
    <w:tmpl w:val="1D1E81AC"/>
    <w:lvl w:ilvl="0" w:tplc="B7C0EC4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42E87115"/>
    <w:multiLevelType w:val="hybridMultilevel"/>
    <w:tmpl w:val="23C6E30C"/>
    <w:lvl w:ilvl="0" w:tplc="C5888D5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43A97636"/>
    <w:multiLevelType w:val="hybridMultilevel"/>
    <w:tmpl w:val="8CE6FC26"/>
    <w:lvl w:ilvl="0" w:tplc="2124CFC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44BA4E2B"/>
    <w:multiLevelType w:val="hybridMultilevel"/>
    <w:tmpl w:val="9392BA94"/>
    <w:lvl w:ilvl="0" w:tplc="48C2B22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46DA4A9A"/>
    <w:multiLevelType w:val="hybridMultilevel"/>
    <w:tmpl w:val="A75880F0"/>
    <w:lvl w:ilvl="0" w:tplc="AFC6C4D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15:restartNumberingAfterBreak="0">
    <w:nsid w:val="498E202B"/>
    <w:multiLevelType w:val="hybridMultilevel"/>
    <w:tmpl w:val="35C0696A"/>
    <w:lvl w:ilvl="0" w:tplc="ACFA625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49FA4CE2"/>
    <w:multiLevelType w:val="hybridMultilevel"/>
    <w:tmpl w:val="B3E00C36"/>
    <w:lvl w:ilvl="0" w:tplc="CD14EBD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15:restartNumberingAfterBreak="0">
    <w:nsid w:val="4B066921"/>
    <w:multiLevelType w:val="hybridMultilevel"/>
    <w:tmpl w:val="325E89F4"/>
    <w:lvl w:ilvl="0" w:tplc="27A2E7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15:restartNumberingAfterBreak="0">
    <w:nsid w:val="4FD84702"/>
    <w:multiLevelType w:val="hybridMultilevel"/>
    <w:tmpl w:val="4998990C"/>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1" w15:restartNumberingAfterBreak="0">
    <w:nsid w:val="548D6C65"/>
    <w:multiLevelType w:val="hybridMultilevel"/>
    <w:tmpl w:val="ABB6DC32"/>
    <w:lvl w:ilvl="0" w:tplc="8C36556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15:restartNumberingAfterBreak="0">
    <w:nsid w:val="5935203F"/>
    <w:multiLevelType w:val="hybridMultilevel"/>
    <w:tmpl w:val="D228D7D2"/>
    <w:lvl w:ilvl="0" w:tplc="9F26075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15:restartNumberingAfterBreak="0">
    <w:nsid w:val="5B3E287A"/>
    <w:multiLevelType w:val="hybridMultilevel"/>
    <w:tmpl w:val="15908BC4"/>
    <w:lvl w:ilvl="0" w:tplc="D19492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4" w15:restartNumberingAfterBreak="0">
    <w:nsid w:val="5C060D47"/>
    <w:multiLevelType w:val="hybridMultilevel"/>
    <w:tmpl w:val="3F5C1FEC"/>
    <w:lvl w:ilvl="0" w:tplc="AA38CA8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15:restartNumberingAfterBreak="0">
    <w:nsid w:val="5FC4334E"/>
    <w:multiLevelType w:val="hybridMultilevel"/>
    <w:tmpl w:val="A8CE52AC"/>
    <w:lvl w:ilvl="0" w:tplc="9C20DE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6" w15:restartNumberingAfterBreak="0">
    <w:nsid w:val="61751A9F"/>
    <w:multiLevelType w:val="hybridMultilevel"/>
    <w:tmpl w:val="A3C09CB4"/>
    <w:lvl w:ilvl="0" w:tplc="09E283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7" w15:restartNumberingAfterBreak="0">
    <w:nsid w:val="651E03B1"/>
    <w:multiLevelType w:val="hybridMultilevel"/>
    <w:tmpl w:val="1FDA475E"/>
    <w:lvl w:ilvl="0" w:tplc="04B62E3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8" w15:restartNumberingAfterBreak="0">
    <w:nsid w:val="66547C50"/>
    <w:multiLevelType w:val="hybridMultilevel"/>
    <w:tmpl w:val="3378C95A"/>
    <w:lvl w:ilvl="0" w:tplc="8FA409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9" w15:restartNumberingAfterBreak="0">
    <w:nsid w:val="668D0A3D"/>
    <w:multiLevelType w:val="hybridMultilevel"/>
    <w:tmpl w:val="78AAB15A"/>
    <w:lvl w:ilvl="0" w:tplc="1E88940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0" w15:restartNumberingAfterBreak="0">
    <w:nsid w:val="66DB358D"/>
    <w:multiLevelType w:val="hybridMultilevel"/>
    <w:tmpl w:val="82F6AF2C"/>
    <w:lvl w:ilvl="0" w:tplc="2138DA4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1" w15:restartNumberingAfterBreak="0">
    <w:nsid w:val="673C2726"/>
    <w:multiLevelType w:val="hybridMultilevel"/>
    <w:tmpl w:val="EA8A72E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688D23FF"/>
    <w:multiLevelType w:val="hybridMultilevel"/>
    <w:tmpl w:val="A8BA6EE0"/>
    <w:lvl w:ilvl="0" w:tplc="8826ABF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3" w15:restartNumberingAfterBreak="0">
    <w:nsid w:val="688D379E"/>
    <w:multiLevelType w:val="hybridMultilevel"/>
    <w:tmpl w:val="99A4910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6A615C19"/>
    <w:multiLevelType w:val="hybridMultilevel"/>
    <w:tmpl w:val="B87849E4"/>
    <w:lvl w:ilvl="0" w:tplc="005E5F1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5" w15:restartNumberingAfterBreak="0">
    <w:nsid w:val="6BCE167C"/>
    <w:multiLevelType w:val="hybridMultilevel"/>
    <w:tmpl w:val="4BFC8D7C"/>
    <w:lvl w:ilvl="0" w:tplc="AFA284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15:restartNumberingAfterBreak="0">
    <w:nsid w:val="6CE84AA0"/>
    <w:multiLevelType w:val="hybridMultilevel"/>
    <w:tmpl w:val="C23E51C2"/>
    <w:lvl w:ilvl="0" w:tplc="C9B237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7" w15:restartNumberingAfterBreak="0">
    <w:nsid w:val="6E02251C"/>
    <w:multiLevelType w:val="hybridMultilevel"/>
    <w:tmpl w:val="4998990C"/>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8" w15:restartNumberingAfterBreak="0">
    <w:nsid w:val="6E504C1E"/>
    <w:multiLevelType w:val="hybridMultilevel"/>
    <w:tmpl w:val="48F651A2"/>
    <w:lvl w:ilvl="0" w:tplc="2AC05186">
      <w:start w:val="1"/>
      <w:numFmt w:val="upperLetter"/>
      <w:lvlText w:val="%1."/>
      <w:lvlJc w:val="left"/>
      <w:pPr>
        <w:ind w:left="720" w:hanging="360"/>
      </w:pPr>
      <w:rPr>
        <w:rFonts w:ascii="Helvetica" w:eastAsiaTheme="minorHAnsi" w:hAnsi="Helvetica"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7197708B"/>
    <w:multiLevelType w:val="hybridMultilevel"/>
    <w:tmpl w:val="F81260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73B53953"/>
    <w:multiLevelType w:val="hybridMultilevel"/>
    <w:tmpl w:val="E8663BCE"/>
    <w:lvl w:ilvl="0" w:tplc="F500B2C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1" w15:restartNumberingAfterBreak="0">
    <w:nsid w:val="743E3060"/>
    <w:multiLevelType w:val="hybridMultilevel"/>
    <w:tmpl w:val="BB147CB8"/>
    <w:lvl w:ilvl="0" w:tplc="04BE3C5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2" w15:restartNumberingAfterBreak="0">
    <w:nsid w:val="760C0181"/>
    <w:multiLevelType w:val="hybridMultilevel"/>
    <w:tmpl w:val="9C7CA724"/>
    <w:lvl w:ilvl="0" w:tplc="7CBE0E3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3" w15:restartNumberingAfterBreak="0">
    <w:nsid w:val="783009D9"/>
    <w:multiLevelType w:val="hybridMultilevel"/>
    <w:tmpl w:val="864CB4B2"/>
    <w:lvl w:ilvl="0" w:tplc="D1F094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4" w15:restartNumberingAfterBreak="0">
    <w:nsid w:val="7ABE20EF"/>
    <w:multiLevelType w:val="hybridMultilevel"/>
    <w:tmpl w:val="5492EACA"/>
    <w:lvl w:ilvl="0" w:tplc="4356B5E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5" w15:restartNumberingAfterBreak="0">
    <w:nsid w:val="7B135BB2"/>
    <w:multiLevelType w:val="hybridMultilevel"/>
    <w:tmpl w:val="8100539C"/>
    <w:lvl w:ilvl="0" w:tplc="94C4A71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6" w15:restartNumberingAfterBreak="0">
    <w:nsid w:val="7C6F7562"/>
    <w:multiLevelType w:val="hybridMultilevel"/>
    <w:tmpl w:val="4998990C"/>
    <w:lvl w:ilvl="0" w:tplc="7B5CEBF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7" w15:restartNumberingAfterBreak="0">
    <w:nsid w:val="7CBC7B5B"/>
    <w:multiLevelType w:val="hybridMultilevel"/>
    <w:tmpl w:val="9E2EEE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7E096A74"/>
    <w:multiLevelType w:val="hybridMultilevel"/>
    <w:tmpl w:val="3B082C3A"/>
    <w:lvl w:ilvl="0" w:tplc="FFFFFFFF">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930509190">
    <w:abstractNumId w:val="68"/>
  </w:num>
  <w:num w:numId="2" w16cid:durableId="972902312">
    <w:abstractNumId w:val="27"/>
  </w:num>
  <w:num w:numId="3" w16cid:durableId="1682467870">
    <w:abstractNumId w:val="69"/>
  </w:num>
  <w:num w:numId="4" w16cid:durableId="1270163555">
    <w:abstractNumId w:val="29"/>
  </w:num>
  <w:num w:numId="5" w16cid:durableId="996038059">
    <w:abstractNumId w:val="8"/>
  </w:num>
  <w:num w:numId="6" w16cid:durableId="34042575">
    <w:abstractNumId w:val="63"/>
  </w:num>
  <w:num w:numId="7" w16cid:durableId="1078865210">
    <w:abstractNumId w:val="75"/>
  </w:num>
  <w:num w:numId="8" w16cid:durableId="1191988704">
    <w:abstractNumId w:val="26"/>
  </w:num>
  <w:num w:numId="9" w16cid:durableId="1114057557">
    <w:abstractNumId w:val="17"/>
  </w:num>
  <w:num w:numId="10" w16cid:durableId="1331837331">
    <w:abstractNumId w:val="56"/>
  </w:num>
  <w:num w:numId="11" w16cid:durableId="1386414872">
    <w:abstractNumId w:val="52"/>
  </w:num>
  <w:num w:numId="12" w16cid:durableId="1876624041">
    <w:abstractNumId w:val="51"/>
  </w:num>
  <w:num w:numId="13" w16cid:durableId="1668555910">
    <w:abstractNumId w:val="36"/>
  </w:num>
  <w:num w:numId="14" w16cid:durableId="505749558">
    <w:abstractNumId w:val="43"/>
  </w:num>
  <w:num w:numId="15" w16cid:durableId="1065110583">
    <w:abstractNumId w:val="24"/>
  </w:num>
  <w:num w:numId="16" w16cid:durableId="1360400338">
    <w:abstractNumId w:val="45"/>
  </w:num>
  <w:num w:numId="17" w16cid:durableId="1731540865">
    <w:abstractNumId w:val="22"/>
  </w:num>
  <w:num w:numId="18" w16cid:durableId="354426501">
    <w:abstractNumId w:val="60"/>
  </w:num>
  <w:num w:numId="19" w16cid:durableId="564071628">
    <w:abstractNumId w:val="49"/>
  </w:num>
  <w:num w:numId="20" w16cid:durableId="1634141939">
    <w:abstractNumId w:val="11"/>
  </w:num>
  <w:num w:numId="21" w16cid:durableId="574827764">
    <w:abstractNumId w:val="72"/>
  </w:num>
  <w:num w:numId="22" w16cid:durableId="918292825">
    <w:abstractNumId w:val="28"/>
  </w:num>
  <w:num w:numId="23" w16cid:durableId="1309825900">
    <w:abstractNumId w:val="44"/>
  </w:num>
  <w:num w:numId="24" w16cid:durableId="615217498">
    <w:abstractNumId w:val="54"/>
  </w:num>
  <w:num w:numId="25" w16cid:durableId="439686466">
    <w:abstractNumId w:val="18"/>
  </w:num>
  <w:num w:numId="26" w16cid:durableId="596720662">
    <w:abstractNumId w:val="39"/>
  </w:num>
  <w:num w:numId="27" w16cid:durableId="126289068">
    <w:abstractNumId w:val="65"/>
  </w:num>
  <w:num w:numId="28" w16cid:durableId="1372417202">
    <w:abstractNumId w:val="9"/>
  </w:num>
  <w:num w:numId="29" w16cid:durableId="835265493">
    <w:abstractNumId w:val="5"/>
  </w:num>
  <w:num w:numId="30" w16cid:durableId="899944928">
    <w:abstractNumId w:val="15"/>
  </w:num>
  <w:num w:numId="31" w16cid:durableId="1531844167">
    <w:abstractNumId w:val="47"/>
  </w:num>
  <w:num w:numId="32" w16cid:durableId="1378047964">
    <w:abstractNumId w:val="13"/>
  </w:num>
  <w:num w:numId="33" w16cid:durableId="272130293">
    <w:abstractNumId w:val="48"/>
  </w:num>
  <w:num w:numId="34" w16cid:durableId="644892654">
    <w:abstractNumId w:val="58"/>
  </w:num>
  <w:num w:numId="35" w16cid:durableId="393624509">
    <w:abstractNumId w:val="2"/>
  </w:num>
  <w:num w:numId="36" w16cid:durableId="1082411779">
    <w:abstractNumId w:val="73"/>
  </w:num>
  <w:num w:numId="37" w16cid:durableId="942304230">
    <w:abstractNumId w:val="25"/>
  </w:num>
  <w:num w:numId="38" w16cid:durableId="74785804">
    <w:abstractNumId w:val="41"/>
  </w:num>
  <w:num w:numId="39" w16cid:durableId="1735276360">
    <w:abstractNumId w:val="38"/>
  </w:num>
  <w:num w:numId="40" w16cid:durableId="1938325134">
    <w:abstractNumId w:val="12"/>
  </w:num>
  <w:num w:numId="41" w16cid:durableId="519205318">
    <w:abstractNumId w:val="70"/>
  </w:num>
  <w:num w:numId="42" w16cid:durableId="167987127">
    <w:abstractNumId w:val="53"/>
  </w:num>
  <w:num w:numId="43" w16cid:durableId="1126316949">
    <w:abstractNumId w:val="71"/>
  </w:num>
  <w:num w:numId="44" w16cid:durableId="1148861665">
    <w:abstractNumId w:val="77"/>
  </w:num>
  <w:num w:numId="45" w16cid:durableId="871840238">
    <w:abstractNumId w:val="0"/>
  </w:num>
  <w:num w:numId="46" w16cid:durableId="1444810672">
    <w:abstractNumId w:val="21"/>
  </w:num>
  <w:num w:numId="47" w16cid:durableId="1492062423">
    <w:abstractNumId w:val="62"/>
  </w:num>
  <w:num w:numId="48" w16cid:durableId="1924028146">
    <w:abstractNumId w:val="46"/>
  </w:num>
  <w:num w:numId="49" w16cid:durableId="1309550993">
    <w:abstractNumId w:val="55"/>
  </w:num>
  <w:num w:numId="50" w16cid:durableId="536435046">
    <w:abstractNumId w:val="1"/>
  </w:num>
  <w:num w:numId="51" w16cid:durableId="1586376369">
    <w:abstractNumId w:val="37"/>
  </w:num>
  <w:num w:numId="52" w16cid:durableId="456292157">
    <w:abstractNumId w:val="33"/>
  </w:num>
  <w:num w:numId="53" w16cid:durableId="127818218">
    <w:abstractNumId w:val="16"/>
  </w:num>
  <w:num w:numId="54" w16cid:durableId="817192292">
    <w:abstractNumId w:val="78"/>
  </w:num>
  <w:num w:numId="55" w16cid:durableId="1348630221">
    <w:abstractNumId w:val="10"/>
  </w:num>
  <w:num w:numId="56" w16cid:durableId="1026908990">
    <w:abstractNumId w:val="30"/>
  </w:num>
  <w:num w:numId="57" w16cid:durableId="1136726572">
    <w:abstractNumId w:val="34"/>
  </w:num>
  <w:num w:numId="58" w16cid:durableId="487405915">
    <w:abstractNumId w:val="74"/>
  </w:num>
  <w:num w:numId="59" w16cid:durableId="691079628">
    <w:abstractNumId w:val="57"/>
  </w:num>
  <w:num w:numId="60" w16cid:durableId="1898513093">
    <w:abstractNumId w:val="66"/>
  </w:num>
  <w:num w:numId="61" w16cid:durableId="12342506">
    <w:abstractNumId w:val="3"/>
  </w:num>
  <w:num w:numId="62" w16cid:durableId="671953996">
    <w:abstractNumId w:val="32"/>
  </w:num>
  <w:num w:numId="63" w16cid:durableId="402989532">
    <w:abstractNumId w:val="6"/>
  </w:num>
  <w:num w:numId="64" w16cid:durableId="1032069409">
    <w:abstractNumId w:val="40"/>
  </w:num>
  <w:num w:numId="65" w16cid:durableId="1684631059">
    <w:abstractNumId w:val="59"/>
  </w:num>
  <w:num w:numId="66" w16cid:durableId="861821346">
    <w:abstractNumId w:val="42"/>
  </w:num>
  <w:num w:numId="67" w16cid:durableId="665670692">
    <w:abstractNumId w:val="7"/>
  </w:num>
  <w:num w:numId="68" w16cid:durableId="1050105991">
    <w:abstractNumId w:val="64"/>
  </w:num>
  <w:num w:numId="69" w16cid:durableId="1569222088">
    <w:abstractNumId w:val="31"/>
  </w:num>
  <w:num w:numId="70" w16cid:durableId="1945337433">
    <w:abstractNumId w:val="61"/>
  </w:num>
  <w:num w:numId="71" w16cid:durableId="1829401283">
    <w:abstractNumId w:val="4"/>
  </w:num>
  <w:num w:numId="72" w16cid:durableId="1076128029">
    <w:abstractNumId w:val="76"/>
  </w:num>
  <w:num w:numId="73" w16cid:durableId="1364407731">
    <w:abstractNumId w:val="67"/>
  </w:num>
  <w:num w:numId="74" w16cid:durableId="200753427">
    <w:abstractNumId w:val="14"/>
  </w:num>
  <w:num w:numId="75" w16cid:durableId="2089686117">
    <w:abstractNumId w:val="23"/>
  </w:num>
  <w:num w:numId="76" w16cid:durableId="1583099407">
    <w:abstractNumId w:val="50"/>
  </w:num>
  <w:num w:numId="77" w16cid:durableId="634725480">
    <w:abstractNumId w:val="19"/>
  </w:num>
  <w:num w:numId="78" w16cid:durableId="2057389912">
    <w:abstractNumId w:val="20"/>
  </w:num>
  <w:num w:numId="79" w16cid:durableId="935673177">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85D"/>
    <w:rsid w:val="00082650"/>
    <w:rsid w:val="000C2A5A"/>
    <w:rsid w:val="000F54CE"/>
    <w:rsid w:val="00132A65"/>
    <w:rsid w:val="00172200"/>
    <w:rsid w:val="002202BD"/>
    <w:rsid w:val="002403A4"/>
    <w:rsid w:val="00241F7B"/>
    <w:rsid w:val="00282FC1"/>
    <w:rsid w:val="00283914"/>
    <w:rsid w:val="0032328D"/>
    <w:rsid w:val="00323CB5"/>
    <w:rsid w:val="00356C4A"/>
    <w:rsid w:val="003E31BB"/>
    <w:rsid w:val="00432195"/>
    <w:rsid w:val="00450A17"/>
    <w:rsid w:val="00451D91"/>
    <w:rsid w:val="00473016"/>
    <w:rsid w:val="00475889"/>
    <w:rsid w:val="004B4516"/>
    <w:rsid w:val="004C3A10"/>
    <w:rsid w:val="004D200F"/>
    <w:rsid w:val="004E7954"/>
    <w:rsid w:val="004F5F31"/>
    <w:rsid w:val="00500040"/>
    <w:rsid w:val="00607732"/>
    <w:rsid w:val="00632402"/>
    <w:rsid w:val="006D0190"/>
    <w:rsid w:val="00716A69"/>
    <w:rsid w:val="00730B41"/>
    <w:rsid w:val="007331A9"/>
    <w:rsid w:val="007B562E"/>
    <w:rsid w:val="008C20A2"/>
    <w:rsid w:val="008C4BB7"/>
    <w:rsid w:val="008F221D"/>
    <w:rsid w:val="009120CF"/>
    <w:rsid w:val="0091482B"/>
    <w:rsid w:val="009665BF"/>
    <w:rsid w:val="00A45C40"/>
    <w:rsid w:val="00B22BDB"/>
    <w:rsid w:val="00B61CFF"/>
    <w:rsid w:val="00C349E5"/>
    <w:rsid w:val="00CC1AFB"/>
    <w:rsid w:val="00D1085D"/>
    <w:rsid w:val="00D75722"/>
    <w:rsid w:val="00DC1D09"/>
    <w:rsid w:val="00E362F6"/>
    <w:rsid w:val="00E8168B"/>
    <w:rsid w:val="00F005BF"/>
    <w:rsid w:val="00F97AE7"/>
    <w:rsid w:val="00FF24A4"/>
    <w:rsid w:val="00FF3D0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50646"/>
  <w15:chartTrackingRefBased/>
  <w15:docId w15:val="{5992B6AB-F289-DE47-BBF2-11DC65389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1085D"/>
  </w:style>
  <w:style w:type="character" w:customStyle="1" w:styleId="apple-tab-span">
    <w:name w:val="apple-tab-span"/>
    <w:basedOn w:val="DefaultParagraphFont"/>
    <w:rsid w:val="00D1085D"/>
  </w:style>
  <w:style w:type="paragraph" w:styleId="ListParagraph">
    <w:name w:val="List Paragraph"/>
    <w:basedOn w:val="Normal"/>
    <w:uiPriority w:val="34"/>
    <w:qFormat/>
    <w:rsid w:val="00356C4A"/>
    <w:pPr>
      <w:ind w:left="720"/>
      <w:contextualSpacing/>
    </w:pPr>
  </w:style>
  <w:style w:type="character" w:styleId="CommentReference">
    <w:name w:val="annotation reference"/>
    <w:basedOn w:val="DefaultParagraphFont"/>
    <w:uiPriority w:val="99"/>
    <w:semiHidden/>
    <w:unhideWhenUsed/>
    <w:rsid w:val="00DC1D09"/>
    <w:rPr>
      <w:sz w:val="16"/>
      <w:szCs w:val="16"/>
    </w:rPr>
  </w:style>
  <w:style w:type="paragraph" w:styleId="CommentText">
    <w:name w:val="annotation text"/>
    <w:basedOn w:val="Normal"/>
    <w:link w:val="CommentTextChar"/>
    <w:uiPriority w:val="99"/>
    <w:semiHidden/>
    <w:unhideWhenUsed/>
    <w:rsid w:val="00DC1D09"/>
    <w:rPr>
      <w:sz w:val="20"/>
      <w:szCs w:val="20"/>
    </w:rPr>
  </w:style>
  <w:style w:type="character" w:customStyle="1" w:styleId="CommentTextChar">
    <w:name w:val="Comment Text Char"/>
    <w:basedOn w:val="DefaultParagraphFont"/>
    <w:link w:val="CommentText"/>
    <w:uiPriority w:val="99"/>
    <w:semiHidden/>
    <w:rsid w:val="00DC1D09"/>
    <w:rPr>
      <w:sz w:val="20"/>
      <w:szCs w:val="20"/>
    </w:rPr>
  </w:style>
  <w:style w:type="paragraph" w:styleId="CommentSubject">
    <w:name w:val="annotation subject"/>
    <w:basedOn w:val="CommentText"/>
    <w:next w:val="CommentText"/>
    <w:link w:val="CommentSubjectChar"/>
    <w:uiPriority w:val="99"/>
    <w:semiHidden/>
    <w:unhideWhenUsed/>
    <w:rsid w:val="00DC1D09"/>
    <w:rPr>
      <w:b/>
      <w:bCs/>
    </w:rPr>
  </w:style>
  <w:style w:type="character" w:customStyle="1" w:styleId="CommentSubjectChar">
    <w:name w:val="Comment Subject Char"/>
    <w:basedOn w:val="CommentTextChar"/>
    <w:link w:val="CommentSubject"/>
    <w:uiPriority w:val="99"/>
    <w:semiHidden/>
    <w:rsid w:val="00DC1D09"/>
    <w:rPr>
      <w:b/>
      <w:bCs/>
      <w:sz w:val="20"/>
      <w:szCs w:val="20"/>
    </w:rPr>
  </w:style>
  <w:style w:type="paragraph" w:styleId="Footer">
    <w:name w:val="footer"/>
    <w:basedOn w:val="Normal"/>
    <w:link w:val="FooterChar"/>
    <w:uiPriority w:val="99"/>
    <w:unhideWhenUsed/>
    <w:rsid w:val="00632402"/>
    <w:pPr>
      <w:tabs>
        <w:tab w:val="center" w:pos="4680"/>
        <w:tab w:val="right" w:pos="9360"/>
      </w:tabs>
    </w:pPr>
  </w:style>
  <w:style w:type="character" w:customStyle="1" w:styleId="FooterChar">
    <w:name w:val="Footer Char"/>
    <w:basedOn w:val="DefaultParagraphFont"/>
    <w:link w:val="Footer"/>
    <w:uiPriority w:val="99"/>
    <w:rsid w:val="00632402"/>
  </w:style>
  <w:style w:type="character" w:styleId="PageNumber">
    <w:name w:val="page number"/>
    <w:basedOn w:val="DefaultParagraphFont"/>
    <w:uiPriority w:val="99"/>
    <w:semiHidden/>
    <w:unhideWhenUsed/>
    <w:rsid w:val="00632402"/>
  </w:style>
  <w:style w:type="character" w:styleId="Strong">
    <w:name w:val="Strong"/>
    <w:basedOn w:val="DefaultParagraphFont"/>
    <w:uiPriority w:val="22"/>
    <w:qFormat/>
    <w:rsid w:val="00D75722"/>
    <w:rPr>
      <w:b/>
      <w:bCs/>
    </w:rPr>
  </w:style>
  <w:style w:type="paragraph" w:styleId="Bibliography">
    <w:name w:val="Bibliography"/>
    <w:basedOn w:val="Normal"/>
    <w:next w:val="Normal"/>
    <w:uiPriority w:val="37"/>
    <w:unhideWhenUsed/>
    <w:rsid w:val="00475889"/>
    <w:pPr>
      <w:spacing w:line="480" w:lineRule="auto"/>
      <w:ind w:left="720" w:hanging="720"/>
    </w:pPr>
  </w:style>
  <w:style w:type="character" w:styleId="Hyperlink">
    <w:name w:val="Hyperlink"/>
    <w:basedOn w:val="DefaultParagraphFont"/>
    <w:uiPriority w:val="99"/>
    <w:unhideWhenUsed/>
    <w:rsid w:val="008F221D"/>
    <w:rPr>
      <w:color w:val="0563C1" w:themeColor="hyperlink"/>
      <w:u w:val="single"/>
    </w:rPr>
  </w:style>
  <w:style w:type="character" w:styleId="UnresolvedMention">
    <w:name w:val="Unresolved Mention"/>
    <w:basedOn w:val="DefaultParagraphFont"/>
    <w:uiPriority w:val="99"/>
    <w:semiHidden/>
    <w:unhideWhenUsed/>
    <w:rsid w:val="008F22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294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an.r-project.org/web/packages/openCR/vignettes/openCR-vignette.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CFEA24-2211-0D48-BF63-50B4CB6549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TotalTime>
  <Pages>4</Pages>
  <Words>3090</Words>
  <Characters>17617</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Clayton Lamb</dc:creator>
  <cp:keywords/>
  <dc:description/>
  <cp:lastModifiedBy>Clayton Lamb</cp:lastModifiedBy>
  <cp:revision>16</cp:revision>
  <dcterms:created xsi:type="dcterms:W3CDTF">2023-05-08T15:45:00Z</dcterms:created>
  <dcterms:modified xsi:type="dcterms:W3CDTF">2023-07-19T21:55:00Z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id="eAfvwKfT"/&gt;&lt;style id="http://www.zotero.org/styles/conservation-science-and-practice" hasBibliography="1" bibliographyStyleHasBeenSet="1"/&gt;&lt;prefs&gt;&lt;pref name="fieldType" value="Field"/&gt;&lt;/prefs&gt;&lt;/d</vt:lpwstr>
  </property>
  <property fmtid="{D5CDD505-2E9C-101B-9397-08002B2CF9AE}" pid="3" name="ZOTERO_PREF_2">
    <vt:lpwstr>ata&gt;</vt:lpwstr>
  </property>
</Properties>
</file>