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D01" w:rsidRPr="00995D01" w:rsidRDefault="00995D01" w:rsidP="00995D01">
      <w:pPr>
        <w:rPr>
          <w:rFonts w:ascii="Helvetica" w:eastAsia="Times New Roman" w:hAnsi="Helvetica" w:cs="Times New Roman"/>
          <w:sz w:val="18"/>
          <w:szCs w:val="18"/>
        </w:rPr>
      </w:pPr>
      <w:r w:rsidRPr="00995D01">
        <w:rPr>
          <w:rFonts w:ascii="Helvetica" w:eastAsia="Times New Roman" w:hAnsi="Helvetica" w:cs="Times New Roman"/>
          <w:sz w:val="18"/>
          <w:szCs w:val="18"/>
        </w:rPr>
        <w:t>Please also make these changes:</w:t>
      </w:r>
      <w:r w:rsidRPr="00995D01">
        <w:rPr>
          <w:rFonts w:ascii="Helvetica" w:eastAsia="Times New Roman" w:hAnsi="Helvetica" w:cs="Times New Roman"/>
          <w:sz w:val="18"/>
          <w:szCs w:val="18"/>
        </w:rPr>
        <w:br/>
      </w:r>
      <w:r w:rsidRPr="00995D01">
        <w:rPr>
          <w:rFonts w:ascii="Helvetica" w:eastAsia="Times New Roman" w:hAnsi="Helvetica" w:cs="Times New Roman"/>
          <w:sz w:val="18"/>
          <w:szCs w:val="18"/>
        </w:rPr>
        <w:br/>
        <w:t>1. TOC image: Fix the size per journal guidelines (2 in x 2 in) </w:t>
      </w:r>
      <w:r w:rsidR="00783BFD">
        <w:rPr>
          <w:rFonts w:ascii="Helvetica" w:eastAsia="Times New Roman" w:hAnsi="Helvetica" w:cs="Times New Roman"/>
          <w:color w:val="FF0000"/>
          <w:sz w:val="18"/>
          <w:szCs w:val="18"/>
        </w:rPr>
        <w:t>corrected</w:t>
      </w:r>
      <w:r w:rsidRPr="00995D01">
        <w:rPr>
          <w:rFonts w:ascii="Helvetica" w:eastAsia="Times New Roman" w:hAnsi="Helvetica" w:cs="Times New Roman"/>
          <w:sz w:val="18"/>
          <w:szCs w:val="18"/>
        </w:rPr>
        <w:br/>
      </w:r>
      <w:r w:rsidRPr="00995D01">
        <w:rPr>
          <w:rFonts w:ascii="Helvetica" w:eastAsia="Times New Roman" w:hAnsi="Helvetica" w:cs="Times New Roman"/>
          <w:sz w:val="18"/>
          <w:szCs w:val="18"/>
        </w:rPr>
        <w:br/>
        <w:t>2. References: In both the main file and the supporting information, fix the style of all references to use JPCL formatting (check all references carefully)</w:t>
      </w:r>
      <w:r w:rsidR="004B59E9">
        <w:rPr>
          <w:rFonts w:ascii="Helvetica" w:eastAsia="Times New Roman" w:hAnsi="Helvetica" w:cs="Times New Roman"/>
          <w:sz w:val="18"/>
          <w:szCs w:val="18"/>
        </w:rPr>
        <w:t xml:space="preserve"> </w:t>
      </w:r>
      <w:r w:rsidR="004B59E9">
        <w:rPr>
          <w:rFonts w:ascii="Helvetica" w:eastAsia="Times New Roman" w:hAnsi="Helvetica" w:cs="Times New Roman"/>
          <w:color w:val="FF0000"/>
          <w:sz w:val="18"/>
          <w:szCs w:val="18"/>
        </w:rPr>
        <w:t>corrected</w:t>
      </w:r>
      <w:r w:rsidRPr="00995D01">
        <w:rPr>
          <w:rFonts w:ascii="Helvetica" w:eastAsia="Times New Roman" w:hAnsi="Helvetica" w:cs="Times New Roman"/>
          <w:sz w:val="18"/>
          <w:szCs w:val="18"/>
        </w:rPr>
        <w:br/>
      </w:r>
      <w:r w:rsidRPr="00995D01">
        <w:rPr>
          <w:rFonts w:ascii="Helvetica" w:eastAsia="Times New Roman" w:hAnsi="Helvetica" w:cs="Times New Roman"/>
          <w:sz w:val="18"/>
          <w:szCs w:val="18"/>
        </w:rPr>
        <w:br/>
        <w:t>3. Abstract: Shorten the abstract to 150 words or fewer</w:t>
      </w:r>
      <w:r w:rsidR="00783BFD">
        <w:rPr>
          <w:rFonts w:ascii="Helvetica" w:eastAsia="Times New Roman" w:hAnsi="Helvetica" w:cs="Times New Roman"/>
          <w:sz w:val="18"/>
          <w:szCs w:val="18"/>
        </w:rPr>
        <w:t xml:space="preserve"> </w:t>
      </w:r>
      <w:r w:rsidR="00783BFD">
        <w:rPr>
          <w:rFonts w:ascii="Helvetica" w:eastAsia="Times New Roman" w:hAnsi="Helvetica" w:cs="Times New Roman"/>
          <w:color w:val="FF0000"/>
          <w:sz w:val="18"/>
          <w:szCs w:val="18"/>
        </w:rPr>
        <w:t>new word count 145</w:t>
      </w:r>
      <w:r w:rsidRPr="00995D01">
        <w:rPr>
          <w:rFonts w:ascii="Helvetica" w:eastAsia="Times New Roman" w:hAnsi="Helvetica" w:cs="Times New Roman"/>
          <w:sz w:val="18"/>
          <w:szCs w:val="18"/>
        </w:rPr>
        <w:br/>
      </w:r>
      <w:r w:rsidRPr="00995D01">
        <w:rPr>
          <w:rFonts w:ascii="Helvetica" w:eastAsia="Times New Roman" w:hAnsi="Helvetica" w:cs="Times New Roman"/>
          <w:sz w:val="18"/>
          <w:szCs w:val="18"/>
        </w:rPr>
        <w:br/>
        <w:t>4. Supporting information: Title in SI must match title in main file</w:t>
      </w:r>
      <w:r w:rsidR="00783BFD">
        <w:rPr>
          <w:rFonts w:ascii="Helvetica" w:eastAsia="Times New Roman" w:hAnsi="Helvetica" w:cs="Times New Roman"/>
          <w:sz w:val="18"/>
          <w:szCs w:val="18"/>
        </w:rPr>
        <w:t xml:space="preserve"> </w:t>
      </w:r>
      <w:r w:rsidR="00783BFD" w:rsidRPr="00783BFD">
        <w:rPr>
          <w:rFonts w:ascii="Helvetica" w:eastAsia="Times New Roman" w:hAnsi="Helvetica" w:cs="Times New Roman"/>
          <w:color w:val="FF0000"/>
          <w:sz w:val="18"/>
          <w:szCs w:val="18"/>
        </w:rPr>
        <w:t>corrected</w:t>
      </w:r>
      <w:r w:rsidRPr="00995D01">
        <w:rPr>
          <w:rFonts w:ascii="Helvetica" w:eastAsia="Times New Roman" w:hAnsi="Helvetica" w:cs="Times New Roman"/>
          <w:color w:val="FF0000"/>
          <w:sz w:val="18"/>
          <w:szCs w:val="18"/>
        </w:rPr>
        <w:br/>
      </w:r>
      <w:r w:rsidRPr="00995D01">
        <w:rPr>
          <w:rFonts w:ascii="Helvetica" w:eastAsia="Times New Roman" w:hAnsi="Helvetica" w:cs="Times New Roman"/>
          <w:sz w:val="18"/>
          <w:szCs w:val="18"/>
        </w:rPr>
        <w:br/>
        <w:t>We ask that you submit your revision within two weeks. Here at JPC Letters we try to expedite the processing of your manuscript. Your prompt response is greatly appreciated.</w:t>
      </w:r>
    </w:p>
    <w:p w:rsidR="00995D01" w:rsidRDefault="00995D01" w:rsidP="00E669EC">
      <w:pPr>
        <w:rPr>
          <w:rFonts w:ascii="Helvetica" w:eastAsia="Times New Roman" w:hAnsi="Helvetica" w:cs="Times New Roman"/>
          <w:sz w:val="18"/>
          <w:szCs w:val="18"/>
        </w:rPr>
      </w:pPr>
    </w:p>
    <w:p w:rsidR="00995D01" w:rsidRDefault="00995D01" w:rsidP="00E669EC">
      <w:pPr>
        <w:rPr>
          <w:rFonts w:ascii="Helvetica" w:eastAsia="Times New Roman" w:hAnsi="Helvetica" w:cs="Times New Roman"/>
          <w:sz w:val="18"/>
          <w:szCs w:val="18"/>
        </w:rPr>
      </w:pPr>
    </w:p>
    <w:p w:rsidR="00995D01" w:rsidRDefault="00995D01" w:rsidP="00E669EC">
      <w:pPr>
        <w:rPr>
          <w:rFonts w:ascii="Helvetica" w:eastAsia="Times New Roman" w:hAnsi="Helvetica" w:cs="Times New Roman"/>
          <w:sz w:val="18"/>
          <w:szCs w:val="18"/>
        </w:rPr>
      </w:pPr>
    </w:p>
    <w:p w:rsidR="00995D01" w:rsidRDefault="00995D01" w:rsidP="00E669EC">
      <w:pPr>
        <w:rPr>
          <w:rFonts w:ascii="Helvetica" w:eastAsia="Times New Roman" w:hAnsi="Helvetica" w:cs="Times New Roman"/>
          <w:sz w:val="18"/>
          <w:szCs w:val="18"/>
        </w:rPr>
      </w:pPr>
    </w:p>
    <w:p w:rsidR="00E669EC" w:rsidRPr="00E669EC" w:rsidRDefault="00E669EC" w:rsidP="00E669EC">
      <w:pPr>
        <w:rPr>
          <w:rFonts w:ascii="Helvetica" w:eastAsia="Times New Roman" w:hAnsi="Helvetica" w:cs="Times New Roman"/>
          <w:sz w:val="18"/>
          <w:szCs w:val="18"/>
        </w:rPr>
      </w:pPr>
      <w:r w:rsidRPr="00E669EC">
        <w:rPr>
          <w:rFonts w:ascii="Helvetica" w:eastAsia="Times New Roman" w:hAnsi="Helvetica" w:cs="Times New Roman"/>
          <w:sz w:val="18"/>
          <w:szCs w:val="18"/>
        </w:rPr>
        <w:t>Reviewer(s)' Comments to Author:</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Reviewer: 1</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Recommendation: This paper is publishable subject to minor revisions noted.  Further review is not needed.</w:t>
      </w:r>
      <w:r w:rsidRPr="00E669EC">
        <w:rPr>
          <w:rFonts w:ascii="Helvetica" w:eastAsia="Times New Roman" w:hAnsi="Helvetica" w:cs="Times New Roman"/>
          <w:sz w:val="18"/>
          <w:szCs w:val="18"/>
        </w:rPr>
        <w:br/>
      </w:r>
      <w:bookmarkStart w:id="0" w:name="_GoBack"/>
      <w:bookmarkEnd w:id="0"/>
      <w:r w:rsidRPr="00E669EC">
        <w:rPr>
          <w:rFonts w:ascii="Helvetica" w:eastAsia="Times New Roman" w:hAnsi="Helvetica" w:cs="Times New Roman"/>
          <w:sz w:val="18"/>
          <w:szCs w:val="18"/>
        </w:rPr>
        <w:br/>
        <w:t>Comments:</w:t>
      </w:r>
      <w:r w:rsidRPr="00E669EC">
        <w:rPr>
          <w:rFonts w:ascii="Helvetica" w:eastAsia="Times New Roman" w:hAnsi="Helvetica" w:cs="Times New Roman"/>
          <w:sz w:val="18"/>
          <w:szCs w:val="18"/>
        </w:rPr>
        <w:br/>
        <w:t>This is a well-conceived study that presents a case study used to validate an approach (called SEEKR) for MD-based predictions of binding kinetics of small ligands. The dataset is restricted, but coherent. The manuscript is well written and technically sound. The proposed approach is able to predict the correct trend of the kinetics observables (</w:t>
      </w:r>
      <w:proofErr w:type="spellStart"/>
      <w:r w:rsidRPr="00E669EC">
        <w:rPr>
          <w:rFonts w:ascii="Helvetica" w:eastAsia="Times New Roman" w:hAnsi="Helvetica" w:cs="Times New Roman"/>
          <w:sz w:val="18"/>
          <w:szCs w:val="18"/>
        </w:rPr>
        <w:t>kon</w:t>
      </w:r>
      <w:proofErr w:type="spellEnd"/>
      <w:r w:rsidRPr="00E669EC">
        <w:rPr>
          <w:rFonts w:ascii="Helvetica" w:eastAsia="Times New Roman" w:hAnsi="Helvetica" w:cs="Times New Roman"/>
          <w:sz w:val="18"/>
          <w:szCs w:val="18"/>
        </w:rPr>
        <w:t xml:space="preserve">, </w:t>
      </w:r>
      <w:proofErr w:type="spellStart"/>
      <w:r w:rsidRPr="00E669EC">
        <w:rPr>
          <w:rFonts w:ascii="Helvetica" w:eastAsia="Times New Roman" w:hAnsi="Helvetica" w:cs="Times New Roman"/>
          <w:sz w:val="18"/>
          <w:szCs w:val="18"/>
        </w:rPr>
        <w:t>koff</w:t>
      </w:r>
      <w:proofErr w:type="spellEnd"/>
      <w:r w:rsidRPr="00E669EC">
        <w:rPr>
          <w:rFonts w:ascii="Helvetica" w:eastAsia="Times New Roman" w:hAnsi="Helvetica" w:cs="Times New Roman"/>
          <w:sz w:val="18"/>
          <w:szCs w:val="18"/>
        </w:rPr>
        <w:t>) while also being able to return thermodynamic values for ligand binding. And, all this is obtained with a considerable acceleration compared to plain MD. </w:t>
      </w:r>
      <w:r w:rsidRPr="00E669EC">
        <w:rPr>
          <w:rFonts w:ascii="Helvetica" w:eastAsia="Times New Roman" w:hAnsi="Helvetica" w:cs="Times New Roman"/>
          <w:sz w:val="18"/>
          <w:szCs w:val="18"/>
        </w:rPr>
        <w:br/>
        <w:t xml:space="preserve">While I am not an expert in </w:t>
      </w:r>
      <w:proofErr w:type="spellStart"/>
      <w:r w:rsidRPr="00E669EC">
        <w:rPr>
          <w:rFonts w:ascii="Helvetica" w:eastAsia="Times New Roman" w:hAnsi="Helvetica" w:cs="Times New Roman"/>
          <w:sz w:val="18"/>
          <w:szCs w:val="18"/>
        </w:rPr>
        <w:t>milestoning</w:t>
      </w:r>
      <w:proofErr w:type="spellEnd"/>
      <w:r w:rsidRPr="00E669EC">
        <w:rPr>
          <w:rFonts w:ascii="Helvetica" w:eastAsia="Times New Roman" w:hAnsi="Helvetica" w:cs="Times New Roman"/>
          <w:sz w:val="18"/>
          <w:szCs w:val="18"/>
        </w:rPr>
        <w:t xml:space="preserve">, I appreciate the exploitation of advanced MD methods for enhanced sampling to design novel approaches to predict binding kinetics, which is a timely relevant problem for drug optimization (De Vivo et al, J Med </w:t>
      </w:r>
      <w:proofErr w:type="spellStart"/>
      <w:r w:rsidRPr="00E669EC">
        <w:rPr>
          <w:rFonts w:ascii="Helvetica" w:eastAsia="Times New Roman" w:hAnsi="Helvetica" w:cs="Times New Roman"/>
          <w:sz w:val="18"/>
          <w:szCs w:val="18"/>
        </w:rPr>
        <w:t>Chem</w:t>
      </w:r>
      <w:proofErr w:type="spellEnd"/>
      <w:r w:rsidRPr="00E669EC">
        <w:rPr>
          <w:rFonts w:ascii="Helvetica" w:eastAsia="Times New Roman" w:hAnsi="Helvetica" w:cs="Times New Roman"/>
          <w:sz w:val="18"/>
          <w:szCs w:val="18"/>
        </w:rPr>
        <w:t xml:space="preserve"> 2016, Perspective). I have no major concerns. The manuscript reports a nice piece of work and will contribute to the discussion on the prediction of binding kinetics. Of course, the ultimate validation will be the prospective application of SEEKR to predict kinetics of ligands, but I assume the authors are already working in this direction.</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One minor: In general, in general – is repeated, on page 10</w:t>
      </w:r>
      <w:r w:rsidR="009D3707">
        <w:rPr>
          <w:rFonts w:ascii="Helvetica" w:eastAsia="Times New Roman" w:hAnsi="Helvetica" w:cs="Times New Roman"/>
          <w:sz w:val="18"/>
          <w:szCs w:val="18"/>
        </w:rPr>
        <w:t>—</w:t>
      </w:r>
      <w:r w:rsidR="009D3707">
        <w:rPr>
          <w:rFonts w:ascii="Helvetica" w:eastAsia="Times New Roman" w:hAnsi="Helvetica" w:cs="Times New Roman"/>
          <w:color w:val="FF0000"/>
          <w:sz w:val="18"/>
          <w:szCs w:val="18"/>
        </w:rPr>
        <w:t>removed second instance</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Additional Questions:</w:t>
      </w:r>
      <w:r w:rsidRPr="00E669EC">
        <w:rPr>
          <w:rFonts w:ascii="Helvetica" w:eastAsia="Times New Roman" w:hAnsi="Helvetica" w:cs="Times New Roman"/>
          <w:sz w:val="18"/>
          <w:szCs w:val="18"/>
        </w:rPr>
        <w:br/>
        <w:t>Urgency: Top 10%</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Significance: Top 10%</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Novelty: High</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Scholarly Presentation: High</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Is the paper likely to interest a substantial number of physical chemists, not just specialists working in the authors' area of research?: Yes</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Reviewer: 2</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Recommendation: This paper is publishable subject to minor revisions noted.  Further review is not needed.</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Comments:</w:t>
      </w:r>
      <w:r w:rsidRPr="00E669EC">
        <w:rPr>
          <w:rFonts w:ascii="Helvetica" w:eastAsia="Times New Roman" w:hAnsi="Helvetica" w:cs="Times New Roman"/>
          <w:sz w:val="18"/>
          <w:szCs w:val="18"/>
        </w:rPr>
        <w:br/>
        <w:t xml:space="preserve">The manuscript titled “Quantitative Ranking of Ligand Binding Kinetics with a Multiscale </w:t>
      </w:r>
      <w:proofErr w:type="spellStart"/>
      <w:r w:rsidRPr="00E669EC">
        <w:rPr>
          <w:rFonts w:ascii="Helvetica" w:eastAsia="Times New Roman" w:hAnsi="Helvetica" w:cs="Times New Roman"/>
          <w:sz w:val="18"/>
          <w:szCs w:val="18"/>
        </w:rPr>
        <w:t>Milestoning</w:t>
      </w:r>
      <w:proofErr w:type="spellEnd"/>
      <w:r w:rsidRPr="00E669EC">
        <w:rPr>
          <w:rFonts w:ascii="Helvetica" w:eastAsia="Times New Roman" w:hAnsi="Helvetica" w:cs="Times New Roman"/>
          <w:sz w:val="18"/>
          <w:szCs w:val="18"/>
        </w:rPr>
        <w:t xml:space="preserve"> Simulation Approach” describes the application of SEEKR method in ranking a series of 7 small cyclodextrin ligands by their </w:t>
      </w:r>
      <w:r w:rsidRPr="00E669EC">
        <w:rPr>
          <w:rFonts w:ascii="Helvetica" w:eastAsia="Times New Roman" w:hAnsi="Helvetica" w:cs="Times New Roman"/>
          <w:sz w:val="18"/>
          <w:szCs w:val="18"/>
        </w:rPr>
        <w:lastRenderedPageBreak/>
        <w:t xml:space="preserve">kinetic and thermodynamic binding parameters. Although, the SEEKR method, which combines Brownian dynamics and Molecular dynamics simulations using </w:t>
      </w:r>
      <w:proofErr w:type="spellStart"/>
      <w:r w:rsidRPr="00E669EC">
        <w:rPr>
          <w:rFonts w:ascii="Helvetica" w:eastAsia="Times New Roman" w:hAnsi="Helvetica" w:cs="Times New Roman"/>
          <w:sz w:val="18"/>
          <w:szCs w:val="18"/>
        </w:rPr>
        <w:t>Milestoning</w:t>
      </w:r>
      <w:proofErr w:type="spellEnd"/>
      <w:r w:rsidRPr="00E669EC">
        <w:rPr>
          <w:rFonts w:ascii="Helvetica" w:eastAsia="Times New Roman" w:hAnsi="Helvetica" w:cs="Times New Roman"/>
          <w:sz w:val="18"/>
          <w:szCs w:val="18"/>
        </w:rPr>
        <w:t xml:space="preserve"> theory, has been described previously, the current work demonstrates its effectiveness in ranking </w:t>
      </w:r>
      <w:proofErr w:type="spellStart"/>
      <w:r w:rsidRPr="00E669EC">
        <w:rPr>
          <w:rFonts w:ascii="Helvetica" w:eastAsia="Times New Roman" w:hAnsi="Helvetica" w:cs="Times New Roman"/>
          <w:sz w:val="18"/>
          <w:szCs w:val="18"/>
        </w:rPr>
        <w:t>koff</w:t>
      </w:r>
      <w:proofErr w:type="spellEnd"/>
      <w:r w:rsidRPr="00E669EC">
        <w:rPr>
          <w:rFonts w:ascii="Helvetica" w:eastAsia="Times New Roman" w:hAnsi="Helvetica" w:cs="Times New Roman"/>
          <w:sz w:val="18"/>
          <w:szCs w:val="18"/>
        </w:rPr>
        <w:t xml:space="preserve"> and </w:t>
      </w:r>
      <w:proofErr w:type="spellStart"/>
      <w:r w:rsidRPr="00E669EC">
        <w:rPr>
          <w:rFonts w:ascii="Helvetica" w:eastAsia="Times New Roman" w:hAnsi="Helvetica" w:cs="Times New Roman"/>
          <w:sz w:val="18"/>
          <w:szCs w:val="18"/>
        </w:rPr>
        <w:t>DeltaG</w:t>
      </w:r>
      <w:proofErr w:type="spellEnd"/>
      <w:r w:rsidRPr="00E669EC">
        <w:rPr>
          <w:rFonts w:ascii="Helvetica" w:eastAsia="Times New Roman" w:hAnsi="Helvetica" w:cs="Times New Roman"/>
          <w:sz w:val="18"/>
          <w:szCs w:val="18"/>
        </w:rPr>
        <w:t xml:space="preserve"> of  the small molecules with reduced computational cost compared to brute force MD.  The </w:t>
      </w:r>
      <w:proofErr w:type="spellStart"/>
      <w:r w:rsidRPr="00E669EC">
        <w:rPr>
          <w:rFonts w:ascii="Helvetica" w:eastAsia="Times New Roman" w:hAnsi="Helvetica" w:cs="Times New Roman"/>
          <w:sz w:val="18"/>
          <w:szCs w:val="18"/>
        </w:rPr>
        <w:t>kon</w:t>
      </w:r>
      <w:proofErr w:type="spellEnd"/>
      <w:r w:rsidRPr="00E669EC">
        <w:rPr>
          <w:rFonts w:ascii="Helvetica" w:eastAsia="Times New Roman" w:hAnsi="Helvetica" w:cs="Times New Roman"/>
          <w:sz w:val="18"/>
          <w:szCs w:val="18"/>
        </w:rPr>
        <w:t xml:space="preserve"> values of the system show modest variation and neither their absolute or their relative values can be predicted with SEEKR. The system studied (beta-cyclodextrin) is a standard model system which is well defined and has the advantage that it allows the authors to investigate the influence of e.g. considering two binding routes individually or together in the calculations. On the other hand, while the results look encouraging, the extent to which they will translate to more complex systems such as protein drug targets is unclear.  </w:t>
      </w:r>
      <w:r w:rsidRPr="00E669EC">
        <w:rPr>
          <w:rFonts w:ascii="Helvetica" w:eastAsia="Times New Roman" w:hAnsi="Helvetica" w:cs="Times New Roman"/>
          <w:sz w:val="18"/>
          <w:szCs w:val="18"/>
        </w:rPr>
        <w:br/>
        <w:t>The authors have systematically compared the results for two different force fields used: GAFF and Q4MD, and this comparison could be useful for future studies with cyclodextrins.  The authors have also described the best practices that should be followed when using the SEEKR approach for other systems. The work is comprehensive and well-written, and the length of the manuscript adheres to the requirements of the journal’s guidelines. With the growing interest in evaluating kinetic parameters in drug-design studies, this manuscript should be of interest for the drug-discovery community.</w:t>
      </w:r>
      <w:r w:rsidRPr="00E669EC">
        <w:rPr>
          <w:rFonts w:ascii="Helvetica" w:eastAsia="Times New Roman" w:hAnsi="Helvetica" w:cs="Times New Roman"/>
          <w:sz w:val="18"/>
          <w:szCs w:val="18"/>
        </w:rPr>
        <w:br/>
        <w:t>There are a few minor corrections that need to be addressed:</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Figure1a) The labels for the milestone distances are too small to read.</w:t>
      </w:r>
      <w:r w:rsidR="00A432B1">
        <w:rPr>
          <w:rFonts w:ascii="Helvetica" w:eastAsia="Times New Roman" w:hAnsi="Helvetica" w:cs="Times New Roman"/>
          <w:sz w:val="18"/>
          <w:szCs w:val="18"/>
        </w:rPr>
        <w:t xml:space="preserve"> </w:t>
      </w:r>
      <w:r w:rsidR="00A432B1">
        <w:rPr>
          <w:rFonts w:ascii="Helvetica" w:eastAsia="Times New Roman" w:hAnsi="Helvetica" w:cs="Times New Roman"/>
          <w:color w:val="FF0000"/>
          <w:sz w:val="18"/>
          <w:szCs w:val="18"/>
        </w:rPr>
        <w:t xml:space="preserve">Increased </w:t>
      </w:r>
      <w:r w:rsidR="004B59E9">
        <w:rPr>
          <w:rFonts w:ascii="Helvetica" w:eastAsia="Times New Roman" w:hAnsi="Helvetica" w:cs="Times New Roman"/>
          <w:color w:val="FF0000"/>
          <w:sz w:val="18"/>
          <w:szCs w:val="18"/>
        </w:rPr>
        <w:t>distance font size, while still preventing overlap/clutter</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Supporting info, page 3: The authors mention that from equilibrium simulation of 160 ns, configurations were selected every 2ns (or is it 0.2 ns?): so, this results in 80 configurations (not 800) per milestone?</w:t>
      </w:r>
      <w:r>
        <w:rPr>
          <w:rFonts w:ascii="Helvetica" w:eastAsia="Times New Roman" w:hAnsi="Helvetica" w:cs="Times New Roman"/>
          <w:sz w:val="18"/>
          <w:szCs w:val="18"/>
        </w:rPr>
        <w:t xml:space="preserve"> </w:t>
      </w:r>
      <w:r w:rsidRPr="009D3707">
        <w:rPr>
          <w:rFonts w:ascii="Helvetica" w:eastAsia="Times New Roman" w:hAnsi="Helvetica" w:cs="Times New Roman"/>
          <w:color w:val="FF0000"/>
          <w:sz w:val="18"/>
          <w:szCs w:val="18"/>
        </w:rPr>
        <w:t xml:space="preserve">0.2ns is correct </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Supporting info, page 4: 8000 reversals or 800 reversals?</w:t>
      </w:r>
      <w:r w:rsidR="009D3707">
        <w:rPr>
          <w:rFonts w:ascii="Helvetica" w:eastAsia="Times New Roman" w:hAnsi="Helvetica" w:cs="Times New Roman"/>
          <w:sz w:val="18"/>
          <w:szCs w:val="18"/>
        </w:rPr>
        <w:t xml:space="preserve"> </w:t>
      </w:r>
      <w:r w:rsidR="009D3707">
        <w:rPr>
          <w:rFonts w:ascii="Helvetica" w:eastAsia="Times New Roman" w:hAnsi="Helvetica" w:cs="Times New Roman"/>
          <w:color w:val="FF0000"/>
          <w:sz w:val="18"/>
          <w:szCs w:val="18"/>
        </w:rPr>
        <w:t>8000 is correct—800 configurations times 10 trajectories per configuration</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The spelling of “bootstrapping” should be corrected throughout the manuscript</w:t>
      </w:r>
      <w:r w:rsidR="009D3707">
        <w:rPr>
          <w:rFonts w:ascii="Helvetica" w:eastAsia="Times New Roman" w:hAnsi="Helvetica" w:cs="Times New Roman"/>
          <w:sz w:val="18"/>
          <w:szCs w:val="18"/>
        </w:rPr>
        <w:t xml:space="preserve"> </w:t>
      </w:r>
      <w:r w:rsidR="009D3707">
        <w:rPr>
          <w:rFonts w:ascii="Helvetica" w:eastAsia="Times New Roman" w:hAnsi="Helvetica" w:cs="Times New Roman"/>
          <w:color w:val="FF0000"/>
          <w:sz w:val="18"/>
          <w:szCs w:val="18"/>
        </w:rPr>
        <w:t>corrected all instances</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Additional Questions:</w:t>
      </w:r>
      <w:r w:rsidRPr="00E669EC">
        <w:rPr>
          <w:rFonts w:ascii="Helvetica" w:eastAsia="Times New Roman" w:hAnsi="Helvetica" w:cs="Times New Roman"/>
          <w:sz w:val="18"/>
          <w:szCs w:val="18"/>
        </w:rPr>
        <w:br/>
        <w:t>Urgency: High</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Significance: High</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Novelty: Moderate</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Scholarly Presentation: Top 10%</w:t>
      </w:r>
      <w:r w:rsidRPr="00E669EC">
        <w:rPr>
          <w:rFonts w:ascii="Helvetica" w:eastAsia="Times New Roman" w:hAnsi="Helvetica" w:cs="Times New Roman"/>
          <w:sz w:val="18"/>
          <w:szCs w:val="18"/>
        </w:rPr>
        <w:br/>
      </w:r>
      <w:r w:rsidRPr="00E669EC">
        <w:rPr>
          <w:rFonts w:ascii="Helvetica" w:eastAsia="Times New Roman" w:hAnsi="Helvetica" w:cs="Times New Roman"/>
          <w:sz w:val="18"/>
          <w:szCs w:val="18"/>
        </w:rPr>
        <w:br/>
        <w:t>Is the paper likely to interest a substantial number of physical chemists, not just specialists working in the authors' area of research?: Yes</w:t>
      </w:r>
    </w:p>
    <w:p w:rsidR="00091AE2" w:rsidRDefault="004B59E9"/>
    <w:sectPr w:rsidR="00091AE2" w:rsidSect="00F4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EC"/>
    <w:rsid w:val="004B59E9"/>
    <w:rsid w:val="00783BFD"/>
    <w:rsid w:val="00995D01"/>
    <w:rsid w:val="009D3707"/>
    <w:rsid w:val="00A432B1"/>
    <w:rsid w:val="00CE4487"/>
    <w:rsid w:val="00E669EC"/>
    <w:rsid w:val="00F4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F1462"/>
  <w15:chartTrackingRefBased/>
  <w15:docId w15:val="{C4514AFD-3FF5-344F-8839-94169A76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171418">
      <w:bodyDiv w:val="1"/>
      <w:marLeft w:val="0"/>
      <w:marRight w:val="0"/>
      <w:marTop w:val="0"/>
      <w:marBottom w:val="0"/>
      <w:divBdr>
        <w:top w:val="none" w:sz="0" w:space="0" w:color="auto"/>
        <w:left w:val="none" w:sz="0" w:space="0" w:color="auto"/>
        <w:bottom w:val="none" w:sz="0" w:space="0" w:color="auto"/>
        <w:right w:val="none" w:sz="0" w:space="0" w:color="auto"/>
      </w:divBdr>
      <w:divsChild>
        <w:div w:id="1136682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041577">
              <w:marLeft w:val="0"/>
              <w:marRight w:val="0"/>
              <w:marTop w:val="0"/>
              <w:marBottom w:val="0"/>
              <w:divBdr>
                <w:top w:val="none" w:sz="0" w:space="0" w:color="auto"/>
                <w:left w:val="none" w:sz="0" w:space="0" w:color="auto"/>
                <w:bottom w:val="none" w:sz="0" w:space="0" w:color="auto"/>
                <w:right w:val="none" w:sz="0" w:space="0" w:color="auto"/>
              </w:divBdr>
              <w:divsChild>
                <w:div w:id="20353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7537">
      <w:bodyDiv w:val="1"/>
      <w:marLeft w:val="0"/>
      <w:marRight w:val="0"/>
      <w:marTop w:val="0"/>
      <w:marBottom w:val="0"/>
      <w:divBdr>
        <w:top w:val="none" w:sz="0" w:space="0" w:color="auto"/>
        <w:left w:val="none" w:sz="0" w:space="0" w:color="auto"/>
        <w:bottom w:val="none" w:sz="0" w:space="0" w:color="auto"/>
        <w:right w:val="none" w:sz="0" w:space="0" w:color="auto"/>
      </w:divBdr>
      <w:divsChild>
        <w:div w:id="613484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5257843">
              <w:marLeft w:val="0"/>
              <w:marRight w:val="0"/>
              <w:marTop w:val="0"/>
              <w:marBottom w:val="0"/>
              <w:divBdr>
                <w:top w:val="none" w:sz="0" w:space="0" w:color="auto"/>
                <w:left w:val="none" w:sz="0" w:space="0" w:color="auto"/>
                <w:bottom w:val="none" w:sz="0" w:space="0" w:color="auto"/>
                <w:right w:val="none" w:sz="0" w:space="0" w:color="auto"/>
              </w:divBdr>
              <w:divsChild>
                <w:div w:id="20227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 Jagger</dc:creator>
  <cp:keywords/>
  <dc:description/>
  <cp:lastModifiedBy>Benjamin R Jagger</cp:lastModifiedBy>
  <cp:revision>1</cp:revision>
  <dcterms:created xsi:type="dcterms:W3CDTF">2018-07-18T16:02:00Z</dcterms:created>
  <dcterms:modified xsi:type="dcterms:W3CDTF">2018-07-18T20:30:00Z</dcterms:modified>
</cp:coreProperties>
</file>