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5FAD"/>
          <w:sz w:val="22"/>
          <w:szCs w:val="22"/>
        </w:rPr>
        <w:t xml:space="preserve">{{entity_legal_name}}</w:t>
      </w:r>
    </w:p>
    <w:p>
      <w:pPr>
        <w:spacing w:after="240"/>
        <w:jc w:val="center"/>
      </w:pPr>
      <w:r>
        <w:rPr>
          <w:color w:val="555555"/>
          <w:sz w:val="18"/>
          <w:szCs w:val="18"/>
        </w:rPr>
        <w:t xml:space="preserve">Trade Licence No. </w:t>
      </w:r>
      <w:r>
        <w:rPr>
          <w:b/>
          <w:bCs/>
          <w:color w:val="555555"/>
          <w:sz w:val="18"/>
          <w:szCs w:val="18"/>
        </w:rPr>
        <w:t xml:space="preserve">{{entity_trade_license_no}}</w:t>
      </w:r>
      <w:r>
        <w:rPr>
          <w:color w:val="555555"/>
          <w:sz w:val="18"/>
          <w:szCs w:val="18"/>
        </w:rPr>
        <w:t xml:space="preserve">  ·  </w:t>
      </w:r>
      <w:r>
        <w:rPr>
          <w:b/>
          <w:bCs/>
          <w:color w:val="555555"/>
          <w:sz w:val="18"/>
          <w:szCs w:val="18"/>
        </w:rPr>
        <w:t xml:space="preserve">{{entity_emirate}}</w:t>
      </w:r>
      <w:r>
        <w:rPr>
          <w:color w:val="555555"/>
          <w:sz w:val="18"/>
          <w:szCs w:val="18"/>
        </w:rPr>
        <w:t xml:space="preserve">, United Arab Emirates</w:t>
      </w:r>
    </w:p>
    <w:p>
      <w:pPr>
        <w:pStyle w:val="Title"/>
        <w:spacing w:after="60"/>
        <w:jc w:val="center"/>
      </w:pPr>
      <w:r>
        <w:t xml:space="preserve">Employment Agreement</w:t>
      </w:r>
    </w:p>
    <w:p>
      <w:pPr>
        <w:spacing w:after="240"/>
        <w:jc w:val="center"/>
      </w:pPr>
      <w:r>
        <w:rPr>
          <w:color w:val="555555"/>
          <w:sz w:val="22"/>
          <w:szCs w:val="22"/>
        </w:rPr>
        <w:t xml:space="preserve">Supplementary to the MOHRE Employment Contract — Food &amp; Beverage Staff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C98A00" w:sz="18"/>
              <w:left w:val="single" w:color="C98A00" w:sz="18"/>
              <w:bottom w:val="single" w:color="C98A00" w:sz="18"/>
              <w:right w:val="single" w:color="C98A00" w:sz="18"/>
            </w:tcBorders>
            <w:shd w:fill="FFF4CE" w:color="auto" w:val="clear"/>
            <w:tcMar>
              <w:top w:type="dxa" w:w="140"/>
              <w:left w:type="dxa" w:w="180"/>
              <w:bottom w:type="dxa" w:w="140"/>
              <w:right w:type="dxa" w:w="180"/>
            </w:tcMar>
          </w:tcPr>
          <w:p>
            <w:pPr>
              <w:spacing w:after="100"/>
            </w:pPr>
            <w:r>
              <w:rPr>
                <w:b/>
                <w:bCs/>
                <w:color w:val="5C3B00"/>
                <w:sz w:val="26"/>
                <w:szCs w:val="26"/>
              </w:rPr>
              <w:t xml:space="preserve">Template — review with a UAE-qualified lawyer before use. The MOHRE-registered contract prevails.</w:t>
            </w:r>
          </w:p>
          <w:p>
            <w:pPr>
              <w:spacing w:after="0"/>
            </w:pPr>
            <w:r>
              <w:rPr>
                <w:sz w:val="19"/>
                <w:szCs w:val="19"/>
              </w:rPr>
              <w:t xml:space="preserve">This Agreement is supplementary to the standard employment contract issued, signed and registered through the Ministry of Human Resources and Emiratisation (MOHRE). It may add benefits and operating rules but cannot reduce any right under the MOHRE contract or UAE law. Blue </w:t>
            </w:r>
            <w:r>
              <w:rPr>
                <w:b/>
                <w:bCs/>
                <w:color w:val="1F5FAD"/>
                <w:sz w:val="19"/>
                <w:szCs w:val="19"/>
              </w:rPr>
              <w:t xml:space="preserve">{{fields}}</w:t>
            </w:r>
            <w:r>
              <w:rPr>
                <w:sz w:val="19"/>
                <w:szCs w:val="19"/>
              </w:rPr>
              <w:t xml:space="preserve"> are filled from the HR system. Highlighted </w:t>
            </w:r>
            <w:r>
              <w:rPr>
                <w:i/>
                <w:iCs/>
                <w:color w:val="7A4B00"/>
                <w:sz w:val="19"/>
                <w:szCs w:val="19"/>
                <w:highlight w:val="yellow"/>
                <w:highlightCs w:val="yellow"/>
              </w:rPr>
              <w:t xml:space="preserve">[options]</w:t>
            </w:r>
            <w:r>
              <w:rPr>
                <w:sz w:val="19"/>
                <w:szCs w:val="19"/>
              </w:rPr>
              <w:t xml:space="preserve"> must be decided by the business; </w:t>
            </w:r>
            <w:r>
              <w:rPr>
                <w:i/>
                <w:iCs/>
                <w:color w:val="7A4B00"/>
                <w:sz w:val="19"/>
                <w:szCs w:val="19"/>
                <w:highlight w:val="yellow"/>
                <w:highlightCs w:val="yellow"/>
              </w:rPr>
              <w:t xml:space="preserve">[verify]</w:t>
            </w:r>
            <w:r>
              <w:rPr>
                <w:sz w:val="19"/>
                <w:szCs w:val="19"/>
              </w:rPr>
              <w:t xml:space="preserve"> marks a figure that must be confirmed against current law before use. Delete this box and all guidance notes before issuing.</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tcPr>
          <w:p>
            <w:pPr>
              <w:spacing w:after="40"/>
            </w:pPr>
            <w:r>
              <w:rPr>
                <w:b/>
                <w:bCs/>
                <w:color w:val="FFFFFF"/>
              </w:rPr>
              <w:t xml:space="preserve">Reference</w:t>
            </w:r>
          </w:p>
        </w:tc>
        <w:tc>
          <w:tcPr>
            <w:tcW w:type="dxa" w:w="6638"/>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tcPr>
          <w:p>
            <w:pPr>
              <w:spacing w:after="40"/>
            </w:pPr>
            <w:r>
              <w:rPr>
                <w:b/>
                <w:bCs/>
                <w:color w:val="FFFFFF"/>
              </w:rPr>
              <w:t xml:space="preserve">Details</w:t>
            </w:r>
          </w:p>
        </w:tc>
      </w:tr>
      <w:tr>
        <w:trPr>
          <w:tblHeader w:val="false"/>
        </w:trPr>
        <w:tc>
          <w:tcPr>
            <w:tcW w:type="dxa" w:w="30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Agreement date</w:t>
            </w:r>
          </w:p>
        </w:tc>
        <w:tc>
          <w:tcPr>
            <w:tcW w:type="dxa" w:w="66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{{contract_date}}</w:t>
            </w:r>
          </w:p>
        </w:tc>
      </w:tr>
      <w:tr>
        <w:trPr>
          <w:tblHeader w:val="false"/>
        </w:trPr>
        <w:tc>
          <w:tcPr>
            <w:tcW w:type="dxa" w:w="30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MOHRE contract / work permit no.</w:t>
            </w:r>
          </w:p>
        </w:tc>
        <w:tc>
          <w:tcPr>
            <w:tcW w:type="dxa" w:w="66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{{mohre_contract_no}}</w:t>
            </w:r>
          </w:p>
        </w:tc>
      </w:tr>
      <w:tr>
        <w:trPr>
          <w:tblHeader w:val="false"/>
        </w:trPr>
        <w:tc>
          <w:tcPr>
            <w:tcW w:type="dxa" w:w="30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Employee number</w:t>
            </w:r>
          </w:p>
        </w:tc>
        <w:tc>
          <w:tcPr>
            <w:tcW w:type="dxa" w:w="66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{{employee_code}}</w:t>
            </w:r>
          </w:p>
        </w:tc>
      </w:tr>
      <w:tr>
        <w:trPr>
          <w:tblHeader w:val="false"/>
        </w:trPr>
        <w:tc>
          <w:tcPr>
            <w:tcW w:type="dxa" w:w="30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Position</w:t>
            </w:r>
          </w:p>
        </w:tc>
        <w:tc>
          <w:tcPr>
            <w:tcW w:type="dxa" w:w="66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{{position_title}}</w:t>
            </w:r>
            <w:r>
              <w:t xml:space="preserve"> (</w:t>
            </w:r>
            <w:r>
              <w:rPr>
                <w:i/>
                <w:iCs/>
                <w:color w:val="7A4B00"/>
                <w:highlight w:val="yellow"/>
                <w:highlightCs w:val="yellow"/>
              </w:rPr>
              <w:t xml:space="preserve">[Barista / Tea Specialist / Shift Lead]</w:t>
            </w:r>
            <w:r>
              <w:t xml:space="preserve">)</w:t>
            </w:r>
          </w:p>
        </w:tc>
      </w:tr>
      <w:tr>
        <w:trPr>
          <w:tblHeader w:val="false"/>
        </w:trPr>
        <w:tc>
          <w:tcPr>
            <w:tcW w:type="dxa" w:w="30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Home branch</w:t>
            </w:r>
          </w:p>
        </w:tc>
        <w:tc>
          <w:tcPr>
            <w:tcW w:type="dxa" w:w="66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{{work_location}}</w:t>
            </w:r>
          </w:p>
        </w:tc>
      </w:tr>
    </w:tbl>
    <w:p>
      <w:pPr>
        <w:pStyle w:val="Heading1"/>
        <w:keepNext/>
        <w:spacing w:after="120" w:before="280"/>
      </w:pPr>
      <w:r>
        <w:t xml:space="preserve">1. Parties</w:t>
      </w:r>
    </w:p>
    <w:p>
      <w:pPr>
        <w:spacing w:after="110" w:line="276"/>
        <w:ind w:left="567" w:hanging="567"/>
      </w:pPr>
      <w:r>
        <w:rPr>
          <w:b/>
          <w:bCs/>
        </w:rPr>
        <w:t xml:space="preserve">1.1  </w:t>
      </w:r>
      <w:r>
        <w:t xml:space="preserve">Employer: </w:t>
      </w:r>
      <w:r>
        <w:rPr>
          <w:b/>
          <w:bCs/>
          <w:color w:val="1F5FAD"/>
        </w:rPr>
        <w:t xml:space="preserve">{{entity_legal_name}}</w:t>
      </w:r>
      <w:r>
        <w:t xml:space="preserve">, a company licensed in the Emirate of </w:t>
      </w:r>
      <w:r>
        <w:rPr>
          <w:b/>
          <w:bCs/>
          <w:color w:val="1F5FAD"/>
        </w:rPr>
        <w:t xml:space="preserve">{{entity_emirate}}</w:t>
      </w:r>
      <w:r>
        <w:t xml:space="preserve"> under Trade Licence No. </w:t>
      </w:r>
      <w:r>
        <w:rPr>
          <w:b/>
          <w:bCs/>
          <w:color w:val="1F5FAD"/>
        </w:rPr>
        <w:t xml:space="preserve">{{entity_trade_license_no}}</w:t>
      </w:r>
      <w:r>
        <w:t xml:space="preserve">, MOHRE establishment no. </w:t>
      </w:r>
      <w:r>
        <w:rPr>
          <w:b/>
          <w:bCs/>
          <w:color w:val="1F5FAD"/>
        </w:rPr>
        <w:t xml:space="preserve">{{entity_mohre_establishment_id}}</w:t>
      </w:r>
      <w:r>
        <w:t xml:space="preserve">, address </w:t>
      </w:r>
      <w:r>
        <w:rPr>
          <w:b/>
          <w:bCs/>
          <w:color w:val="1F5FAD"/>
        </w:rPr>
        <w:t xml:space="preserve">{{entity_address}}</w:t>
      </w:r>
      <w:r>
        <w:t xml:space="preserve">, represented by </w:t>
      </w:r>
      <w:r>
        <w:rPr>
          <w:b/>
          <w:bCs/>
          <w:color w:val="1F5FAD"/>
        </w:rPr>
        <w:t xml:space="preserve">{{entity_signatory_name}}</w:t>
      </w:r>
      <w:r>
        <w:t xml:space="preserve">, </w:t>
      </w:r>
      <w:r>
        <w:rPr>
          <w:b/>
          <w:bCs/>
          <w:color w:val="1F5FAD"/>
        </w:rPr>
        <w:t xml:space="preserve">{{entity_signatory_title}}</w:t>
      </w:r>
      <w:r>
        <w:t xml:space="preserve"> (the "Company").</w:t>
      </w:r>
    </w:p>
    <w:p>
      <w:pPr>
        <w:spacing w:after="110" w:line="276"/>
        <w:ind w:left="567" w:hanging="567"/>
      </w:pPr>
      <w:r>
        <w:rPr>
          <w:b/>
          <w:bCs/>
        </w:rPr>
        <w:t xml:space="preserve">1.2  </w:t>
      </w:r>
      <w:r>
        <w:t xml:space="preserve">Employee: </w:t>
      </w:r>
      <w:r>
        <w:rPr>
          <w:b/>
          <w:bCs/>
          <w:color w:val="1F5FAD"/>
        </w:rPr>
        <w:t xml:space="preserve">{{employee_full_name}}</w:t>
      </w:r>
      <w:r>
        <w:t xml:space="preserve">, nationality </w:t>
      </w:r>
      <w:r>
        <w:rPr>
          <w:b/>
          <w:bCs/>
          <w:color w:val="1F5FAD"/>
        </w:rPr>
        <w:t xml:space="preserve">{{nationality}}</w:t>
      </w:r>
      <w:r>
        <w:t xml:space="preserve">, date of birth </w:t>
      </w:r>
      <w:r>
        <w:rPr>
          <w:b/>
          <w:bCs/>
          <w:color w:val="1F5FAD"/>
        </w:rPr>
        <w:t xml:space="preserve">{{date_of_birth}}</w:t>
      </w:r>
      <w:r>
        <w:t xml:space="preserve">, passport no. </w:t>
      </w:r>
      <w:r>
        <w:rPr>
          <w:b/>
          <w:bCs/>
          <w:color w:val="1F5FAD"/>
        </w:rPr>
        <w:t xml:space="preserve">{{passport_no}}</w:t>
      </w:r>
      <w:r>
        <w:t xml:space="preserve">, Emirates ID no. </w:t>
      </w:r>
      <w:r>
        <w:rPr>
          <w:b/>
          <w:bCs/>
          <w:color w:val="1F5FAD"/>
        </w:rPr>
        <w:t xml:space="preserve">{{emirates_id_no}}</w:t>
      </w:r>
      <w:r>
        <w:t xml:space="preserve"> (if issued), residing at </w:t>
      </w:r>
      <w:r>
        <w:rPr>
          <w:b/>
          <w:bCs/>
          <w:color w:val="1F5FAD"/>
        </w:rPr>
        <w:t xml:space="preserve">{{employee_address}}</w:t>
      </w:r>
      <w:r>
        <w:t xml:space="preserve">, mobile </w:t>
      </w:r>
      <w:r>
        <w:rPr>
          <w:b/>
          <w:bCs/>
          <w:color w:val="1F5FAD"/>
        </w:rPr>
        <w:t xml:space="preserve">{{employee_phone}}</w:t>
      </w:r>
      <w:r>
        <w:t xml:space="preserve">, email </w:t>
      </w:r>
      <w:r>
        <w:rPr>
          <w:b/>
          <w:bCs/>
          <w:color w:val="1F5FAD"/>
        </w:rPr>
        <w:t xml:space="preserve">{{employee_email}}</w:t>
      </w:r>
      <w:r>
        <w:t xml:space="preserve"> (the "Employee").</w:t>
      </w:r>
    </w:p>
    <w:p>
      <w:pPr>
        <w:spacing w:after="110" w:line="276"/>
        <w:ind w:left="567" w:hanging="567"/>
      </w:pPr>
      <w:r>
        <w:rPr>
          <w:b/>
          <w:bCs/>
        </w:rPr>
        <w:t xml:space="preserve">1.3  </w:t>
      </w:r>
      <w:r>
        <w:t xml:space="preserve">Emergency contact (for safety purposes only): </w:t>
      </w:r>
      <w:r>
        <w:rPr>
          <w:b/>
          <w:bCs/>
          <w:color w:val="1F5FAD"/>
        </w:rPr>
        <w:t xml:space="preserve">{{emergency_contact_name}}</w:t>
      </w:r>
      <w:r>
        <w:t xml:space="preserve">, </w:t>
      </w:r>
      <w:r>
        <w:rPr>
          <w:b/>
          <w:bCs/>
          <w:color w:val="1F5FAD"/>
        </w:rPr>
        <w:t xml:space="preserve">{{emergency_contact_phone}}</w:t>
      </w:r>
      <w:r>
        <w:t xml:space="preserve">.</w:t>
      </w:r>
    </w:p>
    <w:p>
      <w:pPr>
        <w:pStyle w:val="Heading1"/>
        <w:keepNext/>
        <w:spacing w:after="120" w:before="280"/>
      </w:pPr>
      <w:r>
        <w:t xml:space="preserve">2. Position and place of work</w:t>
      </w:r>
    </w:p>
    <w:p>
      <w:pPr>
        <w:spacing w:after="110" w:line="276"/>
        <w:ind w:left="567" w:hanging="567"/>
      </w:pPr>
      <w:r>
        <w:rPr>
          <w:b/>
          <w:bCs/>
        </w:rPr>
        <w:t xml:space="preserve">2.1  </w:t>
      </w:r>
      <w:r>
        <w:t xml:space="preserve">The Employee is employed as </w:t>
      </w:r>
      <w:r>
        <w:rPr>
          <w:b/>
          <w:bCs/>
          <w:color w:val="1F5FAD"/>
        </w:rPr>
        <w:t xml:space="preserve">{{position_title}}</w:t>
      </w:r>
      <w:r>
        <w:t xml:space="preserve"> and will perform the duties in the role description provided at induction, including food and beverage preparation, customer service, cash handling, opening/closing, cleaning and stock duties, and any other reasonable duties consistent with the role.</w:t>
      </w:r>
    </w:p>
    <w:p>
      <w:pPr>
        <w:spacing w:after="110" w:line="276"/>
        <w:ind w:left="567" w:hanging="567"/>
      </w:pPr>
      <w:r>
        <w:rPr>
          <w:b/>
          <w:bCs/>
        </w:rPr>
        <w:t xml:space="preserve">2.2  </w:t>
      </w:r>
      <w:r>
        <w:t xml:space="preserve">The Employee's home branch is </w:t>
      </w:r>
      <w:r>
        <w:rPr>
          <w:b/>
          <w:bCs/>
          <w:color w:val="1F5FAD"/>
        </w:rPr>
        <w:t xml:space="preserve">{{work_location}}</w:t>
      </w:r>
      <w:r>
        <w:t xml:space="preserve">. The Company operates several branches and concessions within the Emirate of </w:t>
      </w:r>
      <w:r>
        <w:rPr>
          <w:b/>
          <w:bCs/>
          <w:color w:val="1F5FAD"/>
        </w:rPr>
        <w:t xml:space="preserve">{{entity_emirate}}</w:t>
      </w:r>
      <w:r>
        <w:t xml:space="preserve">. The Employee agrees that the Company may assign the Employee, temporarily or permanently, to any branch, concession, event or catering site of the Company within </w:t>
      </w:r>
      <w:r>
        <w:rPr>
          <w:i/>
          <w:iCs/>
          <w:color w:val="7A4B00"/>
          <w:highlight w:val="yellow"/>
          <w:highlightCs w:val="yellow"/>
        </w:rPr>
        <w:t xml:space="preserve">[the same Emirate / the UAE]</w:t>
      </w:r>
      <w:r>
        <w:t xml:space="preserve">, provided the assignment does not change the nature of the work or reduce remuneration, and the Company gives reasonable notice </w:t>
      </w:r>
      <w:r>
        <w:rPr>
          <w:i/>
          <w:iCs/>
          <w:color w:val="7A4B00"/>
          <w:highlight w:val="yellow"/>
          <w:highlightCs w:val="yellow"/>
        </w:rPr>
        <w:t xml:space="preserve">[and covers additional transport where applicable]</w:t>
      </w:r>
      <w:r>
        <w:t xml:space="preserve">.</w:t>
      </w:r>
    </w:p>
    <w:p>
      <w:pPr>
        <w:spacing w:after="110" w:line="276"/>
        <w:ind w:left="567" w:hanging="567"/>
      </w:pPr>
      <w:r>
        <w:rPr>
          <w:b/>
          <w:bCs/>
        </w:rPr>
        <w:t xml:space="preserve">2.3  </w:t>
      </w:r>
      <w:r>
        <w:t xml:space="preserve">Employment type: </w:t>
      </w:r>
      <w:r>
        <w:rPr>
          <w:b/>
          <w:bCs/>
          <w:color w:val="1F5FAD"/>
        </w:rPr>
        <w:t xml:space="preserve">{{employment_type}}</w:t>
      </w:r>
      <w:r>
        <w:t xml:space="preserve"> (</w:t>
      </w:r>
      <w:r>
        <w:rPr>
          <w:i/>
          <w:iCs/>
          <w:color w:val="7A4B00"/>
          <w:highlight w:val="yellow"/>
          <w:highlightCs w:val="yellow"/>
        </w:rPr>
        <w:t xml:space="preserve">[full-time / part-time]</w:t>
      </w:r>
      <w:r>
        <w:t xml:space="preserve">). For part-time employment the agreed hours and pro-rated entitlements are set out in the MOHRE contract and Schedule 1.</w:t>
      </w:r>
    </w:p>
    <w:p>
      <w:pPr>
        <w:pStyle w:val="Heading1"/>
        <w:keepNext/>
        <w:spacing w:after="120" w:before="280"/>
      </w:pPr>
      <w:r>
        <w:t xml:space="preserve">3. Term and probation</w:t>
      </w:r>
    </w:p>
    <w:p>
      <w:pPr>
        <w:spacing w:after="110" w:line="276"/>
        <w:ind w:left="567" w:hanging="567"/>
      </w:pPr>
      <w:r>
        <w:rPr>
          <w:b/>
          <w:bCs/>
        </w:rPr>
        <w:t xml:space="preserve">3.1  </w:t>
      </w:r>
      <w:r>
        <w:t xml:space="preserve">This employment is for a fixed (definite) term starting on </w:t>
      </w:r>
      <w:r>
        <w:rPr>
          <w:b/>
          <w:bCs/>
          <w:color w:val="1F5FAD"/>
        </w:rPr>
        <w:t xml:space="preserve">{{join_date}}</w:t>
      </w:r>
      <w:r>
        <w:t xml:space="preserve"> and ending on </w:t>
      </w:r>
      <w:r>
        <w:rPr>
          <w:b/>
          <w:bCs/>
          <w:color w:val="1F5FAD"/>
        </w:rPr>
        <w:t xml:space="preserve">{{contract_end_date}}</w:t>
      </w:r>
      <w:r>
        <w:t xml:space="preserve"> (</w:t>
      </w:r>
      <w:r>
        <w:rPr>
          <w:b/>
          <w:bCs/>
          <w:color w:val="1F5FAD"/>
        </w:rPr>
        <w:t xml:space="preserve">{{contract_term}}</w:t>
      </w:r>
      <w:r>
        <w:t xml:space="preserve">), renewable by agreement. Renewals and extensions count towards continuous service. </w:t>
      </w:r>
      <w:r>
        <w:rPr>
          <w:i/>
          <w:iCs/>
          <w:color w:val="7A4B00"/>
          <w:highlight w:val="yellow"/>
          <w:highlightCs w:val="yellow"/>
        </w:rPr>
        <w:t xml:space="preserve">[verify: confirm current Article 8 wording and any maximum term]</w:t>
      </w:r>
    </w:p>
    <w:p>
      <w:pPr>
        <w:spacing w:after="110" w:line="276"/>
        <w:ind w:left="567" w:hanging="567"/>
      </w:pPr>
      <w:r>
        <w:rPr>
          <w:b/>
          <w:bCs/>
        </w:rPr>
        <w:t xml:space="preserve">3.2  </w:t>
      </w:r>
      <w:r>
        <w:t xml:space="preserve">The first </w:t>
      </w:r>
      <w:r>
        <w:rPr>
          <w:b/>
          <w:bCs/>
          <w:color w:val="1F5FAD"/>
        </w:rPr>
        <w:t xml:space="preserve">{{probation_months}}</w:t>
      </w:r>
      <w:r>
        <w:t xml:space="preserve"> months, ending on </w:t>
      </w:r>
      <w:r>
        <w:rPr>
          <w:b/>
          <w:bCs/>
          <w:color w:val="1F5FAD"/>
        </w:rPr>
        <w:t xml:space="preserve">{{probation_end_date}}</w:t>
      </w:r>
      <w:r>
        <w:t xml:space="preserve">, are a probation period. Probation may not exceed six (6) months and may not be extended.</w:t>
      </w:r>
    </w:p>
    <w:p>
      <w:pPr>
        <w:spacing w:after="110" w:line="276"/>
        <w:ind w:left="567" w:hanging="567"/>
      </w:pPr>
      <w:r>
        <w:rPr>
          <w:b/>
          <w:bCs/>
        </w:rPr>
        <w:t xml:space="preserve">3.3  </w:t>
      </w:r>
      <w:r>
        <w:t xml:space="preserve">During probation the Company may end employment by giving at least fourteen (14) days' written notice. The Employee may resign during probation by giving at least one (1) month's written notice if moving to another employer in the UAE, or at least fourteen (14) days' written notice if leaving the UAE, subject to the recruitment-cost rules in the law. </w:t>
      </w:r>
      <w:r>
        <w:rPr>
          <w:i/>
          <w:iCs/>
          <w:color w:val="7A4B00"/>
          <w:highlight w:val="yellow"/>
          <w:highlightCs w:val="yellow"/>
        </w:rPr>
        <w:t xml:space="preserve">[verify]</w:t>
      </w:r>
    </w:p>
    <w:p>
      <w:pPr>
        <w:spacing w:after="110" w:line="276"/>
        <w:ind w:left="567" w:hanging="567"/>
      </w:pPr>
      <w:r>
        <w:rPr>
          <w:b/>
          <w:bCs/>
        </w:rPr>
        <w:t xml:space="preserve">3.4  </w:t>
      </w:r>
      <w:r>
        <w:t xml:space="preserve">Probation will be reviewed before </w:t>
      </w:r>
      <w:r>
        <w:rPr>
          <w:b/>
          <w:bCs/>
          <w:color w:val="1F5FAD"/>
        </w:rPr>
        <w:t xml:space="preserve">{{probation_end_date}}</w:t>
      </w:r>
      <w:r>
        <w:t xml:space="preserve">. The Company will confirm the outcome in writing. Food-safety certification (Clause 8) must be complete before confirmation.</w:t>
      </w:r>
    </w:p>
    <w:p>
      <w:pPr>
        <w:pStyle w:val="Heading1"/>
        <w:keepNext/>
        <w:spacing w:after="120" w:before="280"/>
      </w:pPr>
      <w:r>
        <w:t xml:space="preserve">4. Working hours, breaks, overtime and rest days</w:t>
      </w:r>
    </w:p>
    <w:p>
      <w:pPr>
        <w:spacing w:after="110" w:line="276"/>
        <w:ind w:left="567" w:hanging="567"/>
      </w:pPr>
      <w:r>
        <w:rPr>
          <w:b/>
          <w:bCs/>
        </w:rPr>
        <w:t xml:space="preserve">4.1  </w:t>
      </w:r>
      <w:r>
        <w:t xml:space="preserve">Normal working hours are </w:t>
      </w:r>
      <w:r>
        <w:rPr>
          <w:b/>
          <w:bCs/>
          <w:color w:val="1F5FAD"/>
        </w:rPr>
        <w:t xml:space="preserve">{{working_hours}}</w:t>
      </w:r>
      <w:r>
        <w:t xml:space="preserve"> hours per day and not more than 48 hours per week, worked on a </w:t>
      </w:r>
      <w:r>
        <w:rPr>
          <w:i/>
          <w:iCs/>
          <w:color w:val="7A4B00"/>
          <w:highlight w:val="yellow"/>
          <w:highlightCs w:val="yellow"/>
        </w:rPr>
        <w:t xml:space="preserve">[6-day week / 5-day week]</w:t>
      </w:r>
      <w:r>
        <w:t xml:space="preserve"> rota. Shift times are published in the HR system rota; café operations require early, late, weekend and public-holiday shifts.</w:t>
      </w:r>
    </w:p>
    <w:p>
      <w:pPr>
        <w:spacing w:after="110" w:line="276"/>
        <w:ind w:left="567" w:hanging="567"/>
      </w:pPr>
      <w:r>
        <w:rPr>
          <w:b/>
          <w:bCs/>
        </w:rPr>
        <w:t xml:space="preserve">4.2  </w:t>
      </w:r>
      <w:r>
        <w:t xml:space="preserve">The Employee will not work more than five (5) consecutive hours without a rest break or breaks totalling at least one (1) hour. Break times are shown on the published shift and are </w:t>
      </w:r>
      <w:r>
        <w:rPr>
          <w:i/>
          <w:iCs/>
          <w:color w:val="7A4B00"/>
          <w:highlight w:val="yellow"/>
          <w:highlightCs w:val="yellow"/>
        </w:rPr>
        <w:t xml:space="preserve">[unpaid / paid]</w:t>
      </w:r>
      <w:r>
        <w:t xml:space="preserve">.</w:t>
      </w:r>
    </w:p>
    <w:p>
      <w:pPr>
        <w:spacing w:after="110" w:line="276"/>
        <w:ind w:left="567" w:hanging="567"/>
      </w:pPr>
      <w:r>
        <w:rPr>
          <w:b/>
          <w:bCs/>
        </w:rPr>
        <w:t xml:space="preserve">4.3  </w:t>
      </w:r>
      <w:r>
        <w:t xml:space="preserve">Overtime must be approved in advance by the branch manager. Overtime may not exceed two (2) hours per day (and not more than 144 hours in any three weeks) except as permitted by law. Overtime is paid at not less than basic hourly wage plus 25%, or plus 50% where worked between 10:00 pm and 4:00 am. </w:t>
      </w:r>
      <w:r>
        <w:rPr>
          <w:i/>
          <w:iCs/>
          <w:color w:val="7A4B00"/>
          <w:highlight w:val="yellow"/>
          <w:highlightCs w:val="yellow"/>
        </w:rPr>
        <w:t xml:space="preserve">[Company rate: {{overtime_multiplier}} x basic hourly wage]</w:t>
      </w:r>
    </w:p>
    <w:p>
      <w:pPr>
        <w:spacing w:after="110" w:line="276"/>
        <w:ind w:left="567" w:hanging="567"/>
      </w:pPr>
      <w:r>
        <w:rPr>
          <w:b/>
          <w:bCs/>
        </w:rPr>
        <w:t xml:space="preserve">4.4  </w:t>
      </w:r>
      <w:r>
        <w:t xml:space="preserve">The Employee is entitled to at least one paid rest day per week, normally </w:t>
      </w:r>
      <w:r>
        <w:rPr>
          <w:b/>
          <w:bCs/>
          <w:color w:val="1F5FAD"/>
        </w:rPr>
        <w:t xml:space="preserve">{{rest_day}}</w:t>
      </w:r>
      <w:r>
        <w:t xml:space="preserve"> or as set on the rota. Work on a rest day is compensated by a substitute rest day or a supplement of not less than 50% of basic wage. </w:t>
      </w:r>
      <w:r>
        <w:rPr>
          <w:i/>
          <w:iCs/>
          <w:color w:val="7A4B00"/>
          <w:highlight w:val="yellow"/>
          <w:highlightCs w:val="yellow"/>
        </w:rPr>
        <w:t xml:space="preserve">[verify]</w:t>
      </w:r>
    </w:p>
    <w:p>
      <w:pPr>
        <w:spacing w:after="110" w:line="276"/>
        <w:ind w:left="567" w:hanging="567"/>
      </w:pPr>
      <w:r>
        <w:rPr>
          <w:b/>
          <w:bCs/>
        </w:rPr>
        <w:t xml:space="preserve">4.5  </w:t>
      </w:r>
      <w:r>
        <w:t xml:space="preserve">During the holy month of Ramadan normal working hours are reduced by two (2) hours per day. Café opening hours in Ramadan (including evening/iftar and suhoor service) will be rostered within this limit, with overtime rules applying to any additional hours.</w:t>
      </w:r>
    </w:p>
    <w:p>
      <w:pPr>
        <w:spacing w:after="110" w:line="276"/>
        <w:ind w:left="567" w:hanging="567"/>
      </w:pPr>
      <w:r>
        <w:rPr>
          <w:b/>
          <w:bCs/>
        </w:rPr>
        <w:t xml:space="preserve">4.6  </w:t>
      </w:r>
      <w:r>
        <w:t xml:space="preserve">Clocking in and out through the Company's HR system is required for every shift. Attendance records are used for payroll and are reviewed by the manager before payment.</w:t>
      </w:r>
    </w:p>
    <w:p>
      <w:pPr>
        <w:pStyle w:val="Heading1"/>
        <w:keepNext/>
        <w:spacing w:after="120" w:before="280"/>
      </w:pPr>
      <w:r>
        <w:t xml:space="preserve">5. Remuneration</w:t>
      </w:r>
    </w:p>
    <w:p>
      <w:pPr>
        <w:spacing w:after="120" w:line="276"/>
      </w:pPr>
      <w:r>
        <w:t xml:space="preserve">The Employee's monthly remuneration 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00"/>
        <w:gridCol w:w="4438"/>
      </w:tblGrid>
      <w:tr>
        <w:trPr>
          <w:tblHeader/>
        </w:trPr>
        <w:tc>
          <w:tcPr>
            <w:tcW w:type="dxa" w:w="52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tcPr>
          <w:p>
            <w:pPr>
              <w:spacing w:after="40"/>
            </w:pPr>
            <w:r>
              <w:rPr>
                <w:b/>
                <w:bCs/>
                <w:color w:val="FFFFFF"/>
              </w:rPr>
              <w:t xml:space="preserve">Component</w:t>
            </w:r>
          </w:p>
        </w:tc>
        <w:tc>
          <w:tcPr>
            <w:tcW w:type="dxa" w:w="4438"/>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tcPr>
          <w:p>
            <w:pPr>
              <w:spacing w:after="40"/>
            </w:pPr>
            <w:r>
              <w:rPr>
                <w:b/>
                <w:bCs/>
                <w:color w:val="FFFFFF"/>
              </w:rPr>
              <w:t xml:space="preserve">Monthly amount (AED)</w:t>
            </w:r>
          </w:p>
        </w:tc>
      </w:tr>
      <w:tr>
        <w:trPr>
          <w:tblHeader w:val="false"/>
        </w:trPr>
        <w:tc>
          <w:tcPr>
            <w:tcW w:type="dxa" w:w="52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Basic salary</w:t>
            </w:r>
          </w:p>
        </w:tc>
        <w:tc>
          <w:tcPr>
            <w:tcW w:type="dxa" w:w="44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{{basic_salary_aed}}</w:t>
            </w:r>
          </w:p>
        </w:tc>
      </w:tr>
      <w:tr>
        <w:trPr>
          <w:tblHeader w:val="false"/>
        </w:trPr>
        <w:tc>
          <w:tcPr>
            <w:tcW w:type="dxa" w:w="52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Housing allowance</w:t>
            </w:r>
          </w:p>
        </w:tc>
        <w:tc>
          <w:tcPr>
            <w:tcW w:type="dxa" w:w="44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{{housing_allowance_aed}}</w:t>
            </w:r>
            <w:r>
              <w:t xml:space="preserve"> </w:t>
            </w:r>
            <w:r>
              <w:rPr>
                <w:i/>
                <w:iCs/>
                <w:color w:val="7A4B00"/>
                <w:highlight w:val="yellow"/>
                <w:highlightCs w:val="yellow"/>
              </w:rPr>
              <w:t xml:space="preserve">[or: Company-provided accommodation]</w:t>
            </w:r>
          </w:p>
        </w:tc>
      </w:tr>
      <w:tr>
        <w:trPr>
          <w:tblHeader w:val="false"/>
        </w:trPr>
        <w:tc>
          <w:tcPr>
            <w:tcW w:type="dxa" w:w="52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Transport allowance</w:t>
            </w:r>
          </w:p>
        </w:tc>
        <w:tc>
          <w:tcPr>
            <w:tcW w:type="dxa" w:w="44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{{transport_allowance_aed}}</w:t>
            </w:r>
            <w:r>
              <w:t xml:space="preserve"> </w:t>
            </w:r>
            <w:r>
              <w:rPr>
                <w:i/>
                <w:iCs/>
                <w:color w:val="7A4B00"/>
                <w:highlight w:val="yellow"/>
                <w:highlightCs w:val="yellow"/>
              </w:rPr>
              <w:t xml:space="preserve">[or: Company-provided transport]</w:t>
            </w:r>
          </w:p>
        </w:tc>
      </w:tr>
      <w:tr>
        <w:trPr>
          <w:tblHeader w:val="false"/>
        </w:trPr>
        <w:tc>
          <w:tcPr>
            <w:tcW w:type="dxa" w:w="52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Other allowances (</w:t>
            </w:r>
            <w:r>
              <w:rPr>
                <w:b/>
                <w:bCs/>
                <w:color w:val="1F5FAD"/>
              </w:rPr>
              <w:t xml:space="preserve">{{other_allowances_description}}</w:t>
            </w:r>
            <w:r>
              <w:rPr>
                <w:b/>
                <w:bCs/>
              </w:rPr>
              <w:t xml:space="preserve">)</w:t>
            </w:r>
          </w:p>
        </w:tc>
        <w:tc>
          <w:tcPr>
            <w:tcW w:type="dxa" w:w="44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{{other_allowances_aed}}</w:t>
            </w:r>
          </w:p>
        </w:tc>
      </w:tr>
      <w:tr>
        <w:trPr>
          <w:tblHeader w:val="false"/>
        </w:trPr>
        <w:tc>
          <w:tcPr>
            <w:tcW w:type="dxa" w:w="52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rPr>
              <w:t xml:space="preserve">Total monthly remuneration</w:t>
            </w:r>
          </w:p>
        </w:tc>
        <w:tc>
          <w:tcPr>
            <w:tcW w:type="dxa" w:w="44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rPr>
                <w:b/>
                <w:bCs/>
                <w:color w:val="1F5FAD"/>
              </w:rPr>
              <w:t xml:space="preserve">{{total_monthly_aed}}</w:t>
            </w:r>
          </w:p>
        </w:tc>
      </w:tr>
    </w:tbl>
    <w:p>
      <w:pPr>
        <w:spacing w:after="80"/>
      </w:pPr>
    </w:p>
    <w:p>
      <w:pPr>
        <w:spacing w:after="110" w:line="276"/>
        <w:ind w:left="567" w:hanging="567"/>
      </w:pPr>
      <w:r>
        <w:rPr>
          <w:b/>
          <w:bCs/>
        </w:rPr>
        <w:t xml:space="preserve">5.1  </w:t>
      </w:r>
      <w:r>
        <w:t xml:space="preserve">The basic salary is the basis for calculating overtime, end-of-service gratuity and other entitlements the law links to basic wage. Allowances are paid only while the underlying benefit is not provided in kind.</w:t>
      </w:r>
    </w:p>
    <w:p>
      <w:pPr>
        <w:spacing w:after="110" w:line="276"/>
        <w:ind w:left="567" w:hanging="567"/>
      </w:pPr>
      <w:r>
        <w:rPr>
          <w:b/>
          <w:bCs/>
        </w:rPr>
        <w:t xml:space="preserve">5.2  </w:t>
      </w:r>
      <w:r>
        <w:t xml:space="preserve">Wages are paid monthly in arrears in UAE Dirhams on or before day </w:t>
      </w:r>
      <w:r>
        <w:rPr>
          <w:b/>
          <w:bCs/>
          <w:color w:val="1F5FAD"/>
        </w:rPr>
        <w:t xml:space="preserve">{{payroll_day}}</w:t>
      </w:r>
      <w:r>
        <w:t xml:space="preserve"> of the following month through the Wage Protection System (WPS) into the Employee's bank account or approved wage card (IBAN / card: </w:t>
      </w:r>
      <w:r>
        <w:rPr>
          <w:b/>
          <w:bCs/>
          <w:color w:val="1F5FAD"/>
        </w:rPr>
        <w:t xml:space="preserve">{{bank_iban}}</w:t>
      </w:r>
      <w:r>
        <w:t xml:space="preserve">). The Employee must provide correct bank details before the first payroll.</w:t>
      </w:r>
    </w:p>
    <w:p>
      <w:pPr>
        <w:spacing w:after="110" w:line="276"/>
        <w:ind w:left="567" w:hanging="567"/>
      </w:pPr>
      <w:r>
        <w:rPr>
          <w:b/>
          <w:bCs/>
        </w:rPr>
        <w:t xml:space="preserve">5.3  </w:t>
      </w:r>
      <w:r>
        <w:t xml:space="preserve">A payslip for each pay period is published in the HR system Employee Portal.</w:t>
      </w:r>
    </w:p>
    <w:p>
      <w:pPr>
        <w:spacing w:after="110" w:line="276"/>
        <w:ind w:left="567" w:hanging="567"/>
      </w:pPr>
      <w:r>
        <w:rPr>
          <w:b/>
          <w:bCs/>
        </w:rPr>
        <w:t xml:space="preserve">5.4  </w:t>
      </w:r>
      <w:r>
        <w:t xml:space="preserve">Any salary review is at the Company's discretion and will be confirmed in writing and reflected in the MOHRE record where required.</w:t>
      </w:r>
    </w:p>
    <w:p>
      <w:pPr>
        <w:pStyle w:val="Heading1"/>
        <w:keepNext/>
        <w:spacing w:after="120" w:before="280"/>
      </w:pPr>
      <w:r>
        <w:t xml:space="preserve">6. Tips and service charges</w:t>
      </w:r>
    </w:p>
    <w:p>
      <w:pPr>
        <w:spacing w:after="120" w:line="276"/>
      </w:pPr>
      <w:r>
        <w:rPr>
          <w:i/>
          <w:iCs/>
          <w:color w:val="7A4B00"/>
          <w:highlight w:val="yellow"/>
          <w:highlightCs w:val="yellow"/>
        </w:rPr>
        <w:t xml:space="preserve">[POLICY CHOICE — the business must choose one option and delete the others. Confirm the treatment of tips with a UAE lawyer before use.]</w:t>
      </w:r>
    </w:p>
    <w:p>
      <w:pPr>
        <w:spacing w:after="110" w:line="276"/>
        <w:ind w:left="567" w:hanging="567"/>
      </w:pPr>
      <w:r>
        <w:rPr>
          <w:b/>
          <w:bCs/>
        </w:rPr>
        <w:t xml:space="preserve">6.1  </w:t>
      </w:r>
      <w:r>
        <w:rPr>
          <w:i/>
          <w:iCs/>
          <w:color w:val="7A4B00"/>
          <w:highlight w:val="yellow"/>
          <w:highlightCs w:val="yellow"/>
        </w:rPr>
        <w:t xml:space="preserve">[Option A — pooled tips]</w:t>
      </w:r>
      <w:r>
        <w:t xml:space="preserve"> Tips given by customers in cash or by card are collected into a Company tips pool and distributed to eligible branch staff </w:t>
      </w:r>
      <w:r>
        <w:rPr>
          <w:i/>
          <w:iCs/>
          <w:color w:val="7A4B00"/>
          <w:highlight w:val="yellow"/>
          <w:highlightCs w:val="yellow"/>
        </w:rPr>
        <w:t xml:space="preserve">[monthly]</w:t>
      </w:r>
      <w:r>
        <w:t xml:space="preserve"> according to the written Tips Policy (points/hours based). Tips are a discretionary gratuity from customers, are not part of the wage, basic salary or gratuity calculation, and do not create any entitlement beyond the Tips Policy in force. </w:t>
      </w:r>
      <w:r>
        <w:rPr>
          <w:i/>
          <w:iCs/>
          <w:color w:val="7A4B00"/>
          <w:highlight w:val="yellow"/>
          <w:highlightCs w:val="yellow"/>
        </w:rPr>
        <w:t xml:space="preserve">[verify]</w:t>
      </w:r>
    </w:p>
    <w:p>
      <w:pPr>
        <w:spacing w:after="110" w:line="276"/>
        <w:ind w:left="567" w:hanging="567"/>
      </w:pPr>
      <w:r>
        <w:rPr>
          <w:b/>
          <w:bCs/>
        </w:rPr>
        <w:t xml:space="preserve">6.2  </w:t>
      </w:r>
      <w:r>
        <w:rPr>
          <w:i/>
          <w:iCs/>
          <w:color w:val="7A4B00"/>
          <w:highlight w:val="yellow"/>
          <w:highlightCs w:val="yellow"/>
        </w:rPr>
        <w:t xml:space="preserve">[Option B — no tips]</w:t>
      </w:r>
      <w:r>
        <w:t xml:space="preserve"> The Company does not permit staff to accept personal tips; any tip offered is to be declined or placed in the charity box.</w:t>
      </w:r>
    </w:p>
    <w:p>
      <w:pPr>
        <w:spacing w:after="110" w:line="276"/>
        <w:ind w:left="567" w:hanging="567"/>
      </w:pPr>
      <w:r>
        <w:rPr>
          <w:b/>
          <w:bCs/>
        </w:rPr>
        <w:t xml:space="preserve">6.3  </w:t>
      </w:r>
      <w:r>
        <w:t xml:space="preserve">The Company may change the Tips Policy on written notice. Distribution records are available to the Employee on request.</w:t>
      </w:r>
    </w:p>
    <w:p>
      <w:pPr>
        <w:pStyle w:val="Heading1"/>
        <w:keepNext/>
        <w:spacing w:after="120" w:before="280"/>
      </w:pPr>
      <w:r>
        <w:t xml:space="preserve">7. Leave</w:t>
      </w:r>
    </w:p>
    <w:p>
      <w:pPr>
        <w:spacing w:after="110" w:line="276"/>
        <w:ind w:left="567" w:hanging="567"/>
      </w:pPr>
      <w:r>
        <w:rPr>
          <w:b/>
          <w:bCs/>
        </w:rPr>
        <w:t xml:space="preserve">7.1  </w:t>
      </w:r>
      <w:r>
        <w:t xml:space="preserve">Annual leave: </w:t>
      </w:r>
      <w:r>
        <w:rPr>
          <w:b/>
          <w:bCs/>
          <w:color w:val="1F5FAD"/>
        </w:rPr>
        <w:t xml:space="preserve">{{annual_leave_days}}</w:t>
      </w:r>
      <w:r>
        <w:t xml:space="preserve"> days of paid annual leave for each year of service (not less than 30 calendar days after one year of service, and two days per month for service of more than six months but less than one year), taken at times agreed with the manager to protect branch coverage. Leave is requested and approved in the HR system. </w:t>
      </w:r>
      <w:r>
        <w:rPr>
          <w:i/>
          <w:iCs/>
          <w:color w:val="7A4B00"/>
          <w:highlight w:val="yellow"/>
          <w:highlightCs w:val="yellow"/>
        </w:rPr>
        <w:t xml:space="preserve">[verify carry-forward and encashment rules]</w:t>
      </w:r>
    </w:p>
    <w:p>
      <w:pPr>
        <w:spacing w:after="110" w:line="276"/>
        <w:ind w:left="567" w:hanging="567"/>
      </w:pPr>
      <w:r>
        <w:rPr>
          <w:b/>
          <w:bCs/>
        </w:rPr>
        <w:t xml:space="preserve">7.2  </w:t>
      </w:r>
      <w:r>
        <w:t xml:space="preserve">Sick leave: after probation, up to 90 days per year (continuous or intermittent): the first 15 days on full pay, the next 30 days on half pay, and the remainder unpaid. Sick leave during probation is unpaid. A medical certificate is required </w:t>
      </w:r>
      <w:r>
        <w:rPr>
          <w:i/>
          <w:iCs/>
          <w:color w:val="7A4B00"/>
          <w:highlight w:val="yellow"/>
          <w:highlightCs w:val="yellow"/>
        </w:rPr>
        <w:t xml:space="preserve">[within 3 days / from the first day of absence]</w:t>
      </w:r>
      <w:r>
        <w:t xml:space="preserve">. Food handlers must report symptoms of illness before the shift and must not work while unfit (Clause 8).</w:t>
      </w:r>
    </w:p>
    <w:p>
      <w:pPr>
        <w:spacing w:after="110" w:line="276"/>
        <w:ind w:left="567" w:hanging="567"/>
      </w:pPr>
      <w:r>
        <w:rPr>
          <w:b/>
          <w:bCs/>
        </w:rPr>
        <w:t xml:space="preserve">7.3  </w:t>
      </w:r>
      <w:r>
        <w:t xml:space="preserve">Public holidays: paid leave on official holidays set by Cabinet resolution. If required to work on a public holiday, the Employee receives a substitute day off or pay for that day plus not less than 50% of basic wage. </w:t>
      </w:r>
      <w:r>
        <w:rPr>
          <w:i/>
          <w:iCs/>
          <w:color w:val="7A4B00"/>
          <w:highlight w:val="yellow"/>
          <w:highlightCs w:val="yellow"/>
        </w:rPr>
        <w:t xml:space="preserve">[Company rate: {{holiday_multiplier}} x]</w:t>
      </w:r>
    </w:p>
    <w:p>
      <w:pPr>
        <w:spacing w:after="110" w:line="276"/>
        <w:ind w:left="567" w:hanging="567"/>
      </w:pPr>
      <w:r>
        <w:rPr>
          <w:b/>
          <w:bCs/>
        </w:rPr>
        <w:t xml:space="preserve">7.4  </w:t>
      </w:r>
      <w:r>
        <w:t xml:space="preserve">Other statutory leave in accordance with the law, including: maternity leave (60 days: 45 days full pay, 15 days half pay), parental leave (5 working days), bereavement leave (5 days for a spouse; 3 days for a parent, child, sibling, grandchild or grandparent), and study leave (10 working days per year after two years of service) </w:t>
      </w:r>
      <w:r>
        <w:rPr>
          <w:i/>
          <w:iCs/>
          <w:color w:val="7A4B00"/>
          <w:highlight w:val="yellow"/>
          <w:highlightCs w:val="yellow"/>
        </w:rPr>
        <w:t xml:space="preserve">[verify current entitlements]</w:t>
      </w:r>
      <w:r>
        <w:t xml:space="preserve">.</w:t>
      </w:r>
    </w:p>
    <w:p>
      <w:pPr>
        <w:pStyle w:val="Heading1"/>
        <w:keepNext/>
        <w:spacing w:after="120" w:before="280"/>
      </w:pPr>
      <w:r>
        <w:t xml:space="preserve">8. Uniform, hygiene, food safety and health card</w:t>
      </w:r>
    </w:p>
    <w:p>
      <w:pPr>
        <w:spacing w:after="110" w:line="276"/>
        <w:ind w:left="567" w:hanging="567"/>
      </w:pPr>
      <w:r>
        <w:rPr>
          <w:b/>
          <w:bCs/>
        </w:rPr>
        <w:t xml:space="preserve">8.1  </w:t>
      </w:r>
      <w:r>
        <w:t xml:space="preserve">The Company provides </w:t>
      </w:r>
      <w:r>
        <w:rPr>
          <w:i/>
          <w:iCs/>
          <w:color w:val="7A4B00"/>
          <w:highlight w:val="yellow"/>
          <w:highlightCs w:val="yellow"/>
        </w:rPr>
        <w:t xml:space="preserve">[2 / 3]</w:t>
      </w:r>
      <w:r>
        <w:t xml:space="preserve"> sets of uniform, apron and name badge. The Employee must wear the full uniform and meet the grooming standards in the Food Safety &amp; Hygiene SOP on every shift. Uniform remains Company property and is returned on exit.</w:t>
      </w:r>
    </w:p>
    <w:p>
      <w:pPr>
        <w:spacing w:after="110" w:line="276"/>
        <w:ind w:left="567" w:hanging="567"/>
      </w:pPr>
      <w:r>
        <w:rPr>
          <w:b/>
          <w:bCs/>
        </w:rPr>
        <w:t xml:space="preserve">8.2  </w:t>
      </w:r>
      <w:r>
        <w:t xml:space="preserve">The Employee must obtain, before the first shift handling food or drink, and keep valid at all times, any occupational health card / medical fitness certificate and food-handler training certificate required by </w:t>
      </w:r>
      <w:r>
        <w:rPr>
          <w:i/>
          <w:iCs/>
          <w:color w:val="7A4B00"/>
          <w:highlight w:val="yellow"/>
          <w:highlightCs w:val="yellow"/>
        </w:rPr>
        <w:t xml:space="preserve">[Dubai Municipality / Sharjah Municipality]</w:t>
      </w:r>
      <w:r>
        <w:t xml:space="preserve"> for the branch where the Employee works. </w:t>
      </w:r>
      <w:r>
        <w:rPr>
          <w:i/>
          <w:iCs/>
          <w:color w:val="7A4B00"/>
          <w:highlight w:val="yellow"/>
          <w:highlightCs w:val="yellow"/>
        </w:rPr>
        <w:t xml:space="preserve">[verify exact requirement, provider and validity for each Emirate]</w:t>
      </w:r>
      <w:r>
        <w:t xml:space="preserve"> The Company </w:t>
      </w:r>
      <w:r>
        <w:rPr>
          <w:i/>
          <w:iCs/>
          <w:color w:val="7A4B00"/>
          <w:highlight w:val="yellow"/>
          <w:highlightCs w:val="yellow"/>
        </w:rPr>
        <w:t xml:space="preserve">[pays / reimburses]</w:t>
      </w:r>
      <w:r>
        <w:t xml:space="preserve"> the cost of these certificates.</w:t>
      </w:r>
    </w:p>
    <w:p>
      <w:pPr>
        <w:spacing w:after="110" w:line="276"/>
        <w:ind w:left="567" w:hanging="567"/>
      </w:pPr>
      <w:r>
        <w:rPr>
          <w:b/>
          <w:bCs/>
        </w:rPr>
        <w:t xml:space="preserve">8.3  </w:t>
      </w:r>
      <w:r>
        <w:t xml:space="preserve">The Employee must upload each certificate and its renewal to the HR system before its expiry. The Employee may not be rostered on food-handling duties while any required certificate is missing or expired.</w:t>
      </w:r>
    </w:p>
    <w:p>
      <w:pPr>
        <w:spacing w:after="110" w:line="276"/>
        <w:ind w:left="567" w:hanging="567"/>
      </w:pPr>
      <w:r>
        <w:rPr>
          <w:b/>
          <w:bCs/>
        </w:rPr>
        <w:t xml:space="preserve">8.4  </w:t>
      </w:r>
      <w:r>
        <w:t xml:space="preserve">The Employee must follow the Company's food safety management system (HACCP / hygiene SOPs), allergen procedures, temperature and cleaning logs, and must report any illness, infection, wound or food-safety incident to the manager immediately.</w:t>
      </w:r>
    </w:p>
    <w:p>
      <w:pPr>
        <w:spacing w:after="110" w:line="276"/>
        <w:ind w:left="567" w:hanging="567"/>
      </w:pPr>
      <w:r>
        <w:rPr>
          <w:b/>
          <w:bCs/>
        </w:rPr>
        <w:t xml:space="preserve">8.5  </w:t>
      </w:r>
      <w:r>
        <w:t xml:space="preserve">The Employee must follow health and safety instructions, use provided protective equipment, and report workplace accidents or injuries on the same day.</w:t>
      </w:r>
    </w:p>
    <w:p>
      <w:pPr>
        <w:pStyle w:val="Heading1"/>
        <w:keepNext/>
        <w:spacing w:after="120" w:before="280"/>
      </w:pPr>
      <w:r>
        <w:t xml:space="preserve">9. Conduct, confidentiality and data protection</w:t>
      </w:r>
    </w:p>
    <w:p>
      <w:pPr>
        <w:spacing w:after="110" w:line="276"/>
        <w:ind w:left="567" w:hanging="567"/>
      </w:pPr>
      <w:r>
        <w:rPr>
          <w:b/>
          <w:bCs/>
        </w:rPr>
        <w:t xml:space="preserve">9.1  </w:t>
      </w:r>
      <w:r>
        <w:t xml:space="preserve">The Employee will comply with the Company Handbook, SOPs, cash-handling and POS procedures, and the disciplinary rules approved by the Company and displayed at the workplace, as amended from time to time.</w:t>
      </w:r>
    </w:p>
    <w:p>
      <w:pPr>
        <w:spacing w:after="110" w:line="276"/>
        <w:ind w:left="567" w:hanging="567"/>
      </w:pPr>
      <w:r>
        <w:rPr>
          <w:b/>
          <w:bCs/>
        </w:rPr>
        <w:t xml:space="preserve">9.2  </w:t>
      </w:r>
      <w:r>
        <w:t xml:space="preserve">The Employee must keep confidential, during and after employment, all Company information including recipes, supplier terms, pricing, sales data, customer data and system credentials, and must not use it except for the Company's business.</w:t>
      </w:r>
    </w:p>
    <w:p>
      <w:pPr>
        <w:spacing w:after="110" w:line="276"/>
        <w:ind w:left="567" w:hanging="567"/>
      </w:pPr>
      <w:r>
        <w:rPr>
          <w:b/>
          <w:bCs/>
        </w:rPr>
        <w:t xml:space="preserve">9.3  </w:t>
      </w:r>
      <w:r>
        <w:t xml:space="preserve">Non-compete </w:t>
      </w:r>
      <w:r>
        <w:rPr>
          <w:i/>
          <w:iCs/>
          <w:color w:val="7A4B00"/>
          <w:highlight w:val="yellow"/>
          <w:highlightCs w:val="yellow"/>
        </w:rPr>
        <w:t xml:space="preserve">[optional — delete if not used]</w:t>
      </w:r>
      <w:r>
        <w:t xml:space="preserve">: for </w:t>
      </w:r>
      <w:r>
        <w:rPr>
          <w:i/>
          <w:iCs/>
          <w:color w:val="7A4B00"/>
          <w:highlight w:val="yellow"/>
          <w:highlightCs w:val="yellow"/>
        </w:rPr>
        <w:t xml:space="preserve">[6 / 12]</w:t>
      </w:r>
      <w:r>
        <w:t xml:space="preserve"> months after employment ends (maximum two years under the law), the Employee will not work in </w:t>
      </w:r>
      <w:r>
        <w:rPr>
          <w:i/>
          <w:iCs/>
          <w:color w:val="7A4B00"/>
          <w:highlight w:val="yellow"/>
          <w:highlightCs w:val="yellow"/>
        </w:rPr>
        <w:t xml:space="preserve">[a specialty coffee / tea business]</w:t>
      </w:r>
      <w:r>
        <w:t xml:space="preserve"> within </w:t>
      </w:r>
      <w:r>
        <w:rPr>
          <w:i/>
          <w:iCs/>
          <w:color w:val="7A4B00"/>
          <w:highlight w:val="yellow"/>
          <w:highlightCs w:val="yellow"/>
        </w:rPr>
        <w:t xml:space="preserve">[area]</w:t>
      </w:r>
      <w:r>
        <w:t xml:space="preserve"> where the Employee had access to the Company's customers or trade secrets. This restriction is limited in time, place and type of work, and does not apply where the Company ends the contract in breach of the law. </w:t>
      </w:r>
      <w:r>
        <w:rPr>
          <w:i/>
          <w:iCs/>
          <w:color w:val="7A4B00"/>
          <w:highlight w:val="yellow"/>
          <w:highlightCs w:val="yellow"/>
        </w:rPr>
        <w:t xml:space="preserve">[verify enforceability]</w:t>
      </w:r>
    </w:p>
    <w:p>
      <w:pPr>
        <w:spacing w:after="110" w:line="276"/>
        <w:ind w:left="567" w:hanging="567"/>
      </w:pPr>
      <w:r>
        <w:rPr>
          <w:b/>
          <w:bCs/>
        </w:rPr>
        <w:t xml:space="preserve">9.4  </w:t>
      </w:r>
      <w:r>
        <w:t xml:space="preserve">Personal data: the Company processes the Employee's personal data (identity, contact, emergency contact, immigration, health-card, bank, attendance, leave, pay and performance data) in the HR system to manage employment, payroll through WPS, visas, insurance, legal compliance and branch operations, in line with Federal Decree-Law No. 45 of 2021 on the Protection of Personal Data. Access is limited by role; bank and identity numbers are visible only to the owner and authorised HR administrators. Data is shared only with authorities, banks, insurers and service providers as needed for these purposes and is retained according to the Company's retention schedule.</w:t>
      </w:r>
    </w:p>
    <w:p>
      <w:pPr>
        <w:spacing w:after="110" w:line="276"/>
        <w:ind w:left="567" w:hanging="567"/>
      </w:pPr>
      <w:r>
        <w:rPr>
          <w:b/>
          <w:bCs/>
        </w:rPr>
        <w:t xml:space="preserve">9.5  </w:t>
      </w:r>
      <w:r>
        <w:t xml:space="preserve">The Employee consents to this processing where consent is required, and may request access to, or correction of, their personal data through the Employee Portal or HR. </w:t>
      </w:r>
      <w:r>
        <w:rPr>
          <w:i/>
          <w:iCs/>
          <w:color w:val="7A4B00"/>
          <w:highlight w:val="yellow"/>
          <w:highlightCs w:val="yellow"/>
        </w:rPr>
        <w:t xml:space="preserve">[verify legal basis and consent wording with counsel]</w:t>
      </w:r>
    </w:p>
    <w:p>
      <w:pPr>
        <w:pStyle w:val="Heading1"/>
        <w:keepNext/>
        <w:spacing w:after="120" w:before="280"/>
      </w:pPr>
      <w:r>
        <w:t xml:space="preserve">10. Company property</w:t>
      </w:r>
    </w:p>
    <w:p>
      <w:pPr>
        <w:spacing w:after="110" w:line="276"/>
        <w:ind w:left="567" w:hanging="567"/>
      </w:pPr>
      <w:r>
        <w:rPr>
          <w:b/>
          <w:bCs/>
        </w:rPr>
        <w:t xml:space="preserve">10.1  </w:t>
      </w:r>
      <w:r>
        <w:t xml:space="preserve">Company property includes equipment, tools, keys, access cards, uniforms, POS/tablet devices, stock and cash. The Employee must use it with care, only for work, and return all of it on the last working day or on request.</w:t>
      </w:r>
    </w:p>
    <w:p>
      <w:pPr>
        <w:spacing w:after="110" w:line="276"/>
        <w:ind w:left="567" w:hanging="567"/>
      </w:pPr>
      <w:r>
        <w:rPr>
          <w:b/>
          <w:bCs/>
        </w:rPr>
        <w:t xml:space="preserve">10.2  </w:t>
      </w:r>
      <w:r>
        <w:t xml:space="preserve">HR-system and POS logins are personal and must not be shared.</w:t>
      </w:r>
    </w:p>
    <w:p>
      <w:pPr>
        <w:pStyle w:val="Heading1"/>
        <w:keepNext/>
        <w:spacing w:after="120" w:before="280"/>
      </w:pPr>
      <w:r>
        <w:t xml:space="preserve">11. Deductions</w:t>
      </w:r>
    </w:p>
    <w:p>
      <w:pPr>
        <w:spacing w:after="110" w:line="276"/>
        <w:ind w:left="567" w:hanging="567"/>
      </w:pPr>
      <w:r>
        <w:rPr>
          <w:b/>
          <w:bCs/>
        </w:rPr>
        <w:t xml:space="preserve">11.1  </w:t>
      </w:r>
      <w:r>
        <w:t xml:space="preserve">The Company will make deductions from wages only as permitted by the law, for example: recovery of loans or advances, amounts paid in error, lawful contributions, penalties under the approved disciplinary rules (not exceeding 5% of wage), and repair of damage caused by the Employee's error or breach (not exceeding five days' wage per month), in each case with the required procedure and records.</w:t>
      </w:r>
    </w:p>
    <w:p>
      <w:pPr>
        <w:spacing w:after="110" w:line="276"/>
        <w:ind w:left="567" w:hanging="567"/>
      </w:pPr>
      <w:r>
        <w:rPr>
          <w:b/>
          <w:bCs/>
        </w:rPr>
        <w:t xml:space="preserve">11.2  </w:t>
      </w:r>
      <w:r>
        <w:t xml:space="preserve">Total deductions may not exceed 50% of the wage in any month. No deduction will be made for recruitment, visa or work-permit costs, or for cash shortages or breakages except within the categories above. </w:t>
      </w:r>
      <w:r>
        <w:rPr>
          <w:i/>
          <w:iCs/>
          <w:color w:val="7A4B00"/>
          <w:highlight w:val="yellow"/>
          <w:highlightCs w:val="yellow"/>
        </w:rPr>
        <w:t xml:space="preserve">[verify]</w:t>
      </w:r>
    </w:p>
    <w:p>
      <w:pPr>
        <w:pStyle w:val="Heading1"/>
        <w:keepNext/>
        <w:spacing w:after="120" w:before="280"/>
      </w:pPr>
      <w:r>
        <w:t xml:space="preserve">12. Termination and notice</w:t>
      </w:r>
    </w:p>
    <w:p>
      <w:pPr>
        <w:spacing w:after="110" w:line="276"/>
        <w:ind w:left="567" w:hanging="567"/>
      </w:pPr>
      <w:r>
        <w:rPr>
          <w:b/>
          <w:bCs/>
        </w:rPr>
        <w:t xml:space="preserve">12.1  </w:t>
      </w:r>
      <w:r>
        <w:t xml:space="preserve">After probation either party may end this Agreement by giving </w:t>
      </w:r>
      <w:r>
        <w:rPr>
          <w:b/>
          <w:bCs/>
          <w:color w:val="1F5FAD"/>
        </w:rPr>
        <w:t xml:space="preserve">{{notice_period_days}}</w:t>
      </w:r>
      <w:r>
        <w:t xml:space="preserve"> days' written notice (not less than 30 and not more than 90 days). Wages are paid during the notice period. The Company may pay wages in lieu of notice for any part not worked. </w:t>
      </w:r>
      <w:r>
        <w:rPr>
          <w:i/>
          <w:iCs/>
          <w:color w:val="7A4B00"/>
          <w:highlight w:val="yellow"/>
          <w:highlightCs w:val="yellow"/>
        </w:rPr>
        <w:t xml:space="preserve">[verify]</w:t>
      </w:r>
    </w:p>
    <w:p>
      <w:pPr>
        <w:spacing w:after="110" w:line="276"/>
        <w:ind w:left="567" w:hanging="567"/>
      </w:pPr>
      <w:r>
        <w:rPr>
          <w:b/>
          <w:bCs/>
        </w:rPr>
        <w:t xml:space="preserve">12.2  </w:t>
      </w:r>
      <w:r>
        <w:t xml:space="preserve">The Company may end employment without notice only on the grounds and following the procedure set out in the law (for example serious misconduct, gross negligence or breach of food-safety rules that endangers customers). The Employee may leave without notice only on the grounds set out in the law.</w:t>
      </w:r>
    </w:p>
    <w:p>
      <w:pPr>
        <w:spacing w:after="110" w:line="276"/>
        <w:ind w:left="567" w:hanging="567"/>
      </w:pPr>
      <w:r>
        <w:rPr>
          <w:b/>
          <w:bCs/>
        </w:rPr>
        <w:t xml:space="preserve">12.3  </w:t>
      </w:r>
      <w:r>
        <w:t xml:space="preserve">Final dues (unpaid wages, accrued unused leave, gratuity and other entitlements) are paid within fourteen (14) days after the end of employment.</w:t>
      </w:r>
    </w:p>
    <w:p>
      <w:pPr>
        <w:spacing w:after="110" w:line="276"/>
        <w:ind w:left="567" w:hanging="567"/>
      </w:pPr>
      <w:r>
        <w:rPr>
          <w:b/>
          <w:bCs/>
        </w:rPr>
        <w:t xml:space="preserve">12.4  </w:t>
      </w:r>
      <w:r>
        <w:t xml:space="preserve">On exit the Employee must return Company property (Clause 10) and complete the handover checklist.</w:t>
      </w:r>
    </w:p>
    <w:p>
      <w:pPr>
        <w:pStyle w:val="Heading1"/>
        <w:keepNext/>
        <w:spacing w:after="120" w:before="280"/>
      </w:pPr>
      <w:r>
        <w:t xml:space="preserve">13. End-of-service gratuity</w:t>
      </w:r>
    </w:p>
    <w:p>
      <w:pPr>
        <w:spacing w:after="110" w:line="276"/>
        <w:ind w:left="567" w:hanging="567"/>
      </w:pPr>
      <w:r>
        <w:rPr>
          <w:b/>
          <w:bCs/>
        </w:rPr>
        <w:t xml:space="preserve">13.1  </w:t>
      </w:r>
      <w:r>
        <w:t xml:space="preserve">A full-time Employee who completes at least one year of continuous service is entitled to an end-of-service gratuity calculated on the last basic salary: 21 days' basic wage for each of the first five years of service and 30 days' basic wage for each year after that, pro-rated for part years. Total gratuity may not exceed two years' wage. </w:t>
      </w:r>
      <w:r>
        <w:rPr>
          <w:i/>
          <w:iCs/>
          <w:color w:val="7A4B00"/>
          <w:highlight w:val="yellow"/>
          <w:highlightCs w:val="yellow"/>
        </w:rPr>
        <w:t xml:space="preserve">[verify calculation basis, part-year rules and any alternative savings scheme]</w:t>
      </w:r>
    </w:p>
    <w:p>
      <w:pPr>
        <w:spacing w:after="110" w:line="276"/>
        <w:ind w:left="567" w:hanging="567"/>
      </w:pPr>
      <w:r>
        <w:rPr>
          <w:b/>
          <w:bCs/>
        </w:rPr>
        <w:t xml:space="preserve">13.2  </w:t>
      </w:r>
      <w:r>
        <w:t xml:space="preserve">Part-time employees receive gratuity in proportion to the hours worked, as provided by the law. Unpaid absences are not counted in the service period.</w:t>
      </w:r>
    </w:p>
    <w:p>
      <w:pPr>
        <w:pStyle w:val="Heading1"/>
        <w:keepNext/>
        <w:spacing w:after="120" w:before="280"/>
      </w:pPr>
      <w:r>
        <w:t xml:space="preserve">14. Visa, work permit, insurance and costs</w:t>
      </w:r>
    </w:p>
    <w:p>
      <w:pPr>
        <w:spacing w:after="110" w:line="276"/>
        <w:ind w:left="567" w:hanging="567"/>
      </w:pPr>
      <w:r>
        <w:rPr>
          <w:b/>
          <w:bCs/>
        </w:rPr>
        <w:t xml:space="preserve">14.1  </w:t>
      </w:r>
      <w:r>
        <w:t xml:space="preserve">The Company sponsors and bears the cost of the Employee's work permit, residence visa, Emirates ID and their renewals. It will not charge the Employee any recruitment or employment fees.</w:t>
      </w:r>
    </w:p>
    <w:p>
      <w:pPr>
        <w:spacing w:after="110" w:line="276"/>
        <w:ind w:left="567" w:hanging="567"/>
      </w:pPr>
      <w:r>
        <w:rPr>
          <w:b/>
          <w:bCs/>
        </w:rPr>
        <w:t xml:space="preserve">14.2  </w:t>
      </w:r>
      <w:r>
        <w:t xml:space="preserve">The Company provides health insurance at least to the level required in </w:t>
      </w:r>
      <w:r>
        <w:rPr>
          <w:b/>
          <w:bCs/>
          <w:color w:val="1F5FAD"/>
        </w:rPr>
        <w:t xml:space="preserve">{{entity_emirate}}</w:t>
      </w:r>
      <w:r>
        <w:t xml:space="preserve"> (Dubai Health Authority scheme for Dubai; the federal Basic Health Insurance scheme for Sharjah, required for residence permits issued or renewed from 1 January 2025) for the duration of employment. </w:t>
      </w:r>
      <w:r>
        <w:rPr>
          <w:i/>
          <w:iCs/>
          <w:color w:val="7A4B00"/>
          <w:highlight w:val="yellow"/>
          <w:highlightCs w:val="yellow"/>
        </w:rPr>
        <w:t xml:space="preserve">[verify plan]</w:t>
      </w:r>
    </w:p>
    <w:p>
      <w:pPr>
        <w:spacing w:after="110" w:line="276"/>
        <w:ind w:left="567" w:hanging="567"/>
      </w:pPr>
      <w:r>
        <w:rPr>
          <w:b/>
          <w:bCs/>
        </w:rPr>
        <w:t xml:space="preserve">14.3  </w:t>
      </w:r>
      <w:r>
        <w:t xml:space="preserve">The Employee must register with the Involuntary Loss of Employment (ILOE) unemployment insurance scheme and keep it active, unless exempt. </w:t>
      </w:r>
      <w:r>
        <w:rPr>
          <w:i/>
          <w:iCs/>
          <w:color w:val="7A4B00"/>
          <w:highlight w:val="yellow"/>
          <w:highlightCs w:val="yellow"/>
        </w:rPr>
        <w:t xml:space="preserve">[verify]</w:t>
      </w:r>
    </w:p>
    <w:p>
      <w:pPr>
        <w:spacing w:after="110" w:line="276"/>
        <w:ind w:left="567" w:hanging="567"/>
      </w:pPr>
      <w:r>
        <w:rPr>
          <w:b/>
          <w:bCs/>
        </w:rPr>
        <w:t xml:space="preserve">14.4  </w:t>
      </w:r>
      <w:r>
        <w:t xml:space="preserve">On the end of employment the Company bears the cost of the Employee's return to their country of recruitment in accordance with the law, unless the Employee joins another employer in the UAE.</w:t>
      </w:r>
    </w:p>
    <w:p>
      <w:pPr>
        <w:spacing w:after="110" w:line="276"/>
        <w:ind w:left="567" w:hanging="567"/>
      </w:pPr>
      <w:r>
        <w:rPr>
          <w:b/>
          <w:bCs/>
        </w:rPr>
        <w:t xml:space="preserve">14.5  </w:t>
      </w:r>
      <w:r>
        <w:t xml:space="preserve">The Employee must provide valid documents on time and attend medical tests and biometrics for visa processing. The Company will not keep the Employee's passport or official documents.</w:t>
      </w:r>
    </w:p>
    <w:p>
      <w:pPr>
        <w:pStyle w:val="Heading1"/>
        <w:keepNext/>
        <w:spacing w:after="120" w:before="280"/>
      </w:pPr>
      <w:r>
        <w:t xml:space="preserve">15. Governing law and precedence</w:t>
      </w:r>
    </w:p>
    <w:p>
      <w:pPr>
        <w:spacing w:after="110" w:line="276"/>
        <w:ind w:left="567" w:hanging="567"/>
      </w:pPr>
      <w:r>
        <w:rPr>
          <w:b/>
          <w:bCs/>
        </w:rPr>
        <w:t xml:space="preserve">15.1  </w:t>
      </w:r>
      <w:r>
        <w:t xml:space="preserve">This Agreement is governed by Federal Decree-Law No. 33 of 2021 Regulating Labour Relations, its Executive Regulation (Cabinet Resolution No. 1 of 2022), their amendments, and other applicable laws of the UAE and the Emirate of </w:t>
      </w:r>
      <w:r>
        <w:rPr>
          <w:b/>
          <w:bCs/>
          <w:color w:val="1F5FAD"/>
        </w:rPr>
        <w:t xml:space="preserve">{{entity_emirate}}</w:t>
      </w:r>
      <w:r>
        <w:t xml:space="preserve">.</w:t>
      </w:r>
    </w:p>
    <w:p>
      <w:pPr>
        <w:spacing w:after="110" w:line="276"/>
        <w:ind w:left="567" w:hanging="567"/>
      </w:pPr>
      <w:r>
        <w:rPr>
          <w:b/>
          <w:bCs/>
        </w:rPr>
        <w:t xml:space="preserve">15.2  </w:t>
      </w:r>
      <w:r>
        <w:t xml:space="preserve">The standard employment contract registered with MOHRE is the primary contract. If any term of this Agreement conflicts with the MOHRE contract or the law, the MOHRE contract and the law prevail, except where this Agreement gives the Employee a more favourable benefit.</w:t>
      </w:r>
    </w:p>
    <w:p>
      <w:pPr>
        <w:spacing w:after="110" w:line="276"/>
        <w:ind w:left="567" w:hanging="567"/>
      </w:pPr>
      <w:r>
        <w:rPr>
          <w:b/>
          <w:bCs/>
        </w:rPr>
        <w:t xml:space="preserve">15.3  </w:t>
      </w:r>
      <w:r>
        <w:t xml:space="preserve">Any dispute will first be raised with the Company's HR; if unresolved, it may be submitted to MOHRE and the competent courts in accordance with the law.</w:t>
      </w:r>
    </w:p>
    <w:p>
      <w:pPr>
        <w:spacing w:after="110" w:line="276"/>
        <w:ind w:left="567" w:hanging="567"/>
      </w:pPr>
      <w:r>
        <w:rPr>
          <w:b/>
          <w:bCs/>
        </w:rPr>
        <w:t xml:space="preserve">15.4  </w:t>
      </w:r>
      <w:r>
        <w:t xml:space="preserve">This Agreement is made in English </w:t>
      </w:r>
      <w:r>
        <w:rPr>
          <w:i/>
          <w:iCs/>
          <w:color w:val="7A4B00"/>
          <w:highlight w:val="yellow"/>
          <w:highlightCs w:val="yellow"/>
        </w:rPr>
        <w:t xml:space="preserve">[and Arabic]</w:t>
      </w:r>
      <w:r>
        <w:t xml:space="preserve">. </w:t>
      </w:r>
      <w:r>
        <w:rPr>
          <w:i/>
          <w:iCs/>
          <w:color w:val="7A4B00"/>
          <w:highlight w:val="yellow"/>
          <w:highlightCs w:val="yellow"/>
        </w:rPr>
        <w:t xml:space="preserve">[If an Arabic version is signed, it prevails in the event of inconsistency.]</w:t>
      </w:r>
      <w:r>
        <w:t xml:space="preserve"> The Employee confirms they have read and understood it and received a copy.</w:t>
      </w:r>
    </w:p>
    <w:p>
      <w:pPr>
        <w:pStyle w:val="Heading1"/>
        <w:keepNext/>
        <w:spacing w:after="120" w:before="280"/>
      </w:pPr>
      <w:r>
        <w:t xml:space="preserve">16. Signatures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tcMar>
              <w:top w:type="dxa" w:w="60"/>
              <w:left w:type="dxa" w:w="80"/>
              <w:bottom w:type="dxa" w:w="60"/>
              <w:right w:type="dxa" w:w="200"/>
            </w:tcMar>
          </w:tcPr>
          <w:p>
            <w:pPr>
              <w:spacing w:after="60"/>
            </w:pPr>
            <w:r>
              <w:t xml:space="preserve">For the Company</w:t>
            </w:r>
          </w:p>
          <w:p>
            <w:pPr>
              <w:spacing w:after="60"/>
            </w:pPr>
            <w:r>
              <w:rPr>
                <w:b/>
                <w:bCs/>
                <w:color w:val="1F5FAD"/>
              </w:rPr>
              <w:t xml:space="preserve">{{entity_legal_name}}</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200"/>
            </w:tcMar>
          </w:tcPr>
          <w:p>
            <w:pPr>
              <w:spacing w:after="60"/>
            </w:pPr>
            <w:r>
              <w:t xml:space="preserve">The Employee</w:t>
            </w:r>
          </w:p>
          <w:p>
            <w:pPr>
              <w:spacing w:after="60"/>
            </w:pPr>
            <w:r>
              <w:rPr>
                <w:b/>
                <w:bCs/>
                <w:color w:val="1F5FAD"/>
              </w:rPr>
              <w:t xml:space="preserve">{{employee_full_name}}</w:t>
            </w:r>
          </w:p>
        </w:tc>
      </w:tr>
      <w:tr>
        <w:tc>
          <w:tcPr>
            <w:tcW w:type="dxa" w:w="4819"/>
            <w:tcBorders>
              <w:top w:val="none" w:color="FFFFFF" w:sz="0"/>
              <w:left w:val="none" w:color="FFFFFF" w:sz="0"/>
              <w:bottom w:val="none" w:color="FFFFFF" w:sz="0"/>
              <w:right w:val="none" w:color="FFFFFF" w:sz="0"/>
            </w:tcBorders>
            <w:tcMar>
              <w:top w:type="dxa" w:w="60"/>
              <w:left w:type="dxa" w:w="80"/>
              <w:bottom w:type="dxa" w:w="60"/>
              <w:right w:type="dxa" w:w="200"/>
            </w:tcMar>
          </w:tcPr>
          <w:p>
            <w:pPr>
              <w:spacing w:after="60"/>
            </w:pPr>
          </w:p>
          <w:p>
            <w:pPr>
              <w:spacing w:after="60"/>
            </w:pPr>
            <w:r>
              <w:t xml:space="preserve">Signature: ______________________________</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200"/>
            </w:tcMar>
          </w:tcPr>
          <w:p>
            <w:pPr>
              <w:spacing w:after="60"/>
            </w:pPr>
          </w:p>
          <w:p>
            <w:pPr>
              <w:spacing w:after="60"/>
            </w:pPr>
            <w:r>
              <w:t xml:space="preserve">Signature: ______________________________</w:t>
            </w:r>
          </w:p>
        </w:tc>
      </w:tr>
      <w:tr>
        <w:tc>
          <w:tcPr>
            <w:tcW w:type="dxa" w:w="4819"/>
            <w:tcBorders>
              <w:top w:val="none" w:color="FFFFFF" w:sz="0"/>
              <w:left w:val="none" w:color="FFFFFF" w:sz="0"/>
              <w:bottom w:val="none" w:color="FFFFFF" w:sz="0"/>
              <w:right w:val="none" w:color="FFFFFF" w:sz="0"/>
            </w:tcBorders>
            <w:tcMar>
              <w:top w:type="dxa" w:w="60"/>
              <w:left w:type="dxa" w:w="80"/>
              <w:bottom w:type="dxa" w:w="60"/>
              <w:right w:type="dxa" w:w="200"/>
            </w:tcMar>
          </w:tcPr>
          <w:p>
            <w:pPr>
              <w:spacing w:after="60"/>
            </w:pPr>
            <w:r>
              <w:t xml:space="preserve">Name: </w:t>
            </w:r>
            <w:r>
              <w:rPr>
                <w:b/>
                <w:bCs/>
                <w:color w:val="1F5FAD"/>
              </w:rPr>
              <w:t xml:space="preserve">{{entity_signatory_name}}</w:t>
            </w:r>
          </w:p>
          <w:p>
            <w:pPr>
              <w:spacing w:after="60"/>
            </w:pPr>
            <w:r>
              <w:t xml:space="preserve">Title: </w:t>
            </w:r>
            <w:r>
              <w:rPr>
                <w:b/>
                <w:bCs/>
                <w:color w:val="1F5FAD"/>
              </w:rPr>
              <w:t xml:space="preserve">{{entity_signatory_title}}</w:t>
            </w:r>
          </w:p>
          <w:p>
            <w:pPr>
              <w:spacing w:after="60"/>
            </w:pPr>
            <w:r>
              <w:t xml:space="preserve">Date: ____________  Company stamp:</w:t>
            </w:r>
          </w:p>
        </w:tc>
        <w:tc>
          <w:tcPr>
            <w:tcW w:type="dxa" w:w="4819"/>
            <w:tcBorders>
              <w:top w:val="none" w:color="FFFFFF" w:sz="0"/>
              <w:left w:val="none" w:color="FFFFFF" w:sz="0"/>
              <w:bottom w:val="none" w:color="FFFFFF" w:sz="0"/>
              <w:right w:val="none" w:color="FFFFFF" w:sz="0"/>
            </w:tcBorders>
            <w:tcMar>
              <w:top w:type="dxa" w:w="60"/>
              <w:left w:type="dxa" w:w="80"/>
              <w:bottom w:type="dxa" w:w="60"/>
              <w:right w:type="dxa" w:w="200"/>
            </w:tcMar>
          </w:tcPr>
          <w:p>
            <w:pPr>
              <w:spacing w:after="60"/>
            </w:pPr>
            <w:r>
              <w:t xml:space="preserve">Emirates ID / Passport: </w:t>
            </w:r>
            <w:r>
              <w:rPr>
                <w:b/>
                <w:bCs/>
                <w:color w:val="1F5FAD"/>
              </w:rPr>
              <w:t xml:space="preserve">{{emirates_id_no}}</w:t>
            </w:r>
          </w:p>
          <w:p>
            <w:pPr>
              <w:spacing w:after="60"/>
            </w:pPr>
            <w:r>
              <w:t xml:space="preserve">Date: ____________</w:t>
            </w:r>
          </w:p>
        </w:tc>
      </w:tr>
    </w:tbl>
    <w:p>
      <w:pPr>
        <w:pStyle w:val="Heading1"/>
        <w:pageBreakBefore/>
        <w:spacing w:after="120"/>
      </w:pPr>
      <w:r>
        <w:t xml:space="preserve">Schedule 1 — Merge fields and system source (internal, remove before issue)</w:t>
      </w:r>
    </w:p>
    <w:p>
      <w:pPr>
        <w:spacing w:after="120" w:line="276"/>
      </w:pPr>
      <w:r>
        <w:rPr>
          <w:sz w:val="18"/>
          <w:szCs w:val="18"/>
        </w:rPr>
        <w:t xml:space="preserve">Source columns are in the Third State HR Supabase database. "Not stored yet" means the system has no field today and the value must be typed in or a column added. Checked against production schema on 27 Sept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4038"/>
        <w:gridCol w:w="1700"/>
      </w:tblGrid>
      <w:tr>
        <w:trPr>
          <w:tblHeader/>
        </w:trPr>
        <w:tc>
          <w:tcPr>
            <w:tcW w:type="dxa" w:w="39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tcPr>
          <w:p>
            <w:pPr>
              <w:spacing w:after="40"/>
            </w:pPr>
            <w:r>
              <w:rPr>
                <w:b/>
                <w:bCs/>
                <w:color w:val="FFFFFF"/>
              </w:rPr>
              <w:t xml:space="preserve">Merge field</w:t>
            </w:r>
          </w:p>
        </w:tc>
        <w:tc>
          <w:tcPr>
            <w:tcW w:type="dxa" w:w="4038"/>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tcPr>
          <w:p>
            <w:pPr>
              <w:spacing w:after="40"/>
            </w:pPr>
            <w:r>
              <w:rPr>
                <w:b/>
                <w:bCs/>
                <w:color w:val="FFFFFF"/>
              </w:rPr>
              <w:t xml:space="preserve">System source</w:t>
            </w:r>
          </w:p>
        </w:tc>
        <w:tc>
          <w:tcPr>
            <w:tcW w:type="dxa" w:w="1700"/>
            <w:tcBorders>
              <w:top w:val="single" w:color="BFC5CE" w:sz="4"/>
              <w:left w:val="single" w:color="BFC5CE" w:sz="4"/>
              <w:bottom w:val="single" w:color="BFC5CE" w:sz="4"/>
              <w:right w:val="single" w:color="BFC5CE" w:sz="4"/>
            </w:tcBorders>
            <w:shd w:fill="1F3A5F" w:color="auto" w:val="clear"/>
            <w:tcMar>
              <w:top w:type="dxa" w:w="70"/>
              <w:left w:type="dxa" w:w="110"/>
              <w:bottom w:type="dxa" w:w="70"/>
              <w:right w:type="dxa" w:w="110"/>
            </w:tcMar>
          </w:tcPr>
          <w:p>
            <w:pPr>
              <w:spacing w:after="40"/>
            </w:pPr>
            <w:r>
              <w:rPr>
                <w:b/>
                <w:bCs/>
                <w:color w:val="FFFFFF"/>
              </w:rPr>
              <w:t xml:space="preserve">Status</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{{entity_legal_name}}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entities.name (trading name only; no separate legal name)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Partial</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{{entity_trade_license_no}}</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entities.trade_license_no (column exists; empty for both entities)</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 not filled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{{entity_emirate}}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entities.emirate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{{entity_mohre_establishment_id}}</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entities.mohre_establishment_id</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{{entity_address}}</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{{entity_signatory_name}}</w:t>
            </w:r>
            <w:r>
              <w:rPr>
                <w:b/>
                <w:bCs/>
              </w:rPr>
              <w:t xml:space="preserve"> / </w:t>
            </w:r>
            <w:r>
              <w:rPr>
                <w:b/>
                <w:bCs/>
                <w:color w:val="1F5FAD"/>
              </w:rPr>
              <w:t xml:space="preserve">{{entity_signatory_title}}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{{contract_date}}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Generation date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Derived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{{mohre_contract_no}}</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 (labour card / work permit no. is in employee_identity_documents.labor_card_no)</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{{employee_code}}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 (only UUID employees.id)</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{{employee_full_name}}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employees.full_name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{{nationality}}</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employees.nationality (free text)</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{{date_of_birth}}</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employees.dob</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{{passport_no}}</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employee_identity_documents.passport_no (owner/entity admin only; no edit UI)</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 no input UI</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{{emirates_id_no}}</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employee_identity_documents.national_id_no (as above)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 no input UI</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{{employee_address}}</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{{employee_phone}}</w:t>
            </w:r>
            <w:r>
              <w:rPr>
                <w:b/>
                <w:bCs/>
              </w:rPr>
              <w:t xml:space="preserve"> / </w:t>
            </w:r>
            <w:r>
              <w:rPr>
                <w:b/>
                <w:bCs/>
                <w:color w:val="1F5FAD"/>
              </w:rPr>
              <w:t xml:space="preserve">{{employee_email}}</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employees.phone / employees.email</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{{emergency_contact_name}}</w:t>
            </w:r>
            <w:r>
              <w:rPr>
                <w:b/>
                <w:bCs/>
              </w:rPr>
              <w:t xml:space="preserve"> / </w:t>
            </w:r>
            <w:r>
              <w:rPr>
                <w:b/>
                <w:bCs/>
                <w:color w:val="1F5FAD"/>
              </w:rPr>
              <w:t xml:space="preserve">{{emergency_contact_phone}}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employees.emergency_contact_name / _phone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{{position_title}}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positions.title via employees.position_id</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{{work_location}}</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locations.name via employees.home_location_id (locations.address empty)</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{{employment_type}}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employees.employment_type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{{join_date}}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employees.join_date (from offers.proposed_start_date on conversion)</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{{probation_end_date}}</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employees.probation_end_date (not set on conversion; no 6-month check)</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{{probation_months}}</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Derived from join_date and probation_end_date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Derived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{{contract_end_date}}</w:t>
            </w:r>
            <w:r>
              <w:rPr>
                <w:b/>
                <w:bCs/>
              </w:rPr>
              <w:t xml:space="preserve"> / </w:t>
            </w:r>
            <w:r>
              <w:rPr>
                <w:b/>
                <w:bCs/>
                <w:color w:val="1F5FAD"/>
              </w:rPr>
              <w:t xml:space="preserve">{{contract_term}}</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{{basic_salary_aed}}</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employee_compensation.pay_rate where pay_type = monthly (single figure, not a basic/allowance split)</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Partial</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{{housing_allowance_aed}}</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{{transport_allowance_aed}}</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{{other_allowances_aed}}</w:t>
            </w:r>
            <w:r>
              <w:rPr>
                <w:b/>
                <w:bCs/>
              </w:rPr>
              <w:t xml:space="preserve"> / </w:t>
            </w:r>
            <w:r>
              <w:rPr>
                <w:b/>
                <w:bCs/>
                <w:color w:val="1F5FAD"/>
              </w:rPr>
              <w:t xml:space="preserve">{{other_allowances_description}}</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{{total_monthly_aed}}</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Derived once allowances exist</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{{overtime_multiplier}}</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employee_compensation.overtime_multiplier (default 1.5)</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{{holiday_multiplier}}</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employee_compensation.holiday_multiplier (default 2.0)</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{{payroll_day}}</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entities.payroll_day</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{{bank_iban}}</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employee_identity_documents.bank_iban (no input UI; 0 filled)</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Stored, no input UI</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{{working_hours}}</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 (only per-shift times / schedule templates)</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{{rest_day}}</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{{annual_leave_days}}</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leave_accrual_policies (entity-level policy, not per contract)</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Partial</w:t>
            </w:r>
          </w:p>
        </w:tc>
      </w:tr>
      <w:tr>
        <w:trPr>
          <w:tblHeader w:val="false"/>
        </w:trPr>
        <w:tc>
          <w:tcPr>
            <w:tcW w:type="dxa" w:w="3900"/>
            <w:tcBorders>
              <w:top w:val="single" w:color="BFC5CE" w:sz="4"/>
              <w:left w:val="single" w:color="BFC5CE" w:sz="4"/>
              <w:bottom w:val="single" w:color="BFC5CE" w:sz="4"/>
              <w:right w:val="single" w:color="BFC5CE" w:sz="4"/>
            </w:tcBorders>
            <w:shd w:fill="F2F4F7" w:color="auto" w:val="clear"/>
            <w:tcMar>
              <w:top w:type="dxa" w:w="70"/>
              <w:left w:type="dxa" w:w="110"/>
              <w:bottom w:type="dxa" w:w="70"/>
              <w:right w:type="dxa" w:w="110"/>
            </w:tcMar>
          </w:tcPr>
          <w:p>
            <w:pPr>
              <w:spacing w:after="40"/>
            </w:pPr>
            <w:r>
              <w:rPr>
                <w:b/>
                <w:bCs/>
                <w:color w:val="1F5FAD"/>
              </w:rPr>
              <w:t xml:space="preserve">{{notice_period_days}}</w:t>
            </w:r>
          </w:p>
        </w:tc>
        <w:tc>
          <w:tcPr>
            <w:tcW w:type="dxa" w:w="4038"/>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w:t>
            </w:r>
          </w:p>
        </w:tc>
        <w:tc>
          <w:tcPr>
            <w:tcW w:type="dxa" w:w="1700"/>
            <w:tcBorders>
              <w:top w:val="single" w:color="BFC5CE" w:sz="4"/>
              <w:left w:val="single" w:color="BFC5CE" w:sz="4"/>
              <w:bottom w:val="single" w:color="BFC5CE" w:sz="4"/>
              <w:right w:val="single" w:color="BFC5CE" w:sz="4"/>
            </w:tcBorders>
            <w:tcMar>
              <w:top w:type="dxa" w:w="70"/>
              <w:left w:type="dxa" w:w="110"/>
              <w:bottom w:type="dxa" w:w="70"/>
              <w:right w:type="dxa" w:w="110"/>
            </w:tcMar>
          </w:tcPr>
          <w:p>
            <w:pPr>
              <w:spacing w:after="40"/>
            </w:pPr>
            <w:r>
              <w:t xml:space="preserve">Not stored yet</w:t>
            </w:r>
          </w:p>
        </w:tc>
      </w:tr>
    </w:tbl>
    <w:p>
      <w:pPr>
        <w:pStyle w:val="Heading2"/>
        <w:spacing w:after="100" w:before="240"/>
      </w:pPr>
      <w:r>
        <w:t xml:space="preserve">Legal references used (checked 27 Sept 2026)</w:t>
      </w:r>
    </w:p>
    <w:p>
      <w:pPr>
        <w:pStyle w:val="ListParagraph"/>
        <w:numPr>
          <w:ilvl w:val="0"/>
          <w:numId w:val="2"/>
        </w:numPr>
        <w:spacing w:after="80" w:line="264"/>
      </w:pPr>
      <w:r>
        <w:t xml:space="preserve">Federal Decree-Law No. 33 of 2021 Regulating Labour Relations — Arts 6(4), 8, 9, 10, 13, 17–19, 21, 22, 25, 28–32, 43, 51, 53 (uaelegislation.gov.ae/en/legislations/1541).</w:t>
      </w:r>
    </w:p>
    <w:p>
      <w:pPr>
        <w:pStyle w:val="ListParagraph"/>
        <w:numPr>
          <w:ilvl w:val="0"/>
          <w:numId w:val="2"/>
        </w:numPr>
        <w:spacing w:after="80" w:line="264"/>
      </w:pPr>
      <w:r>
        <w:t xml:space="preserve">Cabinet Resolution No. 1 of 2022 (Executive Regulation) — Art 10 (contract contents), Art 15(2) (Ramadan −2 hours), Art 16 (WPS), Art 18 (part-time leave) (uaelegislation.gov.ae/en/legislations/1547).</w:t>
      </w:r>
    </w:p>
    <w:p>
      <w:pPr>
        <w:pStyle w:val="ListParagraph"/>
        <w:numPr>
          <w:ilvl w:val="0"/>
          <w:numId w:val="2"/>
        </w:numPr>
        <w:spacing w:after="80" w:line="264"/>
      </w:pPr>
      <w:r>
        <w:t xml:space="preserve">Federal Decree-Law No. 9 of 2024 (effective 30 Aug 2024) amending Arts 54 and 60: two-year claim limitation, fines AED 100,000–1,000,000.</w:t>
      </w:r>
    </w:p>
    <w:p>
      <w:pPr>
        <w:pStyle w:val="ListParagraph"/>
        <w:numPr>
          <w:ilvl w:val="0"/>
          <w:numId w:val="2"/>
        </w:numPr>
        <w:spacing w:after="80" w:line="264"/>
      </w:pPr>
      <w:r>
        <w:t xml:space="preserve">MOHRE Basic Health Insurance Scheme — mandatory for residence permits issued/renewed from 1 Jan 2025 in Sharjah and the northern Emirates (mohre.gov.ae).</w:t>
      </w:r>
    </w:p>
    <w:p>
      <w:pPr>
        <w:pStyle w:val="ListParagraph"/>
        <w:numPr>
          <w:ilvl w:val="0"/>
          <w:numId w:val="2"/>
        </w:numPr>
        <w:spacing w:after="80" w:line="264"/>
      </w:pPr>
      <w:r>
        <w:t xml:space="preserve">Federal Decree-Law No. 45 of 2021 on the Protection of Personal Data (u.ae data protection laws page).</w:t>
      </w:r>
    </w:p>
    <w:p>
      <w:pPr>
        <w:pStyle w:val="ListParagraph"/>
        <w:numPr>
          <w:ilvl w:val="0"/>
          <w:numId w:val="2"/>
        </w:numPr>
        <w:spacing w:after="80" w:line="264"/>
      </w:pPr>
      <w:r>
        <w:t xml:space="preserve">Municipal food-handler / occupational health requirements (Dubai Municipality, Sharjah Municipality): not verified from an official source — confirm before use.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666666"/>
        <w:sz w:val="15"/>
        <w:szCs w:val="15"/>
      </w:rPr>
      <w:t xml:space="preserve">Employment Agreement — {{employee_full_name}}   Employer initials ____  Employee initials ____</w:t>
    </w:r>
    <w:r>
      <w:rPr>
        <w:color w:val="666666"/>
        <w:sz w:val="15"/>
        <w:szCs w:val="15"/>
      </w:rPr>
      <w:t xml:space="preserve">	Page </w:t>
    </w:r>
    <w:r>
      <w:rPr>
        <w:color w:val="666666"/>
        <w:sz w:val="15"/>
        <w:szCs w:val="15"/>
      </w:rPr>
      <w:fldChar w:fldCharType="begin"/>
      <w:instrText xml:space="preserve">PAGE</w:instrText>
      <w:fldChar w:fldCharType="separate"/>
      <w:fldChar w:fldCharType="end"/>
    </w:r>
    <w:r>
      <w:rPr>
        <w:color w:val="666666"/>
        <w:sz w:val="15"/>
        <w:szCs w:val="15"/>
      </w:rPr>
      <w:t xml:space="preserve"> of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A05A00"/>
        <w:sz w:val="14"/>
        <w:szCs w:val="14"/>
      </w:rPr>
      <w:t xml:space="preserve">TEMPLATE — NOT FOR SIGNATURE UNTIL LEGALLY REVIEWED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Arial" w:cs="Arial" w:eastAsia="Arial" w:hAnsi="Arial"/>
      <w:b/>
      <w:bCs/>
      <w:color w:val="1F3A5F"/>
      <w:sz w:val="40"/>
      <w:szCs w:val="40"/>
    </w:rPr>
  </w:style>
  <w:style w:type="paragraph" w:styleId="Heading1">
    <w:name w:val="Heading 1"/>
    <w:basedOn w:val="Normal"/>
    <w:next w:val="Normal"/>
    <w:qFormat/>
    <w:pPr>
      <w:outlineLvl w:val="0"/>
    </w:pPr>
    <w:rPr>
      <w:rFonts w:ascii="Arial" w:cs="Arial" w:eastAsia="Arial" w:hAnsi="Arial"/>
      <w:b/>
      <w:bCs/>
      <w:color w:val="1F3A5F"/>
      <w:sz w:val="24"/>
      <w:szCs w:val="24"/>
    </w:rPr>
  </w:style>
  <w:style w:type="paragraph" w:styleId="Heading2">
    <w:name w:val="Heading 2"/>
    <w:basedOn w:val="Normal"/>
    <w:next w:val="Normal"/>
    <w:qFormat/>
    <w:pPr>
      <w:outlineLvl w:val="1"/>
    </w:pPr>
    <w:rPr>
      <w:rFonts w:ascii="Arial" w:cs="Arial" w:eastAsia="Arial" w:hAnsi="Arial"/>
      <w:b/>
      <w:bCs/>
      <w:color w:val="1F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Employment Agreement Template (F&amp;B)</dc:title>
  <dc:creator>Third State HR</dc:creator>
  <dc:description>Supplementary employment agreement template</dc:description>
  <cp:lastModifiedBy>Un-named</cp:lastModifiedBy>
  <cp:revision>1</cp:revision>
  <dcterms:created xsi:type="dcterms:W3CDTF">2026-09-26T20:22:21.854Z</dcterms:created>
  <dcterms:modified xsi:type="dcterms:W3CDTF">2026-09-26T20:22:21.855Z</dcterms:modified>
</cp:coreProperties>
</file>

<file path=docProps/custom.xml><?xml version="1.0" encoding="utf-8"?>
<Properties xmlns="http://schemas.openxmlformats.org/officeDocument/2006/custom-properties" xmlns:vt="http://schemas.openxmlformats.org/officeDocument/2006/docPropsVTypes"/>
</file>