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FB67E">
      <w:pPr>
        <w:spacing w:after="156" w:afterLines="50" w:line="360" w:lineRule="auto"/>
        <w:ind w:firstLine="723" w:firstLineChars="200"/>
        <w:jc w:val="center"/>
        <w:rPr>
          <w:rFonts w:hint="eastAsia" w:cs="宋体" w:asciiTheme="majorEastAsia" w:hAnsiTheme="majorEastAsia" w:eastAsiaTheme="majorEastAsia"/>
          <w:b/>
          <w:bCs/>
          <w:sz w:val="36"/>
          <w:szCs w:val="36"/>
        </w:rPr>
      </w:pPr>
      <w:r>
        <w:rPr>
          <w:rFonts w:cs="宋体" w:asciiTheme="majorEastAsia" w:hAnsiTheme="majorEastAsia" w:eastAsiaTheme="majorEastAsia"/>
          <w:b/>
          <w:bCs/>
          <w:sz w:val="36"/>
          <w:szCs w:val="36"/>
        </w:rPr>
        <w:t>变化中的永恒</w:t>
      </w:r>
    </w:p>
    <w:p w14:paraId="48E8EA19">
      <w:pPr>
        <w:spacing w:after="156" w:afterLines="50" w:line="360" w:lineRule="auto"/>
        <w:ind w:firstLine="602" w:firstLineChars="200"/>
        <w:jc w:val="center"/>
        <w:rPr>
          <w:rFonts w:hint="eastAsia" w:cs="仿宋" w:asciiTheme="majorEastAsia" w:hAnsiTheme="majorEastAsia" w:eastAsiaTheme="majorEastAsia"/>
          <w:b/>
          <w:bCs/>
          <w:sz w:val="30"/>
          <w:szCs w:val="30"/>
        </w:rPr>
      </w:pPr>
      <w:r>
        <w:rPr>
          <w:rFonts w:hint="eastAsia" w:cs="仿宋" w:asciiTheme="majorEastAsia" w:hAnsiTheme="majorEastAsia" w:eastAsiaTheme="majorEastAsia"/>
          <w:b/>
          <w:bCs/>
          <w:sz w:val="30"/>
          <w:szCs w:val="30"/>
        </w:rPr>
        <w:t>——论中国民间音乐旋律发展中的“循环”逻辑</w:t>
      </w:r>
    </w:p>
    <w:p w14:paraId="4115EA83">
      <w:pPr>
        <w:spacing w:after="156" w:afterLines="50" w:line="360" w:lineRule="auto"/>
        <w:ind w:firstLine="480" w:firstLineChars="200"/>
        <w:jc w:val="center"/>
        <w:rPr>
          <w:rFonts w:ascii="宋体" w:hAnsi="宋体" w:eastAsia="宋体" w:cs="宋体"/>
          <w:sz w:val="24"/>
        </w:rPr>
      </w:pPr>
    </w:p>
    <w:p w14:paraId="2A699142">
      <w:pPr>
        <w:spacing w:after="156" w:afterLines="50" w:line="360" w:lineRule="auto"/>
        <w:ind w:firstLine="480" w:firstLineChars="200"/>
        <w:jc w:val="center"/>
        <w:rPr>
          <w:rFonts w:hint="eastAsia" w:ascii="宋体" w:hAnsi="宋体" w:eastAsia="宋体" w:cs="宋体"/>
          <w:sz w:val="24"/>
        </w:rPr>
      </w:pPr>
      <w:r>
        <w:rPr>
          <w:rFonts w:hint="eastAsia" w:ascii="宋体" w:hAnsi="宋体" w:eastAsia="宋体" w:cs="宋体"/>
          <w:sz w:val="24"/>
        </w:rPr>
        <w:t>单奕翔</w:t>
      </w:r>
    </w:p>
    <w:p w14:paraId="23AD32F5">
      <w:pPr>
        <w:spacing w:after="156" w:afterLines="50" w:line="360" w:lineRule="auto"/>
        <w:ind w:firstLine="482" w:firstLineChars="200"/>
        <w:jc w:val="left"/>
        <w:rPr>
          <w:rFonts w:ascii="宋体" w:hAnsi="宋体" w:eastAsia="宋体" w:cs="宋体"/>
          <w:b/>
          <w:bCs/>
          <w:sz w:val="24"/>
        </w:rPr>
      </w:pPr>
    </w:p>
    <w:p w14:paraId="2EF65217">
      <w:pPr>
        <w:spacing w:after="156" w:afterLines="50" w:line="360" w:lineRule="auto"/>
        <w:ind w:firstLine="482" w:firstLineChars="200"/>
        <w:jc w:val="left"/>
        <w:rPr>
          <w:rFonts w:hint="eastAsia" w:ascii="宋体" w:hAnsi="宋体" w:eastAsia="宋体" w:cs="宋体"/>
          <w:sz w:val="24"/>
        </w:rPr>
      </w:pPr>
      <w:r>
        <w:rPr>
          <w:rFonts w:hint="eastAsia" w:ascii="宋体" w:hAnsi="宋体" w:eastAsia="宋体" w:cs="宋体"/>
          <w:b/>
          <w:bCs/>
          <w:sz w:val="24"/>
        </w:rPr>
        <w:t>摘要：</w:t>
      </w:r>
      <w:r>
        <w:rPr>
          <w:rFonts w:hint="eastAsia" w:ascii="宋体" w:hAnsi="宋体" w:eastAsia="宋体" w:cs="宋体"/>
          <w:sz w:val="24"/>
        </w:rPr>
        <w:t>中国民间音乐旋律发展中大量存在着“循环”手法，它包括作为音乐曲体结构的循环体，也包括旋律发展中重复和衍生旋律的发展手法，形成中国民间音乐在旋律发展中的内在逻辑。本文从循环原则、循环路径以及对循环逻辑的哲理阐释三个层面对循环逻辑进行讨论，解读出中国民间</w:t>
      </w:r>
      <w:r>
        <w:rPr>
          <w:rFonts w:ascii="宋体" w:hAnsi="宋体" w:eastAsia="宋体" w:cs="宋体"/>
          <w:sz w:val="24"/>
        </w:rPr>
        <w:t>音乐中的</w:t>
      </w:r>
      <w:r>
        <w:rPr>
          <w:rFonts w:hint="eastAsia" w:ascii="宋体" w:hAnsi="宋体" w:eastAsia="宋体" w:cs="宋体"/>
          <w:sz w:val="24"/>
        </w:rPr>
        <w:t>循环逻辑是音乐重复与变化的重要因素。循环不仅为旋律提供了重复再现的条件，也为新生旋律的形成提供了</w:t>
      </w:r>
      <w:r>
        <w:rPr>
          <w:rFonts w:ascii="宋体" w:hAnsi="宋体" w:eastAsia="宋体" w:cs="宋体"/>
          <w:sz w:val="24"/>
        </w:rPr>
        <w:t>表达框架。</w:t>
      </w:r>
    </w:p>
    <w:p w14:paraId="3AB81047">
      <w:pPr>
        <w:spacing w:after="156" w:afterLines="50" w:line="360" w:lineRule="auto"/>
        <w:ind w:firstLine="482" w:firstLineChars="200"/>
        <w:jc w:val="left"/>
        <w:rPr>
          <w:rFonts w:hint="eastAsia" w:ascii="宋体" w:hAnsi="宋体" w:eastAsia="宋体" w:cs="宋体"/>
          <w:sz w:val="24"/>
        </w:rPr>
      </w:pPr>
      <w:r>
        <w:rPr>
          <w:rFonts w:hint="eastAsia" w:ascii="宋体" w:hAnsi="宋体" w:eastAsia="宋体" w:cs="宋体"/>
          <w:b/>
          <w:bCs/>
          <w:sz w:val="24"/>
        </w:rPr>
        <w:t>关键词：</w:t>
      </w:r>
      <w:r>
        <w:rPr>
          <w:rFonts w:hint="eastAsia" w:ascii="宋体" w:hAnsi="宋体" w:eastAsia="宋体" w:cs="宋体"/>
          <w:sz w:val="24"/>
        </w:rPr>
        <w:t>中国民间音乐；非线性时间；循环逻辑</w:t>
      </w:r>
    </w:p>
    <w:p w14:paraId="4255380E">
      <w:pPr>
        <w:spacing w:after="156" w:afterLines="50" w:line="360" w:lineRule="auto"/>
        <w:ind w:firstLine="482" w:firstLineChars="200"/>
        <w:jc w:val="left"/>
        <w:rPr>
          <w:rFonts w:hint="eastAsia" w:ascii="宋体" w:hAnsi="宋体" w:eastAsia="宋体" w:cs="宋体"/>
          <w:sz w:val="24"/>
        </w:rPr>
      </w:pPr>
      <w:r>
        <w:rPr>
          <w:rFonts w:hint="eastAsia" w:ascii="宋体" w:hAnsi="宋体" w:eastAsia="宋体" w:cs="宋体"/>
          <w:b/>
          <w:bCs/>
          <w:sz w:val="24"/>
        </w:rPr>
        <w:t>作者简介：</w:t>
      </w:r>
      <w:r>
        <w:rPr>
          <w:rFonts w:hint="eastAsia" w:ascii="宋体" w:hAnsi="宋体" w:eastAsia="宋体" w:cs="宋体"/>
          <w:sz w:val="24"/>
        </w:rPr>
        <w:t>单奕翔（2001—  ），男，汉族，中央音乐学院音乐学系硕士研究生。</w:t>
      </w:r>
    </w:p>
    <w:p w14:paraId="5A5436C5">
      <w:pPr>
        <w:spacing w:after="156" w:afterLines="50" w:line="360" w:lineRule="auto"/>
        <w:ind w:firstLine="480" w:firstLineChars="200"/>
        <w:jc w:val="left"/>
        <w:rPr>
          <w:rFonts w:hint="eastAsia" w:ascii="宋体" w:hAnsi="宋体" w:eastAsia="宋体" w:cs="宋体"/>
          <w:sz w:val="24"/>
        </w:rPr>
      </w:pPr>
    </w:p>
    <w:p w14:paraId="6BC5FA8E">
      <w:pPr>
        <w:spacing w:after="156" w:afterLines="50" w:line="360" w:lineRule="auto"/>
        <w:ind w:firstLine="480" w:firstLineChars="200"/>
        <w:jc w:val="left"/>
        <w:rPr>
          <w:sz w:val="24"/>
        </w:rPr>
      </w:pPr>
      <w:r>
        <w:rPr>
          <w:rFonts w:hint="eastAsia"/>
          <w:sz w:val="24"/>
        </w:rPr>
        <w:t>在中国民间音乐理论中，学者们通常将“循环”视为一种曲体结构，李西安、军驰所著的《中国民族曲式》一书早在</w:t>
      </w:r>
      <w:r>
        <w:rPr>
          <w:rFonts w:hint="eastAsia" w:asciiTheme="minorEastAsia" w:hAnsiTheme="minorEastAsia"/>
          <w:sz w:val="24"/>
        </w:rPr>
        <w:t>1960年</w:t>
      </w:r>
      <w:r>
        <w:rPr>
          <w:rFonts w:hint="eastAsia"/>
          <w:sz w:val="24"/>
        </w:rPr>
        <w:t>代就已有了对民间音乐“循环体”的论述：“在两个或两个以上段落组成的乐曲中，有一部分音乐反复出现达两次或两次以上，而在它各次出现之间，插入由新材料构成的部分，这种曲式称为循环体。”</w:t>
      </w:r>
      <w:r>
        <w:rPr>
          <w:rStyle w:val="10"/>
          <w:rFonts w:hint="eastAsia"/>
          <w:sz w:val="24"/>
        </w:rPr>
        <w:footnoteReference w:id="0"/>
      </w:r>
      <w:r>
        <w:rPr>
          <w:rFonts w:hint="eastAsia"/>
          <w:sz w:val="24"/>
        </w:rPr>
        <w:t>此外，李民雄</w:t>
      </w:r>
      <w:r>
        <w:rPr>
          <w:rFonts w:hint="eastAsia" w:ascii="宋体" w:hAnsi="宋体" w:eastAsia="宋体"/>
          <w:sz w:val="24"/>
        </w:rPr>
        <w:t>在80年代同样提出了关于循环体的概念，即“由主题段落间隔地循环再现（或变化再现）所构成的乐曲为循环体。”</w:t>
      </w:r>
      <w:r>
        <w:rPr>
          <w:rStyle w:val="10"/>
          <w:rFonts w:hint="eastAsia" w:ascii="宋体" w:hAnsi="宋体" w:eastAsia="宋体"/>
          <w:sz w:val="24"/>
        </w:rPr>
        <w:footnoteReference w:id="1"/>
      </w:r>
      <w:r>
        <w:rPr>
          <w:rFonts w:hint="eastAsia" w:ascii="宋体" w:hAnsi="宋体" w:eastAsia="宋体"/>
          <w:sz w:val="24"/>
        </w:rPr>
        <w:t>李吉提则在此基础上将循环体划分为两个不同段落的交替循环（ABAB………）、相同段落串联不同段落（ABCADAE……）、相同音色串联不同段落和其他循环结构（合头、合</w:t>
      </w:r>
      <w:r>
        <w:rPr>
          <w:rFonts w:hint="eastAsia"/>
          <w:sz w:val="24"/>
        </w:rPr>
        <w:t>尾）四种类型。</w:t>
      </w:r>
      <w:r>
        <w:rPr>
          <w:rStyle w:val="10"/>
          <w:rFonts w:hint="eastAsia"/>
          <w:sz w:val="24"/>
        </w:rPr>
        <w:footnoteReference w:id="2"/>
      </w:r>
      <w:r>
        <w:rPr>
          <w:rFonts w:hint="eastAsia"/>
          <w:sz w:val="24"/>
        </w:rPr>
        <w:t>储历的定义则更为简洁：“以循环手法为结构原则的音乐结构。”</w:t>
      </w:r>
      <w:r>
        <w:rPr>
          <w:rStyle w:val="10"/>
          <w:rFonts w:hint="eastAsia"/>
          <w:sz w:val="24"/>
        </w:rPr>
        <w:footnoteReference w:id="3"/>
      </w:r>
      <w:r>
        <w:rPr>
          <w:rFonts w:hint="eastAsia"/>
          <w:sz w:val="24"/>
        </w:rPr>
        <w:t>在上述前人研究的观念表述中不难看出，“循环”一词实际上隐含着一种手法意义。然而，深入探讨可以发现，首先，包括民间歌曲、歌舞、说唱、戏曲、器乐在内的中国民间音乐中，音乐材料并非总是进行规律性、周期性循环；其次，部分民间音乐中循环着的音乐材料数目并不固定，单一材料也可构成循环，多材料循环也不少见；最后，部分情况下民间音乐中循环着的音乐并不一定构成完整的乐段，这种情况下也很难在曲体结构划分中体现其循环意义。按照现代汉语的基本词义概念，“循环”一词指“事物周而复始地运动或变化。”</w:t>
      </w:r>
      <w:r>
        <w:rPr>
          <w:rStyle w:val="10"/>
          <w:rFonts w:hint="eastAsia"/>
          <w:sz w:val="24"/>
        </w:rPr>
        <w:footnoteReference w:id="4"/>
      </w:r>
      <w:r>
        <w:rPr>
          <w:rFonts w:hint="eastAsia"/>
          <w:sz w:val="24"/>
        </w:rPr>
        <w:t>究其本意，循环一词在音乐中的含义并不一定局限于模式化的曲体结构中。</w:t>
      </w:r>
    </w:p>
    <w:p w14:paraId="252A155F">
      <w:pPr>
        <w:spacing w:after="156" w:afterLines="50" w:line="360" w:lineRule="auto"/>
        <w:ind w:firstLine="480" w:firstLineChars="200"/>
        <w:jc w:val="left"/>
        <w:rPr>
          <w:sz w:val="24"/>
        </w:rPr>
      </w:pPr>
      <w:r>
        <w:rPr>
          <w:rFonts w:hint="eastAsia"/>
          <w:sz w:val="24"/>
        </w:rPr>
        <w:t>本文论述的核心概念——“循环”是针对民间音乐中存在着的构曲过程中循环逻辑的阐释，认为循环是中国人在曲调结构方面的一种思维方式。循环不仅存在于民间音乐的曲体结构中，还存在于即兴的音乐呈现中。作为构曲逻辑的“循环”概念远超某种固定的曲式结构，几乎遍布全球各地的音乐中。从欧洲中世纪的叠歌（</w:t>
      </w:r>
      <w:r>
        <w:t>Layered Song</w:t>
      </w:r>
      <w:r>
        <w:rPr>
          <w:rFonts w:hint="eastAsia"/>
        </w:rPr>
        <w:t>）</w:t>
      </w:r>
      <w:r>
        <w:rPr>
          <w:rFonts w:hint="eastAsia"/>
          <w:sz w:val="24"/>
        </w:rPr>
        <w:t>，到古典音乐中的回旋曲式（</w:t>
      </w:r>
      <w:r>
        <w:t>Rondo Form</w:t>
      </w:r>
      <w:r>
        <w:rPr>
          <w:rFonts w:hint="eastAsia"/>
          <w:sz w:val="24"/>
        </w:rPr>
        <w:t>）；从印度的拉格（Raga）与塔拉（Tala），到西非的金贝鼓乐（</w:t>
      </w:r>
      <w:r>
        <w:t>Djembe Drumming</w:t>
      </w:r>
      <w:r>
        <w:rPr>
          <w:rFonts w:hint="eastAsia"/>
          <w:sz w:val="24"/>
        </w:rPr>
        <w:t>）和科拉琴音乐（</w:t>
      </w:r>
      <w:r>
        <w:t>Kora</w:t>
      </w:r>
      <w:r>
        <w:rPr>
          <w:rFonts w:hint="eastAsia"/>
          <w:sz w:val="24"/>
        </w:rPr>
        <w:t>），再到日本的雅乐（</w:t>
      </w:r>
      <w:r>
        <w:t>Gagaku</w:t>
      </w:r>
      <w:r>
        <w:rPr>
          <w:rFonts w:hint="eastAsia"/>
          <w:sz w:val="24"/>
        </w:rPr>
        <w:t>）与能乐（</w:t>
      </w:r>
      <w:r>
        <w:t>Noh</w:t>
      </w:r>
      <w:r>
        <w:rPr>
          <w:rFonts w:hint="eastAsia"/>
          <w:sz w:val="24"/>
        </w:rPr>
        <w:t>），甚至在现代简约主义作曲家的创作尝试中同样可见，各自展现出丰富的面貌。然而，循环作为一种构曲逻辑，在中国民间音乐中体现得尤为多样与独特。</w:t>
      </w:r>
    </w:p>
    <w:p w14:paraId="5A8293AF">
      <w:pPr>
        <w:spacing w:after="156" w:afterLines="50" w:line="360" w:lineRule="auto"/>
        <w:ind w:firstLine="480" w:firstLineChars="200"/>
        <w:jc w:val="left"/>
        <w:rPr>
          <w:sz w:val="24"/>
        </w:rPr>
      </w:pPr>
      <w:r>
        <w:rPr>
          <w:rFonts w:hint="eastAsia"/>
          <w:sz w:val="24"/>
        </w:rPr>
        <w:t>在以民间歌曲、歌舞、说唱、戏曲、器乐等类型音乐为研究对象的中国民间音乐中，循环不仅仅是形式上的重复，它还蕴含着特有的构曲思维逻辑。在这种循环中，每一次旋律的回旋不仅塑造了韵律的起伏，还通过不断的重复赋予旋律新的情感与意义。循环通过形式上的再现，延续了时间的流动与情感的起伏。它通过周期性的回归，承载着多重的存在维度。在重复过去的同时，循环也在无声处为未来开辟了新的可能性。这一循环的过程，在结构、原则和系统的不同层面上，展现了永恒与瞬息的交替。</w:t>
      </w:r>
    </w:p>
    <w:p w14:paraId="5E6886ED">
      <w:pPr>
        <w:pStyle w:val="2"/>
        <w:widowControl/>
        <w:jc w:val="center"/>
      </w:pPr>
      <w:r>
        <w:t>一、循环原则：递归与衍生的交互生成</w:t>
      </w:r>
    </w:p>
    <w:p w14:paraId="6B0D1094">
      <w:pPr>
        <w:spacing w:after="156" w:afterLines="50" w:line="360" w:lineRule="auto"/>
        <w:ind w:firstLine="480" w:firstLineChars="200"/>
        <w:rPr>
          <w:sz w:val="24"/>
        </w:rPr>
      </w:pPr>
      <w:r>
        <w:rPr>
          <w:rFonts w:hint="eastAsia"/>
          <w:color w:val="000000" w:themeColor="text1"/>
          <w:sz w:val="24"/>
          <w14:textFill>
            <w14:solidFill>
              <w14:schemeClr w14:val="tx1"/>
            </w14:solidFill>
          </w14:textFill>
        </w:rPr>
        <w:t>在中国民间音乐的循环结构中存在着两种结构方式，笔者将其称之为递归（recursion）</w:t>
      </w:r>
      <w:r>
        <w:rPr>
          <w:rStyle w:val="10"/>
          <w:rFonts w:hint="eastAsia"/>
          <w:color w:val="000000" w:themeColor="text1"/>
          <w:sz w:val="24"/>
          <w14:textFill>
            <w14:solidFill>
              <w14:schemeClr w14:val="tx1"/>
            </w14:solidFill>
          </w14:textFill>
        </w:rPr>
        <w:footnoteReference w:id="5"/>
      </w:r>
      <w:r>
        <w:rPr>
          <w:rFonts w:hint="eastAsia"/>
          <w:color w:val="000000" w:themeColor="text1"/>
          <w:sz w:val="24"/>
          <w14:textFill>
            <w14:solidFill>
              <w14:schemeClr w14:val="tx1"/>
            </w14:solidFill>
          </w14:textFill>
        </w:rPr>
        <w:t>与衍生，它们是构曲的核心思维方式，共同塑造了音乐的旋律形态方式。递归强调</w:t>
      </w:r>
      <w:r>
        <w:rPr>
          <w:rFonts w:hint="eastAsia"/>
          <w:sz w:val="24"/>
        </w:rPr>
        <w:t>结构变化中的重复和自相似性，可解读为中国民间音乐循环逻辑的一种表现手段。在前人对民间音乐“循环体”的论述中，常引用西方专业艺术音乐创作中的“回旋曲式”概念进行对比。实际上，中国民间音乐与西方专业音乐在对待二者的重要分歧在于中国民间音乐的</w:t>
      </w:r>
      <w:r>
        <w:rPr>
          <w:rFonts w:hint="eastAsia"/>
          <w:color w:val="000000" w:themeColor="text1"/>
          <w:sz w:val="24"/>
          <w14:textFill>
            <w14:solidFill>
              <w14:schemeClr w14:val="tx1"/>
            </w14:solidFill>
          </w14:textFill>
        </w:rPr>
        <w:t>循环逻辑强调原本材料的一次次回归，而回旋曲式更侧重插部带来的对比。在中国民间音乐中，循环着的材料不一定规整与可量化，循环材料自身会变化，另一方面新材料也会变化。这些特点可根据前人的思路并借鉴“递归”一词予以概括。通过递归，旋律、</w:t>
      </w:r>
      <w:r>
        <w:rPr>
          <w:rFonts w:hint="eastAsia"/>
          <w:sz w:val="24"/>
        </w:rPr>
        <w:t>节奏或音型以嵌套的方式不断反复，这种重复不仅发生在微观层面的小规模结构中，也延续到宏观的整体构建。</w:t>
      </w:r>
    </w:p>
    <w:p w14:paraId="6F41FFD7">
      <w:pPr>
        <w:spacing w:after="156" w:afterLines="50" w:line="360" w:lineRule="auto"/>
        <w:ind w:firstLine="480" w:firstLineChars="200"/>
        <w:jc w:val="left"/>
        <w:rPr>
          <w:sz w:val="24"/>
        </w:rPr>
      </w:pPr>
      <w:r>
        <w:rPr>
          <w:rFonts w:hint="eastAsia"/>
          <w:sz w:val="24"/>
        </w:rPr>
        <w:t>衍生则侧重于音乐的变化与发展。尽管循环往往体现为某种重复，但在每一次重复中，都融入了新的层次和多样性，使得音乐在变化中不断前进。衍生贯穿于旋律、节奏、速度和情感的多维度发展，是推动音乐前行的重要动力。中国民间音乐中的递归与衍生并不是对立的，而是相辅相成，共同塑造音乐的整体结构。递归提供了稳定的框架与基本模式，而衍生则通过细微的变化赋予音乐动态的张力与情感表达。二者结合，既确保了音乐形式的统一性，又通过变化展现了丰富的多样性。</w:t>
      </w:r>
    </w:p>
    <w:p w14:paraId="5200C188">
      <w:pPr>
        <w:pStyle w:val="3"/>
        <w:widowControl/>
        <w:ind w:firstLine="482" w:firstLineChars="200"/>
      </w:pPr>
      <w:r>
        <w:t>（一）宏观结构下的递归现象</w:t>
      </w:r>
    </w:p>
    <w:p w14:paraId="020D63F0">
      <w:pPr>
        <w:spacing w:after="156" w:afterLines="50" w:line="360" w:lineRule="auto"/>
        <w:ind w:firstLine="480" w:firstLineChars="200"/>
        <w:jc w:val="left"/>
        <w:rPr>
          <w:sz w:val="24"/>
        </w:rPr>
      </w:pPr>
      <w:r>
        <w:rPr>
          <w:rFonts w:hint="eastAsia"/>
          <w:sz w:val="24"/>
        </w:rPr>
        <w:t>在中国民间音乐中，有学者认为，循环结构应该遵循“主要音乐材料多次出现，其间穿插由其他材料构成的对比部分”的分析思路。</w:t>
      </w:r>
      <w:r>
        <w:rPr>
          <w:rStyle w:val="10"/>
          <w:rFonts w:hint="eastAsia"/>
          <w:sz w:val="24"/>
        </w:rPr>
        <w:footnoteReference w:id="6"/>
      </w:r>
      <w:r>
        <w:rPr>
          <w:rFonts w:hint="eastAsia"/>
          <w:sz w:val="24"/>
        </w:rPr>
        <w:t>除此之外，许多具体民间音乐的循环结构并不强调对比，而更多体现出递归的特征，重复出现的音乐内容为音乐的衍生提供框架。与西方音乐强调对比的手法不同，中国民间音乐的循环结构通过渐进的变化来表现音乐的流动性。旋律和节奏的重复并非为了突出对比，而是为了增强音乐的连续性。例如，在江南丝竹中的《三六》段落，B段作为一个固定段落，通过合尾句形式穿插于不同段落中，从而使音乐中的对比特征有所弱化。即使是被视为新材料的D段，也在很大程度上吸收了B、C段的材料。在这种情况下，音乐的循环特征不仅没有强烈的对比，反而通过递归的方式在不同段落中相互融合，构成了一种共生的关系。这种递归关系为音乐的整体构造提供了有力的支撑，保证了音乐的内在一致性和流动性。中国民间音乐的循环结构更强调递归性，而非对比性。这种递归与衍生的相互作用，使得音乐在重复中获得了新的生命和层次，也展现出其独特的艺术魅力。</w:t>
      </w:r>
    </w:p>
    <w:p w14:paraId="56BFA662">
      <w:pPr>
        <w:spacing w:after="156" w:afterLines="50" w:line="360" w:lineRule="auto"/>
        <w:ind w:firstLine="482" w:firstLineChars="200"/>
        <w:jc w:val="center"/>
        <w:rPr>
          <w:b/>
          <w:bCs/>
          <w:sz w:val="24"/>
        </w:rPr>
      </w:pPr>
      <w:r>
        <w:rPr>
          <w:rFonts w:hint="eastAsia"/>
          <w:b/>
          <w:bCs/>
          <w:sz w:val="24"/>
        </w:rPr>
        <w:t>表1：江南丝竹《三六》循环结构</w:t>
      </w:r>
    </w:p>
    <w:tbl>
      <w:tblPr>
        <w:tblStyle w:val="6"/>
        <w:tblW w:w="4020" w:type="dxa"/>
        <w:jc w:val="center"/>
        <w:tblLayout w:type="autofit"/>
        <w:tblCellMar>
          <w:top w:w="0" w:type="dxa"/>
          <w:left w:w="108" w:type="dxa"/>
          <w:bottom w:w="0" w:type="dxa"/>
          <w:right w:w="108" w:type="dxa"/>
        </w:tblCellMar>
      </w:tblPr>
      <w:tblGrid>
        <w:gridCol w:w="1261"/>
        <w:gridCol w:w="1260"/>
        <w:gridCol w:w="1646"/>
      </w:tblGrid>
      <w:tr w14:paraId="6718AD51">
        <w:tblPrEx>
          <w:tblCellMar>
            <w:top w:w="0" w:type="dxa"/>
            <w:left w:w="108" w:type="dxa"/>
            <w:bottom w:w="0" w:type="dxa"/>
            <w:right w:w="108" w:type="dxa"/>
          </w:tblCellMar>
        </w:tblPrEx>
        <w:trPr>
          <w:trHeight w:val="288" w:hRule="atLeast"/>
          <w:jc w:val="center"/>
        </w:trPr>
        <w:tc>
          <w:tcPr>
            <w:tcW w:w="11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5EE04A">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结构</w:t>
            </w:r>
          </w:p>
        </w:tc>
        <w:tc>
          <w:tcPr>
            <w:tcW w:w="1260" w:type="dxa"/>
            <w:tcBorders>
              <w:top w:val="single" w:color="auto" w:sz="4" w:space="0"/>
              <w:left w:val="nil"/>
              <w:bottom w:val="single" w:color="auto" w:sz="4" w:space="0"/>
              <w:right w:val="single" w:color="auto" w:sz="4" w:space="0"/>
            </w:tcBorders>
            <w:shd w:val="clear" w:color="auto" w:fill="auto"/>
            <w:noWrap/>
            <w:vAlign w:val="center"/>
          </w:tcPr>
          <w:p w14:paraId="7FCF2376">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落音及调式</w:t>
            </w:r>
          </w:p>
        </w:tc>
        <w:tc>
          <w:tcPr>
            <w:tcW w:w="1620" w:type="dxa"/>
            <w:tcBorders>
              <w:top w:val="single" w:color="auto" w:sz="4" w:space="0"/>
              <w:left w:val="nil"/>
              <w:bottom w:val="single" w:color="auto" w:sz="4" w:space="0"/>
              <w:right w:val="single" w:color="auto" w:sz="4" w:space="0"/>
            </w:tcBorders>
            <w:shd w:val="clear" w:color="auto" w:fill="auto"/>
            <w:noWrap/>
            <w:vAlign w:val="center"/>
          </w:tcPr>
          <w:p w14:paraId="489068FE">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句子小节</w:t>
            </w:r>
          </w:p>
        </w:tc>
      </w:tr>
      <w:tr w14:paraId="1D118BC3">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38BDDC7C">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引子</w:t>
            </w:r>
          </w:p>
        </w:tc>
        <w:tc>
          <w:tcPr>
            <w:tcW w:w="0" w:type="auto"/>
            <w:tcBorders>
              <w:top w:val="nil"/>
              <w:left w:val="nil"/>
              <w:bottom w:val="single" w:color="auto" w:sz="4" w:space="0"/>
              <w:right w:val="single" w:color="auto" w:sz="4" w:space="0"/>
            </w:tcBorders>
            <w:shd w:val="clear" w:color="auto" w:fill="auto"/>
            <w:noWrap/>
            <w:vAlign w:val="center"/>
          </w:tcPr>
          <w:p w14:paraId="66C055A4">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D宫</w:t>
            </w:r>
          </w:p>
        </w:tc>
        <w:tc>
          <w:tcPr>
            <w:tcW w:w="0" w:type="auto"/>
            <w:tcBorders>
              <w:top w:val="nil"/>
              <w:left w:val="nil"/>
              <w:bottom w:val="single" w:color="auto" w:sz="4" w:space="0"/>
              <w:right w:val="single" w:color="auto" w:sz="4" w:space="0"/>
            </w:tcBorders>
            <w:shd w:val="clear" w:color="auto" w:fill="auto"/>
            <w:noWrap/>
            <w:vAlign w:val="center"/>
          </w:tcPr>
          <w:p w14:paraId="7BA25130">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w:t>
            </w:r>
          </w:p>
        </w:tc>
      </w:tr>
      <w:tr w14:paraId="76031DCD">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52B6BEA">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A（合a）</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2DD7D310">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b羽</w:t>
            </w:r>
          </w:p>
        </w:tc>
        <w:tc>
          <w:tcPr>
            <w:tcW w:w="0" w:type="auto"/>
            <w:tcBorders>
              <w:top w:val="nil"/>
              <w:left w:val="nil"/>
              <w:bottom w:val="single" w:color="auto" w:sz="4" w:space="0"/>
              <w:right w:val="single" w:color="auto" w:sz="4" w:space="0"/>
            </w:tcBorders>
            <w:shd w:val="clear" w:color="auto" w:fill="auto"/>
            <w:noWrap/>
            <w:vAlign w:val="center"/>
          </w:tcPr>
          <w:p w14:paraId="4BC8EB99">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4+4+5</w:t>
            </w:r>
          </w:p>
        </w:tc>
      </w:tr>
      <w:tr w14:paraId="54E4AB32">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709B3DC7">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E9DE253">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5A003456">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 5+4+4</w:t>
            </w:r>
          </w:p>
        </w:tc>
      </w:tr>
      <w:tr w14:paraId="0FBCD6A9">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38882D7">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C（合b）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7105E9B">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1A0A1463">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 5+5</w:t>
            </w:r>
          </w:p>
        </w:tc>
      </w:tr>
      <w:tr w14:paraId="1E07F957">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A83C9D0">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CE22827">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5B2B0FBF">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 5+4+4 4+4</w:t>
            </w:r>
          </w:p>
        </w:tc>
      </w:tr>
      <w:tr w14:paraId="710AB99F">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32F5481C">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D（合b）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6DC3B48">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49DAFC38">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 3+3+3+5</w:t>
            </w:r>
          </w:p>
        </w:tc>
      </w:tr>
      <w:tr w14:paraId="3C48C569">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37FFB54">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1FD99504">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9368993">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11F14306">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ECA3478">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E（合a）</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E4BCBF1">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CDBA90D">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4+4 4+5</w:t>
            </w:r>
          </w:p>
        </w:tc>
      </w:tr>
      <w:tr w14:paraId="539879FA">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FA4F4D9">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6522776">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38C0B2CF">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20F61CC5">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1B8C504D">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C1（合b）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0F163B3">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78AC009">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6+6+5</w:t>
            </w:r>
          </w:p>
        </w:tc>
      </w:tr>
      <w:tr w14:paraId="78101DEB">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1CBA8304">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A40F4F0">
            <w:pPr>
              <w:spacing w:after="156" w:afterLines="50"/>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690175C6">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39AD7797">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1D58BD47">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尾声</w:t>
            </w:r>
          </w:p>
        </w:tc>
        <w:tc>
          <w:tcPr>
            <w:tcW w:w="0" w:type="auto"/>
            <w:tcBorders>
              <w:top w:val="nil"/>
              <w:left w:val="nil"/>
              <w:bottom w:val="single" w:color="auto" w:sz="4" w:space="0"/>
              <w:right w:val="single" w:color="auto" w:sz="4" w:space="0"/>
            </w:tcBorders>
            <w:shd w:val="clear" w:color="auto" w:fill="auto"/>
            <w:noWrap/>
            <w:vAlign w:val="center"/>
          </w:tcPr>
          <w:p w14:paraId="70621ED6">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#f角</w:t>
            </w:r>
          </w:p>
        </w:tc>
        <w:tc>
          <w:tcPr>
            <w:tcW w:w="0" w:type="auto"/>
            <w:tcBorders>
              <w:top w:val="nil"/>
              <w:left w:val="nil"/>
              <w:bottom w:val="single" w:color="auto" w:sz="4" w:space="0"/>
              <w:right w:val="single" w:color="auto" w:sz="4" w:space="0"/>
            </w:tcBorders>
            <w:shd w:val="clear" w:color="auto" w:fill="auto"/>
            <w:noWrap/>
            <w:vAlign w:val="center"/>
          </w:tcPr>
          <w:p w14:paraId="7F45F3F8">
            <w:pPr>
              <w:widowControl/>
              <w:spacing w:after="156" w:afterLines="5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2+2+5</w:t>
            </w:r>
          </w:p>
        </w:tc>
      </w:tr>
    </w:tbl>
    <w:p w14:paraId="4ED1B77E">
      <w:pPr>
        <w:spacing w:after="156" w:afterLines="50" w:line="360" w:lineRule="auto"/>
        <w:ind w:firstLine="480" w:firstLineChars="200"/>
        <w:jc w:val="left"/>
        <w:rPr>
          <w:sz w:val="24"/>
        </w:rPr>
      </w:pPr>
      <w:r>
        <w:rPr>
          <w:rFonts w:hint="eastAsia"/>
          <w:sz w:val="24"/>
        </w:rPr>
        <w:t>同样，乐亭大鼓《双锁山》结构（表2）为例，由A段至A2段中，似乎可以看到类似缠达“两腔互迎，循环间用”</w:t>
      </w:r>
      <w:r>
        <w:rPr>
          <w:rFonts w:hint="eastAsia"/>
          <w:sz w:val="24"/>
          <w:vertAlign w:val="superscript"/>
        </w:rPr>
        <w:footnoteReference w:id="7"/>
      </w:r>
      <w:r>
        <w:rPr>
          <w:rFonts w:hint="eastAsia"/>
          <w:sz w:val="24"/>
        </w:rPr>
        <w:t>结构的影子，其中A与B，A与C材料某种程度上构成了双重意义上的缠达结构，D段作为其中的夹曲，在正式展开之前即已在“双重缠达”中出现两次并按时其后的发展。在整个音乐发展过程中，更具对比性意义的B段落并未得到充分的展开，而是在一种渐进的变化中逐渐让步于A的衍生材料C及夹曲D。</w:t>
      </w:r>
    </w:p>
    <w:p w14:paraId="5E793C3B">
      <w:pPr>
        <w:spacing w:after="156" w:afterLines="50" w:line="360" w:lineRule="auto"/>
        <w:ind w:firstLine="482" w:firstLineChars="200"/>
        <w:jc w:val="center"/>
        <w:rPr>
          <w:b/>
          <w:bCs/>
          <w:sz w:val="24"/>
        </w:rPr>
      </w:pPr>
      <w:r>
        <w:rPr>
          <w:rFonts w:hint="eastAsia"/>
          <w:b/>
          <w:bCs/>
          <w:sz w:val="24"/>
        </w:rPr>
        <w:t>表2：</w:t>
      </w:r>
      <w:r>
        <w:rPr>
          <w:rFonts w:hint="eastAsia" w:asciiTheme="minorEastAsia" w:hAnsiTheme="minorEastAsia" w:cstheme="minorEastAsia"/>
          <w:b/>
          <w:bCs/>
          <w:color w:val="000000"/>
          <w:kern w:val="0"/>
          <w:sz w:val="24"/>
          <w:lang w:bidi="ar"/>
        </w:rPr>
        <w:t>乐亭大鼓《双锁山》的循环结构</w:t>
      </w:r>
    </w:p>
    <w:tbl>
      <w:tblPr>
        <w:tblStyle w:val="6"/>
        <w:tblW w:w="4380" w:type="dxa"/>
        <w:jc w:val="center"/>
        <w:tblLayout w:type="autofit"/>
        <w:tblCellMar>
          <w:top w:w="0" w:type="dxa"/>
          <w:left w:w="108" w:type="dxa"/>
          <w:bottom w:w="0" w:type="dxa"/>
          <w:right w:w="108" w:type="dxa"/>
        </w:tblCellMar>
      </w:tblPr>
      <w:tblGrid>
        <w:gridCol w:w="696"/>
        <w:gridCol w:w="1416"/>
        <w:gridCol w:w="1176"/>
        <w:gridCol w:w="1116"/>
      </w:tblGrid>
      <w:tr w14:paraId="1F165CF2">
        <w:tblPrEx>
          <w:tblCellMar>
            <w:top w:w="0" w:type="dxa"/>
            <w:left w:w="108" w:type="dxa"/>
            <w:bottom w:w="0" w:type="dxa"/>
            <w:right w:w="108" w:type="dxa"/>
          </w:tblCellMar>
        </w:tblPrEx>
        <w:trPr>
          <w:trHeight w:val="288" w:hRule="atLeast"/>
          <w:jc w:val="center"/>
        </w:trPr>
        <w:tc>
          <w:tcPr>
            <w:tcW w:w="4380"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6C088D01">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乐亭大鼓《双锁山》</w:t>
            </w:r>
          </w:p>
        </w:tc>
      </w:tr>
      <w:tr w14:paraId="72D3C484">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37F873E0">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段落</w:t>
            </w:r>
          </w:p>
        </w:tc>
        <w:tc>
          <w:tcPr>
            <w:tcW w:w="0" w:type="auto"/>
            <w:tcBorders>
              <w:top w:val="nil"/>
              <w:left w:val="nil"/>
              <w:bottom w:val="single" w:color="auto" w:sz="4" w:space="0"/>
              <w:right w:val="single" w:color="auto" w:sz="4" w:space="0"/>
            </w:tcBorders>
            <w:shd w:val="clear" w:color="auto" w:fill="auto"/>
            <w:noWrap/>
            <w:vAlign w:val="center"/>
          </w:tcPr>
          <w:p w14:paraId="5182288C">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内容</w:t>
            </w:r>
          </w:p>
        </w:tc>
        <w:tc>
          <w:tcPr>
            <w:tcW w:w="0" w:type="auto"/>
            <w:tcBorders>
              <w:top w:val="nil"/>
              <w:left w:val="nil"/>
              <w:bottom w:val="single" w:color="auto" w:sz="4" w:space="0"/>
              <w:right w:val="single" w:color="auto" w:sz="4" w:space="0"/>
            </w:tcBorders>
            <w:shd w:val="clear" w:color="auto" w:fill="auto"/>
            <w:noWrap/>
            <w:vAlign w:val="center"/>
          </w:tcPr>
          <w:p w14:paraId="095A6A57">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板式</w:t>
            </w:r>
          </w:p>
        </w:tc>
        <w:tc>
          <w:tcPr>
            <w:tcW w:w="0" w:type="auto"/>
            <w:tcBorders>
              <w:top w:val="nil"/>
              <w:left w:val="nil"/>
              <w:bottom w:val="single" w:color="auto" w:sz="4" w:space="0"/>
              <w:right w:val="single" w:color="auto" w:sz="4" w:space="0"/>
            </w:tcBorders>
            <w:shd w:val="clear" w:color="auto" w:fill="auto"/>
            <w:noWrap/>
            <w:vAlign w:val="center"/>
          </w:tcPr>
          <w:p w14:paraId="6CAE3929">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节拍</w:t>
            </w:r>
          </w:p>
        </w:tc>
      </w:tr>
      <w:tr w14:paraId="6C871CAA">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126E81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A</w:t>
            </w:r>
          </w:p>
        </w:tc>
        <w:tc>
          <w:tcPr>
            <w:tcW w:w="0" w:type="auto"/>
            <w:tcBorders>
              <w:top w:val="nil"/>
              <w:left w:val="nil"/>
              <w:bottom w:val="single" w:color="auto" w:sz="4" w:space="0"/>
              <w:right w:val="single" w:color="auto" w:sz="4" w:space="0"/>
            </w:tcBorders>
            <w:shd w:val="clear" w:color="auto" w:fill="auto"/>
            <w:noWrap/>
            <w:vAlign w:val="center"/>
          </w:tcPr>
          <w:p w14:paraId="0CA1FEF1">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【四平调】</w:t>
            </w:r>
          </w:p>
        </w:tc>
        <w:tc>
          <w:tcPr>
            <w:tcW w:w="0" w:type="auto"/>
            <w:tcBorders>
              <w:top w:val="nil"/>
              <w:left w:val="nil"/>
              <w:bottom w:val="single" w:color="auto" w:sz="4" w:space="0"/>
              <w:right w:val="single" w:color="auto" w:sz="4" w:space="0"/>
            </w:tcBorders>
            <w:shd w:val="clear" w:color="auto" w:fill="auto"/>
            <w:noWrap/>
            <w:vAlign w:val="center"/>
          </w:tcPr>
          <w:p w14:paraId="3DBE1574">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慢板</w:t>
            </w:r>
          </w:p>
        </w:tc>
        <w:tc>
          <w:tcPr>
            <w:tcW w:w="0" w:type="auto"/>
            <w:tcBorders>
              <w:top w:val="nil"/>
              <w:left w:val="nil"/>
              <w:bottom w:val="single" w:color="auto" w:sz="4" w:space="0"/>
              <w:right w:val="single" w:color="auto" w:sz="4" w:space="0"/>
            </w:tcBorders>
            <w:shd w:val="clear" w:color="auto" w:fill="auto"/>
            <w:noWrap/>
            <w:vAlign w:val="center"/>
          </w:tcPr>
          <w:p w14:paraId="4049DBEE">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4/4</w:t>
            </w:r>
          </w:p>
        </w:tc>
      </w:tr>
      <w:tr w14:paraId="11265ACD">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1663927B">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B</w:t>
            </w:r>
          </w:p>
        </w:tc>
        <w:tc>
          <w:tcPr>
            <w:tcW w:w="0" w:type="auto"/>
            <w:tcBorders>
              <w:top w:val="nil"/>
              <w:left w:val="nil"/>
              <w:bottom w:val="single" w:color="auto" w:sz="4" w:space="0"/>
              <w:right w:val="single" w:color="auto" w:sz="4" w:space="0"/>
            </w:tcBorders>
            <w:shd w:val="clear" w:color="auto" w:fill="auto"/>
            <w:noWrap/>
            <w:vAlign w:val="center"/>
          </w:tcPr>
          <w:p w14:paraId="04F741BE">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【流水板】</w:t>
            </w:r>
          </w:p>
        </w:tc>
        <w:tc>
          <w:tcPr>
            <w:tcW w:w="0" w:type="auto"/>
            <w:tcBorders>
              <w:top w:val="nil"/>
              <w:left w:val="nil"/>
              <w:bottom w:val="single" w:color="auto" w:sz="4" w:space="0"/>
              <w:right w:val="single" w:color="auto" w:sz="4" w:space="0"/>
            </w:tcBorders>
            <w:shd w:val="clear" w:color="auto" w:fill="auto"/>
            <w:noWrap/>
            <w:vAlign w:val="center"/>
          </w:tcPr>
          <w:p w14:paraId="1CA1CD5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064E9E94">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2/4</w:t>
            </w:r>
          </w:p>
        </w:tc>
      </w:tr>
      <w:tr w14:paraId="5483A7FC">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07762572">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C</w:t>
            </w:r>
          </w:p>
        </w:tc>
        <w:tc>
          <w:tcPr>
            <w:tcW w:w="0" w:type="auto"/>
            <w:tcBorders>
              <w:top w:val="nil"/>
              <w:left w:val="nil"/>
              <w:bottom w:val="single" w:color="auto" w:sz="4" w:space="0"/>
              <w:right w:val="single" w:color="auto" w:sz="4" w:space="0"/>
            </w:tcBorders>
            <w:shd w:val="clear" w:color="auto" w:fill="auto"/>
            <w:noWrap/>
            <w:vAlign w:val="center"/>
          </w:tcPr>
          <w:p w14:paraId="5A873804">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【上字调】</w:t>
            </w:r>
          </w:p>
        </w:tc>
        <w:tc>
          <w:tcPr>
            <w:tcW w:w="0" w:type="auto"/>
            <w:tcBorders>
              <w:top w:val="nil"/>
              <w:left w:val="nil"/>
              <w:bottom w:val="single" w:color="auto" w:sz="4" w:space="0"/>
              <w:right w:val="single" w:color="auto" w:sz="4" w:space="0"/>
            </w:tcBorders>
            <w:shd w:val="clear" w:color="auto" w:fill="auto"/>
            <w:noWrap/>
            <w:vAlign w:val="center"/>
          </w:tcPr>
          <w:p w14:paraId="107CD4BD">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nil"/>
              <w:left w:val="nil"/>
              <w:bottom w:val="single" w:color="auto" w:sz="4" w:space="0"/>
              <w:right w:val="single" w:color="auto" w:sz="4" w:space="0"/>
            </w:tcBorders>
            <w:shd w:val="clear" w:color="auto" w:fill="auto"/>
            <w:noWrap/>
            <w:vAlign w:val="center"/>
          </w:tcPr>
          <w:p w14:paraId="1FF9FDA0">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w:t>
            </w:r>
          </w:p>
        </w:tc>
      </w:tr>
      <w:tr w14:paraId="51201BDE">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9D0459D">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A1</w:t>
            </w:r>
          </w:p>
        </w:tc>
        <w:tc>
          <w:tcPr>
            <w:tcW w:w="0" w:type="auto"/>
            <w:tcBorders>
              <w:top w:val="nil"/>
              <w:left w:val="nil"/>
              <w:bottom w:val="single" w:color="auto" w:sz="4" w:space="0"/>
              <w:right w:val="single" w:color="auto" w:sz="4" w:space="0"/>
            </w:tcBorders>
            <w:shd w:val="clear" w:color="auto" w:fill="auto"/>
            <w:noWrap/>
            <w:vAlign w:val="center"/>
          </w:tcPr>
          <w:p w14:paraId="260B746C">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【四平调】</w:t>
            </w:r>
          </w:p>
        </w:tc>
        <w:tc>
          <w:tcPr>
            <w:tcW w:w="0" w:type="auto"/>
            <w:tcBorders>
              <w:top w:val="nil"/>
              <w:left w:val="nil"/>
              <w:bottom w:val="single" w:color="auto" w:sz="4" w:space="0"/>
              <w:right w:val="single" w:color="auto" w:sz="4" w:space="0"/>
            </w:tcBorders>
            <w:shd w:val="clear" w:color="auto" w:fill="auto"/>
            <w:noWrap/>
            <w:vAlign w:val="center"/>
          </w:tcPr>
          <w:p w14:paraId="207E2BA7">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慢板</w:t>
            </w:r>
          </w:p>
        </w:tc>
        <w:tc>
          <w:tcPr>
            <w:tcW w:w="0" w:type="auto"/>
            <w:tcBorders>
              <w:top w:val="nil"/>
              <w:left w:val="nil"/>
              <w:bottom w:val="single" w:color="auto" w:sz="4" w:space="0"/>
              <w:right w:val="single" w:color="auto" w:sz="4" w:space="0"/>
            </w:tcBorders>
            <w:shd w:val="clear" w:color="auto" w:fill="auto"/>
            <w:noWrap/>
            <w:vAlign w:val="center"/>
          </w:tcPr>
          <w:p w14:paraId="235D6609">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4/4</w:t>
            </w:r>
          </w:p>
        </w:tc>
      </w:tr>
      <w:tr w14:paraId="7688E76C">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7DA011E">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C1</w:t>
            </w:r>
          </w:p>
        </w:tc>
        <w:tc>
          <w:tcPr>
            <w:tcW w:w="0" w:type="auto"/>
            <w:tcBorders>
              <w:top w:val="nil"/>
              <w:left w:val="nil"/>
              <w:bottom w:val="single" w:color="auto" w:sz="4" w:space="0"/>
              <w:right w:val="single" w:color="auto" w:sz="4" w:space="0"/>
            </w:tcBorders>
            <w:shd w:val="clear" w:color="auto" w:fill="auto"/>
            <w:noWrap/>
            <w:vAlign w:val="center"/>
          </w:tcPr>
          <w:p w14:paraId="6169C432">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【上字调】</w:t>
            </w:r>
          </w:p>
        </w:tc>
        <w:tc>
          <w:tcPr>
            <w:tcW w:w="0" w:type="auto"/>
            <w:tcBorders>
              <w:top w:val="nil"/>
              <w:left w:val="nil"/>
              <w:bottom w:val="single" w:color="auto" w:sz="4" w:space="0"/>
              <w:right w:val="single" w:color="auto" w:sz="4" w:space="0"/>
            </w:tcBorders>
            <w:shd w:val="clear" w:color="auto" w:fill="auto"/>
            <w:noWrap/>
            <w:vAlign w:val="center"/>
          </w:tcPr>
          <w:p w14:paraId="3198AC60">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nil"/>
              <w:left w:val="nil"/>
              <w:bottom w:val="single" w:color="auto" w:sz="4" w:space="0"/>
              <w:right w:val="single" w:color="auto" w:sz="4" w:space="0"/>
            </w:tcBorders>
            <w:shd w:val="clear" w:color="auto" w:fill="auto"/>
            <w:noWrap/>
            <w:vAlign w:val="center"/>
          </w:tcPr>
          <w:p w14:paraId="49199C2B">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w:t>
            </w:r>
          </w:p>
        </w:tc>
      </w:tr>
      <w:tr w14:paraId="40E23129">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7D231736">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D</w:t>
            </w:r>
          </w:p>
        </w:tc>
        <w:tc>
          <w:tcPr>
            <w:tcW w:w="0" w:type="auto"/>
            <w:tcBorders>
              <w:top w:val="nil"/>
              <w:left w:val="nil"/>
              <w:bottom w:val="single" w:color="auto" w:sz="4" w:space="0"/>
              <w:right w:val="single" w:color="auto" w:sz="4" w:space="0"/>
            </w:tcBorders>
            <w:shd w:val="clear" w:color="auto" w:fill="auto"/>
            <w:noWrap/>
            <w:vAlign w:val="center"/>
          </w:tcPr>
          <w:p w14:paraId="463E71EC">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【凡字调】</w:t>
            </w:r>
          </w:p>
        </w:tc>
        <w:tc>
          <w:tcPr>
            <w:tcW w:w="0" w:type="auto"/>
            <w:tcBorders>
              <w:top w:val="nil"/>
              <w:left w:val="nil"/>
              <w:bottom w:val="single" w:color="auto" w:sz="4" w:space="0"/>
              <w:right w:val="single" w:color="auto" w:sz="4" w:space="0"/>
            </w:tcBorders>
            <w:shd w:val="clear" w:color="auto" w:fill="auto"/>
            <w:noWrap/>
            <w:vAlign w:val="center"/>
          </w:tcPr>
          <w:p w14:paraId="64A53596">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紧流水板</w:t>
            </w:r>
          </w:p>
        </w:tc>
        <w:tc>
          <w:tcPr>
            <w:tcW w:w="0" w:type="auto"/>
            <w:tcBorders>
              <w:top w:val="nil"/>
              <w:left w:val="nil"/>
              <w:bottom w:val="single" w:color="auto" w:sz="4" w:space="0"/>
              <w:right w:val="single" w:color="auto" w:sz="4" w:space="0"/>
            </w:tcBorders>
            <w:shd w:val="clear" w:color="auto" w:fill="auto"/>
            <w:noWrap/>
            <w:vAlign w:val="center"/>
          </w:tcPr>
          <w:p w14:paraId="3105A6F1">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1/4</w:t>
            </w:r>
          </w:p>
        </w:tc>
      </w:tr>
      <w:tr w14:paraId="4BE911D8">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084C1EB">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C2</w:t>
            </w:r>
          </w:p>
        </w:tc>
        <w:tc>
          <w:tcPr>
            <w:tcW w:w="0" w:type="auto"/>
            <w:tcBorders>
              <w:top w:val="nil"/>
              <w:left w:val="nil"/>
              <w:bottom w:val="single" w:color="auto" w:sz="4" w:space="0"/>
              <w:right w:val="single" w:color="auto" w:sz="4" w:space="0"/>
            </w:tcBorders>
            <w:shd w:val="clear" w:color="auto" w:fill="auto"/>
            <w:noWrap/>
            <w:vAlign w:val="center"/>
          </w:tcPr>
          <w:p w14:paraId="40102DE9">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【上字调】</w:t>
            </w:r>
          </w:p>
        </w:tc>
        <w:tc>
          <w:tcPr>
            <w:tcW w:w="0" w:type="auto"/>
            <w:tcBorders>
              <w:top w:val="nil"/>
              <w:left w:val="nil"/>
              <w:bottom w:val="single" w:color="auto" w:sz="4" w:space="0"/>
              <w:right w:val="single" w:color="auto" w:sz="4" w:space="0"/>
            </w:tcBorders>
            <w:shd w:val="clear" w:color="auto" w:fill="auto"/>
            <w:noWrap/>
            <w:vAlign w:val="center"/>
          </w:tcPr>
          <w:p w14:paraId="47BE1FCE">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nil"/>
              <w:left w:val="nil"/>
              <w:bottom w:val="single" w:color="auto" w:sz="4" w:space="0"/>
              <w:right w:val="single" w:color="auto" w:sz="4" w:space="0"/>
            </w:tcBorders>
            <w:shd w:val="clear" w:color="auto" w:fill="auto"/>
            <w:noWrap/>
            <w:vAlign w:val="center"/>
          </w:tcPr>
          <w:p w14:paraId="63D70BB5">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w:t>
            </w:r>
          </w:p>
        </w:tc>
      </w:tr>
      <w:tr w14:paraId="1887CD32">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75E654F">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D1</w:t>
            </w:r>
          </w:p>
        </w:tc>
        <w:tc>
          <w:tcPr>
            <w:tcW w:w="0" w:type="auto"/>
            <w:tcBorders>
              <w:top w:val="nil"/>
              <w:left w:val="nil"/>
              <w:bottom w:val="single" w:color="auto" w:sz="4" w:space="0"/>
              <w:right w:val="single" w:color="auto" w:sz="4" w:space="0"/>
            </w:tcBorders>
            <w:shd w:val="clear" w:color="auto" w:fill="auto"/>
            <w:noWrap/>
            <w:vAlign w:val="center"/>
          </w:tcPr>
          <w:p w14:paraId="0B615960">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【凡字调】</w:t>
            </w:r>
          </w:p>
        </w:tc>
        <w:tc>
          <w:tcPr>
            <w:tcW w:w="0" w:type="auto"/>
            <w:tcBorders>
              <w:top w:val="nil"/>
              <w:left w:val="nil"/>
              <w:bottom w:val="single" w:color="auto" w:sz="4" w:space="0"/>
              <w:right w:val="single" w:color="auto" w:sz="4" w:space="0"/>
            </w:tcBorders>
            <w:shd w:val="clear" w:color="auto" w:fill="auto"/>
            <w:noWrap/>
            <w:vAlign w:val="center"/>
          </w:tcPr>
          <w:p w14:paraId="30AE6AE7">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紧流水板</w:t>
            </w:r>
          </w:p>
        </w:tc>
        <w:tc>
          <w:tcPr>
            <w:tcW w:w="0" w:type="auto"/>
            <w:tcBorders>
              <w:top w:val="nil"/>
              <w:left w:val="nil"/>
              <w:bottom w:val="single" w:color="auto" w:sz="4" w:space="0"/>
              <w:right w:val="single" w:color="auto" w:sz="4" w:space="0"/>
            </w:tcBorders>
            <w:shd w:val="clear" w:color="auto" w:fill="auto"/>
            <w:noWrap/>
            <w:vAlign w:val="center"/>
          </w:tcPr>
          <w:p w14:paraId="2E47EE25">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1/4</w:t>
            </w:r>
          </w:p>
        </w:tc>
      </w:tr>
      <w:tr w14:paraId="0001B441">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2CD7C325">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C3</w:t>
            </w:r>
          </w:p>
        </w:tc>
        <w:tc>
          <w:tcPr>
            <w:tcW w:w="0" w:type="auto"/>
            <w:tcBorders>
              <w:top w:val="nil"/>
              <w:left w:val="nil"/>
              <w:bottom w:val="single" w:color="auto" w:sz="4" w:space="0"/>
              <w:right w:val="single" w:color="auto" w:sz="4" w:space="0"/>
            </w:tcBorders>
            <w:shd w:val="clear" w:color="auto" w:fill="auto"/>
            <w:noWrap/>
            <w:vAlign w:val="center"/>
          </w:tcPr>
          <w:p w14:paraId="6C661CF5">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【上字调】</w:t>
            </w:r>
          </w:p>
        </w:tc>
        <w:tc>
          <w:tcPr>
            <w:tcW w:w="0" w:type="auto"/>
            <w:tcBorders>
              <w:top w:val="nil"/>
              <w:left w:val="nil"/>
              <w:bottom w:val="single" w:color="auto" w:sz="4" w:space="0"/>
              <w:right w:val="single" w:color="auto" w:sz="4" w:space="0"/>
            </w:tcBorders>
            <w:shd w:val="clear" w:color="auto" w:fill="auto"/>
            <w:noWrap/>
            <w:vAlign w:val="center"/>
          </w:tcPr>
          <w:p w14:paraId="2471DDE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nil"/>
              <w:left w:val="nil"/>
              <w:bottom w:val="single" w:color="auto" w:sz="4" w:space="0"/>
              <w:right w:val="single" w:color="auto" w:sz="4" w:space="0"/>
            </w:tcBorders>
            <w:shd w:val="clear" w:color="auto" w:fill="auto"/>
            <w:noWrap/>
            <w:vAlign w:val="center"/>
          </w:tcPr>
          <w:p w14:paraId="3F5A231C">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w:t>
            </w:r>
          </w:p>
        </w:tc>
      </w:tr>
      <w:tr w14:paraId="736EBBFC">
        <w:tblPrEx>
          <w:tblCellMar>
            <w:top w:w="0" w:type="dxa"/>
            <w:left w:w="108" w:type="dxa"/>
            <w:bottom w:w="0" w:type="dxa"/>
            <w:right w:w="108" w:type="dxa"/>
          </w:tblCellMar>
        </w:tblPrEx>
        <w:trPr>
          <w:trHeight w:val="300" w:hRule="atLeast"/>
          <w:jc w:val="center"/>
        </w:trPr>
        <w:tc>
          <w:tcPr>
            <w:tcW w:w="0" w:type="auto"/>
            <w:tcBorders>
              <w:top w:val="nil"/>
              <w:left w:val="single" w:color="auto" w:sz="4" w:space="0"/>
              <w:bottom w:val="nil"/>
              <w:right w:val="single" w:color="auto" w:sz="4" w:space="0"/>
            </w:tcBorders>
            <w:shd w:val="clear" w:color="auto" w:fill="auto"/>
            <w:noWrap/>
            <w:vAlign w:val="center"/>
          </w:tcPr>
          <w:p w14:paraId="5C6CD53D">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A2</w:t>
            </w:r>
          </w:p>
        </w:tc>
        <w:tc>
          <w:tcPr>
            <w:tcW w:w="0" w:type="auto"/>
            <w:tcBorders>
              <w:top w:val="nil"/>
              <w:left w:val="nil"/>
              <w:bottom w:val="nil"/>
              <w:right w:val="single" w:color="auto" w:sz="4" w:space="0"/>
            </w:tcBorders>
            <w:shd w:val="clear" w:color="auto" w:fill="auto"/>
            <w:noWrap/>
            <w:vAlign w:val="center"/>
          </w:tcPr>
          <w:p w14:paraId="563D64C5">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【四平调】</w:t>
            </w:r>
          </w:p>
        </w:tc>
        <w:tc>
          <w:tcPr>
            <w:tcW w:w="0" w:type="auto"/>
            <w:tcBorders>
              <w:top w:val="nil"/>
              <w:left w:val="nil"/>
              <w:bottom w:val="nil"/>
              <w:right w:val="single" w:color="auto" w:sz="4" w:space="0"/>
            </w:tcBorders>
            <w:shd w:val="clear" w:color="auto" w:fill="auto"/>
            <w:noWrap/>
            <w:vAlign w:val="center"/>
          </w:tcPr>
          <w:p w14:paraId="0C4FB894">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慢板</w:t>
            </w:r>
          </w:p>
        </w:tc>
        <w:tc>
          <w:tcPr>
            <w:tcW w:w="0" w:type="auto"/>
            <w:tcBorders>
              <w:top w:val="nil"/>
              <w:left w:val="nil"/>
              <w:bottom w:val="nil"/>
              <w:right w:val="single" w:color="auto" w:sz="4" w:space="0"/>
            </w:tcBorders>
            <w:shd w:val="clear" w:color="auto" w:fill="auto"/>
            <w:noWrap/>
            <w:vAlign w:val="center"/>
          </w:tcPr>
          <w:p w14:paraId="6968C587">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4/4</w:t>
            </w:r>
          </w:p>
        </w:tc>
      </w:tr>
      <w:tr w14:paraId="7DA352B9">
        <w:tblPrEx>
          <w:tblCellMar>
            <w:top w:w="0" w:type="dxa"/>
            <w:left w:w="108" w:type="dxa"/>
            <w:bottom w:w="0" w:type="dxa"/>
            <w:right w:w="108" w:type="dxa"/>
          </w:tblCellMar>
        </w:tblPrEx>
        <w:trPr>
          <w:trHeight w:val="288" w:hRule="atLeast"/>
          <w:jc w:val="center"/>
        </w:trPr>
        <w:tc>
          <w:tcPr>
            <w:tcW w:w="0" w:type="auto"/>
            <w:tcBorders>
              <w:top w:val="single" w:color="auto" w:sz="8" w:space="0"/>
              <w:left w:val="single" w:color="auto" w:sz="8" w:space="0"/>
              <w:bottom w:val="single" w:color="auto" w:sz="4" w:space="0"/>
              <w:right w:val="single" w:color="auto" w:sz="4" w:space="0"/>
            </w:tcBorders>
            <w:shd w:val="clear" w:color="auto" w:fill="auto"/>
            <w:noWrap/>
            <w:vAlign w:val="center"/>
          </w:tcPr>
          <w:p w14:paraId="7A2E9A9E">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D2</w:t>
            </w:r>
          </w:p>
        </w:tc>
        <w:tc>
          <w:tcPr>
            <w:tcW w:w="0" w:type="auto"/>
            <w:tcBorders>
              <w:top w:val="single" w:color="auto" w:sz="8" w:space="0"/>
              <w:left w:val="nil"/>
              <w:bottom w:val="single" w:color="auto" w:sz="4" w:space="0"/>
              <w:right w:val="single" w:color="auto" w:sz="4" w:space="0"/>
            </w:tcBorders>
            <w:shd w:val="clear" w:color="auto" w:fill="auto"/>
            <w:noWrap/>
            <w:vAlign w:val="center"/>
          </w:tcPr>
          <w:p w14:paraId="68EEAB2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【凡字调】</w:t>
            </w:r>
          </w:p>
        </w:tc>
        <w:tc>
          <w:tcPr>
            <w:tcW w:w="0" w:type="auto"/>
            <w:tcBorders>
              <w:top w:val="single" w:color="auto" w:sz="8" w:space="0"/>
              <w:left w:val="nil"/>
              <w:bottom w:val="single" w:color="auto" w:sz="4" w:space="0"/>
              <w:right w:val="single" w:color="auto" w:sz="4" w:space="0"/>
            </w:tcBorders>
            <w:shd w:val="clear" w:color="auto" w:fill="auto"/>
            <w:noWrap/>
            <w:vAlign w:val="center"/>
          </w:tcPr>
          <w:p w14:paraId="272854C7">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single" w:color="auto" w:sz="8" w:space="0"/>
              <w:left w:val="nil"/>
              <w:bottom w:val="single" w:color="auto" w:sz="4" w:space="0"/>
              <w:right w:val="single" w:color="auto" w:sz="8" w:space="0"/>
            </w:tcBorders>
            <w:shd w:val="clear" w:color="auto" w:fill="auto"/>
            <w:noWrap/>
            <w:vAlign w:val="center"/>
          </w:tcPr>
          <w:p w14:paraId="514921D2">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w:t>
            </w:r>
          </w:p>
        </w:tc>
      </w:tr>
      <w:tr w14:paraId="4D22085C">
        <w:tblPrEx>
          <w:tblCellMar>
            <w:top w:w="0" w:type="dxa"/>
            <w:left w:w="108" w:type="dxa"/>
            <w:bottom w:w="0" w:type="dxa"/>
            <w:right w:w="108" w:type="dxa"/>
          </w:tblCellMar>
        </w:tblPrEx>
        <w:trPr>
          <w:trHeight w:val="288" w:hRule="atLeast"/>
          <w:jc w:val="center"/>
        </w:trPr>
        <w:tc>
          <w:tcPr>
            <w:tcW w:w="0" w:type="auto"/>
            <w:tcBorders>
              <w:top w:val="nil"/>
              <w:left w:val="single" w:color="auto" w:sz="8" w:space="0"/>
              <w:bottom w:val="single" w:color="auto" w:sz="4" w:space="0"/>
              <w:right w:val="single" w:color="auto" w:sz="4" w:space="0"/>
            </w:tcBorders>
            <w:shd w:val="clear" w:color="auto" w:fill="auto"/>
            <w:noWrap/>
            <w:vAlign w:val="center"/>
          </w:tcPr>
          <w:p w14:paraId="7DA9707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D3</w:t>
            </w:r>
          </w:p>
        </w:tc>
        <w:tc>
          <w:tcPr>
            <w:tcW w:w="0" w:type="auto"/>
            <w:tcBorders>
              <w:top w:val="nil"/>
              <w:left w:val="nil"/>
              <w:bottom w:val="single" w:color="auto" w:sz="4" w:space="0"/>
              <w:right w:val="single" w:color="auto" w:sz="4" w:space="0"/>
            </w:tcBorders>
            <w:shd w:val="clear" w:color="auto" w:fill="auto"/>
            <w:noWrap/>
            <w:vAlign w:val="center"/>
          </w:tcPr>
          <w:p w14:paraId="684BE5AF">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【凡字调】</w:t>
            </w:r>
          </w:p>
        </w:tc>
        <w:tc>
          <w:tcPr>
            <w:tcW w:w="0" w:type="auto"/>
            <w:tcBorders>
              <w:top w:val="nil"/>
              <w:left w:val="nil"/>
              <w:bottom w:val="single" w:color="auto" w:sz="4" w:space="0"/>
              <w:right w:val="single" w:color="auto" w:sz="4" w:space="0"/>
            </w:tcBorders>
            <w:shd w:val="clear" w:color="auto" w:fill="auto"/>
            <w:noWrap/>
            <w:vAlign w:val="center"/>
          </w:tcPr>
          <w:p w14:paraId="42B758CB">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紧流水板</w:t>
            </w:r>
          </w:p>
        </w:tc>
        <w:tc>
          <w:tcPr>
            <w:tcW w:w="0" w:type="auto"/>
            <w:tcBorders>
              <w:top w:val="nil"/>
              <w:left w:val="nil"/>
              <w:bottom w:val="single" w:color="auto" w:sz="4" w:space="0"/>
              <w:right w:val="single" w:color="auto" w:sz="8" w:space="0"/>
            </w:tcBorders>
            <w:shd w:val="clear" w:color="auto" w:fill="auto"/>
            <w:noWrap/>
            <w:vAlign w:val="center"/>
          </w:tcPr>
          <w:p w14:paraId="0ED64502">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1/4</w:t>
            </w:r>
          </w:p>
        </w:tc>
      </w:tr>
      <w:tr w14:paraId="50BD3B2F">
        <w:tblPrEx>
          <w:tblCellMar>
            <w:top w:w="0" w:type="dxa"/>
            <w:left w:w="108" w:type="dxa"/>
            <w:bottom w:w="0" w:type="dxa"/>
            <w:right w:w="108" w:type="dxa"/>
          </w:tblCellMar>
        </w:tblPrEx>
        <w:trPr>
          <w:trHeight w:val="300" w:hRule="atLeast"/>
          <w:jc w:val="center"/>
        </w:trPr>
        <w:tc>
          <w:tcPr>
            <w:tcW w:w="0" w:type="auto"/>
            <w:tcBorders>
              <w:top w:val="nil"/>
              <w:left w:val="single" w:color="auto" w:sz="8" w:space="0"/>
              <w:bottom w:val="single" w:color="auto" w:sz="8" w:space="0"/>
              <w:right w:val="single" w:color="auto" w:sz="4" w:space="0"/>
            </w:tcBorders>
            <w:shd w:val="clear" w:color="auto" w:fill="auto"/>
            <w:noWrap/>
            <w:vAlign w:val="center"/>
          </w:tcPr>
          <w:p w14:paraId="2DA798D3">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D4</w:t>
            </w:r>
          </w:p>
        </w:tc>
        <w:tc>
          <w:tcPr>
            <w:tcW w:w="0" w:type="auto"/>
            <w:tcBorders>
              <w:top w:val="nil"/>
              <w:left w:val="nil"/>
              <w:bottom w:val="single" w:color="auto" w:sz="8" w:space="0"/>
              <w:right w:val="single" w:color="auto" w:sz="4" w:space="0"/>
            </w:tcBorders>
            <w:shd w:val="clear" w:color="auto" w:fill="auto"/>
            <w:noWrap/>
            <w:vAlign w:val="center"/>
          </w:tcPr>
          <w:p w14:paraId="119EA39B">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【凡字调】</w:t>
            </w:r>
          </w:p>
        </w:tc>
        <w:tc>
          <w:tcPr>
            <w:tcW w:w="0" w:type="auto"/>
            <w:tcBorders>
              <w:top w:val="nil"/>
              <w:left w:val="nil"/>
              <w:bottom w:val="single" w:color="auto" w:sz="8" w:space="0"/>
              <w:right w:val="single" w:color="auto" w:sz="4" w:space="0"/>
            </w:tcBorders>
            <w:shd w:val="clear" w:color="auto" w:fill="auto"/>
            <w:noWrap/>
            <w:vAlign w:val="center"/>
          </w:tcPr>
          <w:p w14:paraId="0DF739B1">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快板</w:t>
            </w:r>
          </w:p>
        </w:tc>
        <w:tc>
          <w:tcPr>
            <w:tcW w:w="0" w:type="auto"/>
            <w:tcBorders>
              <w:top w:val="nil"/>
              <w:left w:val="nil"/>
              <w:bottom w:val="single" w:color="auto" w:sz="8" w:space="0"/>
              <w:right w:val="single" w:color="auto" w:sz="8" w:space="0"/>
            </w:tcBorders>
            <w:shd w:val="clear" w:color="auto" w:fill="auto"/>
            <w:noWrap/>
            <w:vAlign w:val="center"/>
          </w:tcPr>
          <w:p w14:paraId="606D009C">
            <w:pPr>
              <w:widowControl/>
              <w:spacing w:after="156" w:afterLines="50"/>
              <w:jc w:val="center"/>
              <w:textAlignment w:val="center"/>
              <w:rPr>
                <w:rFonts w:hint="eastAsia" w:asciiTheme="minorEastAsia" w:hAnsiTheme="minorEastAsia" w:cstheme="minorEastAsia"/>
                <w:color w:val="000000"/>
                <w:sz w:val="24"/>
              </w:rPr>
            </w:pPr>
            <w:r>
              <w:rPr>
                <w:rFonts w:hint="eastAsia" w:asciiTheme="minorEastAsia" w:hAnsiTheme="minorEastAsia" w:cstheme="minorEastAsia"/>
                <w:color w:val="000000"/>
                <w:kern w:val="0"/>
                <w:sz w:val="24"/>
                <w:lang w:bidi="ar"/>
              </w:rPr>
              <w:t>散转1/4</w:t>
            </w:r>
          </w:p>
        </w:tc>
      </w:tr>
    </w:tbl>
    <w:p w14:paraId="0694641A">
      <w:pPr>
        <w:spacing w:after="156" w:afterLines="50" w:line="360" w:lineRule="auto"/>
        <w:ind w:firstLine="480" w:firstLineChars="200"/>
        <w:jc w:val="left"/>
        <w:rPr>
          <w:sz w:val="24"/>
        </w:rPr>
      </w:pPr>
      <w:r>
        <w:rPr>
          <w:rFonts w:hint="eastAsia"/>
          <w:color w:val="auto"/>
          <w:sz w:val="24"/>
        </w:rPr>
        <w:t>类似的例子并不少见，</w:t>
      </w:r>
      <w:r>
        <w:rPr>
          <w:rFonts w:hint="eastAsia"/>
          <w:color w:val="auto"/>
          <w:sz w:val="24"/>
          <w:lang w:val="en-US" w:eastAsia="zh-CN"/>
        </w:rPr>
        <w:t>阿炳二胡曲《二泉映月》中，循环变奏着的三个音乐材料并非在每一个乐段中均会再现，每次再现也不一定以完整形态再现。苏南十番锣鼓《十八六四二》中，循环着的音乐材料并不唯一，也不仅有一种循环方式。【细走马】循环出现，起连接与过渡作用。在作为对比部分的“一变”“二变”“三变”“四变”前后，【合头】与【合尾】亦循环出现。同样，在乐曲结束部分【金橄榄】连接乐曲最后一个曲牌【螺狮结顶】时，则由乐曲一开始出现的【急急风】做过渡连接。</w:t>
      </w:r>
      <w:r>
        <w:rPr>
          <w:sz w:val="24"/>
        </w:rPr>
        <w:t>这种渐进式的递归结构，使得整个乐曲能够保持高度的连贯性和内在统一感。递归不仅赋予音乐一种有机性，使得不同部分相互关联、相互支持，还在听觉上营造出一种和谐平稳的体验。这种音乐结构更注重音乐的自然展开和情感的层层递进，而非通过突然的对比来制造戏剧性的变化，从而形成中国</w:t>
      </w:r>
      <w:r>
        <w:rPr>
          <w:rFonts w:hint="eastAsia"/>
          <w:sz w:val="24"/>
        </w:rPr>
        <w:t>民间音乐</w:t>
      </w:r>
      <w:r>
        <w:rPr>
          <w:sz w:val="24"/>
        </w:rPr>
        <w:t>特有的韵律美。</w:t>
      </w:r>
    </w:p>
    <w:p w14:paraId="05D0EDC0">
      <w:pPr>
        <w:spacing w:after="156" w:afterLines="50" w:line="360" w:lineRule="auto"/>
        <w:ind w:firstLine="480" w:firstLineChars="200"/>
        <w:jc w:val="left"/>
        <w:rPr>
          <w:rFonts w:hint="eastAsia" w:ascii="宋体" w:hAnsi="宋体" w:eastAsia="宋体" w:cs="宋体"/>
          <w:sz w:val="24"/>
        </w:rPr>
      </w:pPr>
      <w:r>
        <w:rPr>
          <w:rFonts w:hint="eastAsia"/>
          <w:sz w:val="24"/>
        </w:rPr>
        <w:t>此外，</w:t>
      </w:r>
      <w:r>
        <w:rPr>
          <w:rFonts w:ascii="宋体" w:hAnsi="宋体" w:eastAsia="宋体" w:cs="宋体"/>
          <w:sz w:val="24"/>
        </w:rPr>
        <w:t>中国</w:t>
      </w:r>
      <w:r>
        <w:rPr>
          <w:rFonts w:hint="eastAsia" w:ascii="宋体" w:hAnsi="宋体" w:eastAsia="宋体" w:cs="宋体"/>
          <w:sz w:val="24"/>
        </w:rPr>
        <w:t>民间音乐</w:t>
      </w:r>
      <w:r>
        <w:rPr>
          <w:rFonts w:ascii="宋体" w:hAnsi="宋体" w:eastAsia="宋体" w:cs="宋体"/>
          <w:sz w:val="24"/>
        </w:rPr>
        <w:t>中的周期性布局通过节拍、旋律、结构对称性、情感递进等多种方式实现递归。这种递归不仅在音乐材料的表面重复中体现，还通过变化与发展的方式推动音乐的情感和结构，形成连贯、统一且富有表现力的音乐体验。周期性布局通常依赖于特定的节拍或旋律模式的循环再现。例如</w:t>
      </w:r>
      <w:r>
        <w:rPr>
          <w:rFonts w:hint="eastAsia" w:ascii="宋体" w:hAnsi="宋体" w:eastAsia="宋体" w:cs="宋体"/>
          <w:sz w:val="24"/>
        </w:rPr>
        <w:t>阿炳演奏的琵琶曲《龙船》结构可划分为ABACADAE，其中A段用琵琶模拟锣鼓乐，用以串联BCDE中【剪靛花】等民间小调。即使在《龙船》的不同传谱版本中，被串联的音乐段落数量虽有差别，但以模拟锣鼓音响的周期性音乐段落串联不同小曲的基本组织结构方式大体相同。</w:t>
      </w:r>
      <w:r>
        <w:rPr>
          <w:rFonts w:ascii="宋体" w:hAnsi="宋体" w:eastAsia="宋体" w:cs="宋体"/>
          <w:sz w:val="24"/>
        </w:rPr>
        <w:t>这种重复不仅使音乐具有稳定的结构，还创造出连贯的流动感。通过这些重复，递归得以实现，使得音乐听起来具有一种自然的连续性。</w:t>
      </w:r>
    </w:p>
    <w:p w14:paraId="3B3D89FC">
      <w:pPr>
        <w:spacing w:after="156" w:afterLines="50" w:line="360" w:lineRule="auto"/>
        <w:ind w:firstLine="482" w:firstLineChars="200"/>
        <w:jc w:val="left"/>
        <w:rPr>
          <w:rFonts w:hint="eastAsia" w:ascii="宋体" w:hAnsi="宋体" w:eastAsia="宋体" w:cs="宋体"/>
          <w:b/>
          <w:bCs/>
          <w:sz w:val="24"/>
        </w:rPr>
      </w:pPr>
      <w:r>
        <w:rPr>
          <w:rFonts w:hint="eastAsia" w:ascii="宋体" w:hAnsi="宋体" w:eastAsia="宋体" w:cs="宋体"/>
          <w:b/>
          <w:bCs/>
          <w:sz w:val="24"/>
        </w:rPr>
        <w:t>（二）微观循环中的衍生现象</w:t>
      </w:r>
    </w:p>
    <w:p w14:paraId="42E35AF8">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循环除作为一种宏观的固定曲式结构之外，同样作为微观一种音乐组织方式存在于传统民间音乐的生成过程中，这一现象可称为“微循环”。例如冀中管乐南乐会曲目中，《放驴》从高音向中音下行的re-si-la、do-si-la，以及在中音区先上行跳进然后下行级进sol-si-la，三个特性音型散落地贯穿全曲，尤其频繁地出现于包括如同山东鼓乐中的“穗子”、苏南十番锣鼓中的“金橄榄”和尾声在内的展开性段落中。这些在微观处循环着的乐汇对于组织《放驴》的音乐体量具有重要意义。</w:t>
      </w:r>
    </w:p>
    <w:p w14:paraId="2725AE71">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微循环”作为一种特殊的音乐现象，并不必然与循环体这一宏观音乐结构直接相联系，而是通过微观材料的展衍变化孕育出旋律的新生机。一方面，“微循环”的重复单位在篇幅上更为自由；另一方面，“微循环”在长度、节奏和位置的自由重复中还带有引申和发展。在李吉提的分析中，广东音乐《雨打芭蕉》</w:t>
      </w:r>
      <w:r>
        <w:rPr>
          <w:rFonts w:hint="eastAsia" w:ascii="宋体" w:hAnsi="宋体" w:eastAsia="宋体" w:cs="宋体"/>
          <w:sz w:val="24"/>
          <w:lang w:val="en-US" w:eastAsia="zh-CN"/>
        </w:rPr>
        <w:t>源自</w:t>
      </w:r>
      <w:r>
        <w:rPr>
          <w:rFonts w:hint="eastAsia" w:ascii="宋体" w:hAnsi="宋体" w:eastAsia="宋体" w:cs="宋体"/>
          <w:sz w:val="24"/>
        </w:rPr>
        <w:t>“老六板”</w:t>
      </w:r>
      <w:r>
        <w:rPr>
          <w:rStyle w:val="10"/>
          <w:rFonts w:hint="eastAsia" w:ascii="宋体" w:hAnsi="宋体" w:eastAsia="宋体" w:cs="宋体"/>
          <w:sz w:val="24"/>
        </w:rPr>
        <w:footnoteReference w:id="8"/>
      </w:r>
      <w:r>
        <w:rPr>
          <w:rFonts w:hint="eastAsia" w:ascii="宋体" w:hAnsi="宋体" w:eastAsia="宋体" w:cs="宋体"/>
          <w:sz w:val="24"/>
        </w:rPr>
        <w:t>。从其中的变化可以看出“微循环”在新旋律的诞生中的作用（谱例1），在《老六板》骨干音的框架下，微观的重复乐汇在奠定音乐整体风格的同时预示着其后的旋律走向，通过重复的内容寻求变化。</w:t>
      </w:r>
    </w:p>
    <w:p w14:paraId="6BA1F06D">
      <w:pPr>
        <w:spacing w:after="156" w:afterLines="50" w:line="360" w:lineRule="auto"/>
        <w:ind w:firstLine="482" w:firstLineChars="200"/>
        <w:jc w:val="center"/>
        <w:rPr>
          <w:rFonts w:hint="eastAsia" w:ascii="宋体" w:hAnsi="宋体" w:eastAsia="宋体" w:cs="宋体"/>
          <w:b/>
          <w:bCs/>
          <w:sz w:val="24"/>
        </w:rPr>
      </w:pPr>
      <w:r>
        <w:rPr>
          <w:rFonts w:hint="eastAsia" w:ascii="宋体" w:hAnsi="宋体" w:eastAsia="宋体" w:cs="宋体"/>
          <w:b/>
          <w:bCs/>
          <w:sz w:val="24"/>
        </w:rPr>
        <w:t>谱例1：广东音乐《雨打芭蕉》片段</w:t>
      </w:r>
    </w:p>
    <w:p w14:paraId="3E917B76">
      <w:pPr>
        <w:spacing w:after="156" w:afterLines="50" w:line="360" w:lineRule="auto"/>
        <w:ind w:firstLine="480" w:firstLineChars="200"/>
        <w:jc w:val="left"/>
        <w:rPr>
          <w:rFonts w:hint="eastAsia" w:ascii="宋体" w:hAnsi="宋体" w:eastAsia="宋体" w:cs="宋体"/>
          <w:sz w:val="24"/>
        </w:rPr>
      </w:pPr>
      <w:r>
        <w:rPr>
          <w:rFonts w:ascii="宋体" w:hAnsi="宋体" w:eastAsia="宋体" w:cs="宋体"/>
          <w:sz w:val="24"/>
        </w:rPr>
        <w:drawing>
          <wp:inline distT="0" distB="0" distL="114300" distR="114300">
            <wp:extent cx="5273675" cy="1874520"/>
            <wp:effectExtent l="0" t="0" r="14605" b="0"/>
            <wp:docPr id="11" name="图片 11" descr="004154fee442156bc8ba7fc6aa16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04154fee442156bc8ba7fc6aa1663e"/>
                    <pic:cNvPicPr>
                      <a:picLocks noChangeAspect="1"/>
                    </pic:cNvPicPr>
                  </pic:nvPicPr>
                  <pic:blipFill>
                    <a:blip r:embed="rId5"/>
                    <a:stretch>
                      <a:fillRect/>
                    </a:stretch>
                  </pic:blipFill>
                  <pic:spPr>
                    <a:xfrm>
                      <a:off x="0" y="0"/>
                      <a:ext cx="5273675" cy="1874520"/>
                    </a:xfrm>
                    <a:prstGeom prst="rect">
                      <a:avLst/>
                    </a:prstGeom>
                  </pic:spPr>
                </pic:pic>
              </a:graphicData>
            </a:graphic>
          </wp:inline>
        </w:drawing>
      </w:r>
    </w:p>
    <w:p w14:paraId="6E3A2D10">
      <w:pPr>
        <w:spacing w:after="156" w:afterLines="50" w:line="360" w:lineRule="auto"/>
        <w:ind w:firstLine="480" w:firstLineChars="200"/>
        <w:jc w:val="left"/>
        <w:rPr>
          <w:rFonts w:hint="default" w:ascii="宋体" w:hAnsi="宋体" w:eastAsia="宋体" w:cs="宋体"/>
          <w:color w:val="auto"/>
          <w:sz w:val="24"/>
          <w:lang w:val="en-US" w:eastAsia="zh-CN"/>
        </w:rPr>
      </w:pPr>
      <w:r>
        <w:rPr>
          <w:rFonts w:hint="eastAsia" w:ascii="宋体" w:hAnsi="宋体" w:eastAsia="宋体" w:cs="宋体"/>
          <w:sz w:val="24"/>
        </w:rPr>
        <w:t>在一些特殊情况中，这种依附于主干旋律的音乐细节连续叠奏可以形成“垛”。多次重复的“垛”一般用于字多腔少和节奏紧凑的部分，以形成对某一局部乐思的发挥和扩充，具备某种意义上的展开功能。</w:t>
      </w:r>
      <w:r>
        <w:rPr>
          <w:rFonts w:hint="eastAsia" w:ascii="宋体" w:hAnsi="宋体" w:eastAsia="宋体" w:cs="宋体"/>
          <w:color w:val="auto"/>
          <w:sz w:val="24"/>
        </w:rPr>
        <w:t>例如彝族民歌《猜调》主要围绕在骨干落音上</w:t>
      </w:r>
      <w:r>
        <w:rPr>
          <w:rFonts w:hint="eastAsia" w:ascii="宋体" w:hAnsi="宋体" w:eastAsia="宋体" w:cs="宋体"/>
          <w:color w:val="auto"/>
          <w:sz w:val="24"/>
          <w:lang w:val="en-US" w:eastAsia="zh-CN"/>
        </w:rPr>
        <w:t>以特定节奏型</w:t>
      </w:r>
      <w:r>
        <w:rPr>
          <w:rFonts w:hint="eastAsia" w:ascii="宋体" w:hAnsi="宋体" w:eastAsia="宋体" w:cs="宋体"/>
          <w:color w:val="auto"/>
          <w:sz w:val="24"/>
        </w:rPr>
        <w:t>形成垛句</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旋律相对自由，以形成对局部乐思的发挥（谱例2a）。河北梆子《大登殿》唱段“金牌调来音牌宣”中“原来是平郎丈夫”一句后的垛句（谱例2b）则是相同音高的不断重复来形成垛句。</w:t>
      </w:r>
    </w:p>
    <w:p w14:paraId="22A473B0">
      <w:pPr>
        <w:spacing w:after="156" w:afterLines="50" w:line="360" w:lineRule="auto"/>
        <w:ind w:firstLine="482" w:firstLineChars="200"/>
        <w:jc w:val="center"/>
        <w:rPr>
          <w:rFonts w:hint="default"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谱例2a：彝族民歌《猜调》垛句</w:t>
      </w:r>
    </w:p>
    <w:p w14:paraId="7DFF0331">
      <w:pPr>
        <w:spacing w:after="156" w:afterLines="50" w:line="360" w:lineRule="auto"/>
        <w:ind w:firstLine="480" w:firstLineChars="200"/>
        <w:jc w:val="left"/>
        <w:rPr>
          <w:rFonts w:hint="default" w:ascii="宋体" w:hAnsi="宋体" w:eastAsia="宋体" w:cs="宋体"/>
          <w:color w:val="auto"/>
          <w:sz w:val="24"/>
          <w:lang w:val="en-US" w:eastAsia="zh-CN"/>
        </w:rPr>
      </w:pPr>
      <w:r>
        <w:rPr>
          <w:rFonts w:hint="default" w:ascii="宋体" w:hAnsi="宋体" w:eastAsia="宋体" w:cs="宋体"/>
          <w:color w:val="auto"/>
          <w:sz w:val="24"/>
          <w:lang w:val="en-US" w:eastAsia="zh-CN"/>
        </w:rPr>
        <w:drawing>
          <wp:inline distT="0" distB="0" distL="114300" distR="114300">
            <wp:extent cx="5273675" cy="824865"/>
            <wp:effectExtent l="0" t="0" r="14605" b="13335"/>
            <wp:docPr id="6" name="图片 6" descr="acfc77272644d2a555b99f6ef8b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cfc77272644d2a555b99f6ef8b8509"/>
                    <pic:cNvPicPr>
                      <a:picLocks noChangeAspect="1"/>
                    </pic:cNvPicPr>
                  </pic:nvPicPr>
                  <pic:blipFill>
                    <a:blip r:embed="rId6"/>
                    <a:stretch>
                      <a:fillRect/>
                    </a:stretch>
                  </pic:blipFill>
                  <pic:spPr>
                    <a:xfrm>
                      <a:off x="0" y="0"/>
                      <a:ext cx="5273675" cy="824865"/>
                    </a:xfrm>
                    <a:prstGeom prst="rect">
                      <a:avLst/>
                    </a:prstGeom>
                  </pic:spPr>
                </pic:pic>
              </a:graphicData>
            </a:graphic>
          </wp:inline>
        </w:drawing>
      </w:r>
    </w:p>
    <w:p w14:paraId="1A27B431">
      <w:pPr>
        <w:spacing w:after="156" w:afterLines="50" w:line="360" w:lineRule="auto"/>
        <w:ind w:firstLine="482" w:firstLineChars="200"/>
        <w:jc w:val="center"/>
        <w:rPr>
          <w:rFonts w:hint="default" w:eastAsia="宋体"/>
          <w:b/>
          <w:bCs/>
          <w:lang w:val="en-US" w:eastAsia="zh-CN"/>
        </w:rPr>
      </w:pPr>
      <w:r>
        <w:rPr>
          <w:rFonts w:hint="eastAsia" w:ascii="宋体" w:hAnsi="宋体" w:eastAsia="宋体" w:cs="宋体"/>
          <w:b/>
          <w:bCs/>
          <w:color w:val="auto"/>
          <w:sz w:val="24"/>
          <w:lang w:val="en-US" w:eastAsia="zh-CN"/>
        </w:rPr>
        <w:t>谱例2b：河北梆子《大登殿》唱段“金牌调来音牌宣”垛句</w:t>
      </w:r>
      <w:bookmarkStart w:id="1" w:name="_GoBack"/>
      <w:bookmarkEnd w:id="1"/>
    </w:p>
    <w:p w14:paraId="5FCE123F">
      <w:pPr>
        <w:pStyle w:val="2"/>
        <w:widowControl/>
        <w:jc w:val="center"/>
        <w:rPr>
          <w:rFonts w:hint="eastAsia" w:eastAsia="宋体"/>
          <w:lang w:eastAsia="zh-CN"/>
        </w:rPr>
      </w:pPr>
      <w:r>
        <w:rPr>
          <w:rFonts w:hint="eastAsia" w:eastAsia="宋体"/>
          <w:lang w:eastAsia="zh-CN"/>
        </w:rPr>
        <w:drawing>
          <wp:inline distT="0" distB="0" distL="114300" distR="114300">
            <wp:extent cx="5270500" cy="1391285"/>
            <wp:effectExtent l="0" t="0" r="2540" b="10795"/>
            <wp:docPr id="7" name="图片 7" descr="4d5e3af20f251d719ac2163828fd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d5e3af20f251d719ac2163828fdeee"/>
                    <pic:cNvPicPr>
                      <a:picLocks noChangeAspect="1"/>
                    </pic:cNvPicPr>
                  </pic:nvPicPr>
                  <pic:blipFill>
                    <a:blip r:embed="rId7"/>
                    <a:stretch>
                      <a:fillRect/>
                    </a:stretch>
                  </pic:blipFill>
                  <pic:spPr>
                    <a:xfrm>
                      <a:off x="0" y="0"/>
                      <a:ext cx="5270500" cy="1391285"/>
                    </a:xfrm>
                    <a:prstGeom prst="rect">
                      <a:avLst/>
                    </a:prstGeom>
                  </pic:spPr>
                </pic:pic>
              </a:graphicData>
            </a:graphic>
          </wp:inline>
        </w:drawing>
      </w:r>
    </w:p>
    <w:p w14:paraId="48DFBECA">
      <w:pPr>
        <w:pStyle w:val="2"/>
        <w:widowControl/>
      </w:pPr>
      <w:r>
        <w:t>（三）递归与衍生的交互生成</w:t>
      </w:r>
    </w:p>
    <w:p w14:paraId="4AA72E83">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递归是中国民间音乐循环思维的核心特征之一，它为音乐提供了稳定的结构框架，从而确保了作品在形式上的连贯性和统一性。然而，虽然递归通过重复使音乐保持整体性，但单纯的重复往往会使音乐显得单调。因此，衍生成为推动音乐发展的关键因素。</w:t>
      </w:r>
    </w:p>
    <w:p w14:paraId="0AB03D59">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衍生指的是在递归的基础上，音乐元素经历细微变化的过程，这些变化推动音乐不断向前发展。与递归的简单重复不同，衍生并不依赖强烈的对比，而是通过渐进的方式，使音乐在熟悉的框架内逐渐展现新的层次和深度。衍生并非独立于递归存在，它实际上是递归循环展开的自然延伸。在每一次递归中，虽然音乐的核心形态保持不变，但通过旋律的装饰、节奏的微调或音色的变化等细节，音乐逐步发生演化。正是这些细微的变化，使得音乐在看似重复的非对称结构中不断衍生，避免了音乐的僵化，增强了其表现力和感染力。递归和衍生并非彼此对立，而是相辅相成，交替推动音乐在形式和情感上的丰富与发展。递归为音乐提供了稳定的框架，而衍生通过细节的变化和渐进的方式，使得音乐在循环中不断焕发新意。</w:t>
      </w:r>
    </w:p>
    <w:p w14:paraId="262E2612">
      <w:pPr>
        <w:spacing w:after="156" w:afterLines="50" w:line="360" w:lineRule="auto"/>
        <w:ind w:firstLine="480" w:firstLineChars="200"/>
        <w:jc w:val="left"/>
        <w:rPr>
          <w:sz w:val="24"/>
        </w:rPr>
      </w:pPr>
      <w:r>
        <w:rPr>
          <w:rFonts w:hint="eastAsia"/>
          <w:sz w:val="24"/>
        </w:rPr>
        <w:t>以《牡丹亭·游园》为例，这折由【绕阳台】【步步娇】【醉扶归】【皂罗袍】【好姐姐】和【隔尾】构成的套曲呈现出</w:t>
      </w:r>
      <w:r>
        <w:rPr>
          <w:rFonts w:ascii="宋体" w:hAnsi="宋体" w:eastAsia="宋体" w:cs="宋体"/>
          <w:sz w:val="24"/>
        </w:rPr>
        <w:t>“散</w:t>
      </w:r>
      <w:r>
        <w:rPr>
          <w:rFonts w:hint="eastAsia" w:ascii="宋体" w:hAnsi="宋体" w:eastAsia="宋体" w:cs="宋体"/>
          <w:sz w:val="24"/>
        </w:rPr>
        <w:t>－</w:t>
      </w:r>
      <w:r>
        <w:rPr>
          <w:rFonts w:ascii="宋体" w:hAnsi="宋体" w:eastAsia="宋体" w:cs="宋体"/>
          <w:sz w:val="24"/>
        </w:rPr>
        <w:t>慢</w:t>
      </w:r>
      <w:r>
        <w:rPr>
          <w:rFonts w:hint="eastAsia" w:ascii="宋体" w:hAnsi="宋体" w:eastAsia="宋体" w:cs="宋体"/>
          <w:sz w:val="24"/>
        </w:rPr>
        <w:t>－</w:t>
      </w:r>
      <w:r>
        <w:rPr>
          <w:rFonts w:ascii="宋体" w:hAnsi="宋体" w:eastAsia="宋体" w:cs="宋体"/>
          <w:sz w:val="24"/>
        </w:rPr>
        <w:t>中</w:t>
      </w:r>
      <w:r>
        <w:rPr>
          <w:rFonts w:hint="eastAsia" w:ascii="宋体" w:hAnsi="宋体" w:eastAsia="宋体" w:cs="宋体"/>
          <w:sz w:val="24"/>
        </w:rPr>
        <w:t>－</w:t>
      </w:r>
      <w:r>
        <w:rPr>
          <w:rFonts w:ascii="宋体" w:hAnsi="宋体" w:eastAsia="宋体" w:cs="宋体"/>
          <w:sz w:val="24"/>
        </w:rPr>
        <w:t>散”的结构</w:t>
      </w:r>
      <w:r>
        <w:rPr>
          <w:rFonts w:hint="eastAsia" w:ascii="宋体" w:hAnsi="宋体" w:eastAsia="宋体" w:cs="宋体"/>
          <w:sz w:val="24"/>
        </w:rPr>
        <w:t>形式（表3）</w:t>
      </w:r>
      <w:r>
        <w:rPr>
          <w:rFonts w:ascii="宋体" w:hAnsi="宋体" w:eastAsia="宋体" w:cs="宋体"/>
          <w:sz w:val="24"/>
        </w:rPr>
        <w:t>。这种结构不仅在形式上有明显的时间层次，还通过节奏的变换为情感递进提供了音乐基础。开篇的引子【绕阳台】和尾声【隔尾】均为散板，中间的四个曲牌则依次采用了不同的节奏与板式。引子【绕阳台】通过慢速的吟唱和缓慢的节奏，逐渐引导听众进入戏剧情境，呈现了时间的延展感。这种渐进式的进入方式，使得观众在音乐的时间框架中逐步沉浸，慢速的节奏为情感的酝酿提供了空间。</w:t>
      </w:r>
    </w:p>
    <w:p w14:paraId="537756DB">
      <w:pPr>
        <w:spacing w:after="156" w:afterLines="50" w:line="360" w:lineRule="auto"/>
        <w:ind w:firstLine="482" w:firstLineChars="200"/>
        <w:jc w:val="center"/>
        <w:rPr>
          <w:b/>
          <w:bCs/>
          <w:sz w:val="24"/>
        </w:rPr>
      </w:pPr>
      <w:r>
        <w:rPr>
          <w:rFonts w:hint="eastAsia"/>
          <w:b/>
          <w:bCs/>
          <w:sz w:val="24"/>
        </w:rPr>
        <w:t>表3：《牡丹亭·游园》结构划分，单奕翔整理</w:t>
      </w:r>
    </w:p>
    <w:tbl>
      <w:tblPr>
        <w:tblStyle w:val="6"/>
        <w:tblW w:w="5760" w:type="dxa"/>
        <w:jc w:val="center"/>
        <w:tblLayout w:type="autofit"/>
        <w:tblCellMar>
          <w:top w:w="0" w:type="dxa"/>
          <w:left w:w="108" w:type="dxa"/>
          <w:bottom w:w="0" w:type="dxa"/>
          <w:right w:w="108" w:type="dxa"/>
        </w:tblCellMar>
      </w:tblPr>
      <w:tblGrid>
        <w:gridCol w:w="2261"/>
        <w:gridCol w:w="1355"/>
        <w:gridCol w:w="1468"/>
        <w:gridCol w:w="676"/>
      </w:tblGrid>
      <w:tr w14:paraId="10B5AF2D">
        <w:tblPrEx>
          <w:tblCellMar>
            <w:top w:w="0" w:type="dxa"/>
            <w:left w:w="108" w:type="dxa"/>
            <w:bottom w:w="0" w:type="dxa"/>
            <w:right w:w="108" w:type="dxa"/>
          </w:tblCellMar>
        </w:tblPrEx>
        <w:trPr>
          <w:trHeight w:val="288" w:hRule="atLeast"/>
          <w:jc w:val="center"/>
        </w:trPr>
        <w:tc>
          <w:tcPr>
            <w:tcW w:w="5760"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244BF2F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小工调（1=D）</w:t>
            </w:r>
          </w:p>
        </w:tc>
      </w:tr>
      <w:tr w14:paraId="793DC6F9">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250E0DF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曲牌</w:t>
            </w:r>
          </w:p>
        </w:tc>
        <w:tc>
          <w:tcPr>
            <w:tcW w:w="0" w:type="auto"/>
            <w:tcBorders>
              <w:top w:val="nil"/>
              <w:left w:val="nil"/>
              <w:bottom w:val="single" w:color="auto" w:sz="4" w:space="0"/>
              <w:right w:val="single" w:color="auto" w:sz="4" w:space="0"/>
            </w:tcBorders>
            <w:shd w:val="clear" w:color="auto" w:fill="auto"/>
            <w:noWrap/>
            <w:vAlign w:val="center"/>
          </w:tcPr>
          <w:p w14:paraId="273A948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板式</w:t>
            </w:r>
          </w:p>
        </w:tc>
        <w:tc>
          <w:tcPr>
            <w:tcW w:w="0" w:type="auto"/>
            <w:tcBorders>
              <w:top w:val="nil"/>
              <w:left w:val="nil"/>
              <w:bottom w:val="single" w:color="auto" w:sz="4" w:space="0"/>
              <w:right w:val="single" w:color="auto" w:sz="4" w:space="0"/>
            </w:tcBorders>
            <w:shd w:val="clear" w:color="auto" w:fill="auto"/>
            <w:noWrap/>
            <w:vAlign w:val="center"/>
          </w:tcPr>
          <w:p w14:paraId="0D61943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乐句</w:t>
            </w:r>
          </w:p>
        </w:tc>
        <w:tc>
          <w:tcPr>
            <w:tcW w:w="0" w:type="auto"/>
            <w:tcBorders>
              <w:top w:val="nil"/>
              <w:left w:val="nil"/>
              <w:bottom w:val="single" w:color="auto" w:sz="4" w:space="0"/>
              <w:right w:val="single" w:color="auto" w:sz="4" w:space="0"/>
            </w:tcBorders>
            <w:shd w:val="clear" w:color="auto" w:fill="auto"/>
            <w:noWrap/>
            <w:vAlign w:val="center"/>
          </w:tcPr>
          <w:p w14:paraId="737F647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调式</w:t>
            </w:r>
          </w:p>
        </w:tc>
      </w:tr>
      <w:tr w14:paraId="07D19147">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5207430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【绕阳台】（商调）</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7BA263A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散板</w:t>
            </w:r>
          </w:p>
        </w:tc>
        <w:tc>
          <w:tcPr>
            <w:tcW w:w="0" w:type="auto"/>
            <w:tcBorders>
              <w:top w:val="nil"/>
              <w:left w:val="nil"/>
              <w:bottom w:val="single" w:color="auto" w:sz="4" w:space="0"/>
              <w:right w:val="single" w:color="auto" w:sz="4" w:space="0"/>
            </w:tcBorders>
            <w:shd w:val="clear" w:color="auto" w:fill="auto"/>
            <w:noWrap/>
            <w:vAlign w:val="center"/>
          </w:tcPr>
          <w:p w14:paraId="1FD5621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a【绕地游】</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5821128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120B5E71">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DBF1368">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658429D">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330065F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b【高阳台】</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15481FC">
            <w:pPr>
              <w:jc w:val="center"/>
              <w:rPr>
                <w:rFonts w:hint="eastAsia" w:ascii="宋体" w:hAnsi="宋体" w:eastAsia="宋体" w:cs="宋体"/>
                <w:color w:val="000000"/>
                <w:sz w:val="22"/>
                <w:szCs w:val="22"/>
              </w:rPr>
            </w:pPr>
          </w:p>
        </w:tc>
      </w:tr>
      <w:tr w14:paraId="55277A8E">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5932C9E0">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C777264">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5D6C1BE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c【绕地游】</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177741E4">
            <w:pPr>
              <w:jc w:val="center"/>
              <w:rPr>
                <w:rFonts w:hint="eastAsia" w:ascii="宋体" w:hAnsi="宋体" w:eastAsia="宋体" w:cs="宋体"/>
                <w:color w:val="000000"/>
                <w:sz w:val="22"/>
                <w:szCs w:val="22"/>
              </w:rPr>
            </w:pPr>
          </w:p>
        </w:tc>
      </w:tr>
      <w:tr w14:paraId="7A7BC726">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695724D">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E4ED036">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0096721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6A3F1B0">
            <w:pPr>
              <w:jc w:val="center"/>
              <w:rPr>
                <w:rFonts w:hint="eastAsia" w:ascii="宋体" w:hAnsi="宋体" w:eastAsia="宋体" w:cs="宋体"/>
                <w:color w:val="000000"/>
                <w:sz w:val="22"/>
                <w:szCs w:val="22"/>
              </w:rPr>
            </w:pPr>
          </w:p>
        </w:tc>
      </w:tr>
      <w:tr w14:paraId="60D8731A">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7993FCD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3D56D7D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47A2F49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白</w:t>
            </w:r>
          </w:p>
        </w:tc>
        <w:tc>
          <w:tcPr>
            <w:tcW w:w="0" w:type="auto"/>
            <w:tcBorders>
              <w:top w:val="nil"/>
              <w:left w:val="nil"/>
              <w:bottom w:val="single" w:color="auto" w:sz="4" w:space="0"/>
              <w:right w:val="single" w:color="auto" w:sz="4" w:space="0"/>
            </w:tcBorders>
            <w:shd w:val="clear" w:color="auto" w:fill="auto"/>
            <w:noWrap/>
            <w:vAlign w:val="center"/>
          </w:tcPr>
          <w:p w14:paraId="518E72D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406BFEFA">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6AC493D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【步步娇】（仙吕）</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1268B8C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散起至慢板</w:t>
            </w:r>
          </w:p>
        </w:tc>
        <w:tc>
          <w:tcPr>
            <w:tcW w:w="0" w:type="auto"/>
            <w:tcBorders>
              <w:top w:val="nil"/>
              <w:left w:val="nil"/>
              <w:bottom w:val="single" w:color="auto" w:sz="4" w:space="0"/>
              <w:right w:val="single" w:color="auto" w:sz="4" w:space="0"/>
            </w:tcBorders>
            <w:shd w:val="clear" w:color="auto" w:fill="auto"/>
            <w:noWrap/>
            <w:vAlign w:val="center"/>
          </w:tcPr>
          <w:p w14:paraId="5685BF7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640F779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62297D5E">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A2180DC">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25928B3">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17B3E6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a1</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01509E6">
            <w:pPr>
              <w:jc w:val="center"/>
              <w:rPr>
                <w:rFonts w:hint="eastAsia" w:ascii="宋体" w:hAnsi="宋体" w:eastAsia="宋体" w:cs="宋体"/>
                <w:color w:val="000000"/>
                <w:sz w:val="22"/>
                <w:szCs w:val="22"/>
              </w:rPr>
            </w:pPr>
          </w:p>
        </w:tc>
      </w:tr>
      <w:tr w14:paraId="1ED25B85">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CBB5D8E">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B010BB1">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222A6FE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tcBorders>
              <w:top w:val="nil"/>
              <w:left w:val="nil"/>
              <w:bottom w:val="single" w:color="auto" w:sz="4" w:space="0"/>
              <w:right w:val="single" w:color="auto" w:sz="4" w:space="0"/>
            </w:tcBorders>
            <w:shd w:val="clear" w:color="auto" w:fill="auto"/>
            <w:noWrap/>
            <w:vAlign w:val="center"/>
          </w:tcPr>
          <w:p w14:paraId="51149CD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3992264A">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70DCE9E">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7BC39F2">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4B07DBB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w:t>
            </w:r>
          </w:p>
        </w:tc>
        <w:tc>
          <w:tcPr>
            <w:tcW w:w="0" w:type="auto"/>
            <w:tcBorders>
              <w:top w:val="nil"/>
              <w:left w:val="nil"/>
              <w:bottom w:val="single" w:color="auto" w:sz="4" w:space="0"/>
              <w:right w:val="single" w:color="auto" w:sz="4" w:space="0"/>
            </w:tcBorders>
            <w:shd w:val="clear" w:color="auto" w:fill="auto"/>
            <w:noWrap/>
            <w:vAlign w:val="center"/>
          </w:tcPr>
          <w:p w14:paraId="0785F84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647CD4C0">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6D3B9B4">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387F98A">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427D2A7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b1</w:t>
            </w:r>
          </w:p>
        </w:tc>
        <w:tc>
          <w:tcPr>
            <w:tcW w:w="0" w:type="auto"/>
            <w:tcBorders>
              <w:top w:val="nil"/>
              <w:left w:val="nil"/>
              <w:bottom w:val="single" w:color="auto" w:sz="4" w:space="0"/>
              <w:right w:val="single" w:color="auto" w:sz="4" w:space="0"/>
            </w:tcBorders>
            <w:shd w:val="clear" w:color="auto" w:fill="auto"/>
            <w:noWrap/>
            <w:vAlign w:val="center"/>
          </w:tcPr>
          <w:p w14:paraId="56D27FC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2E164977">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3FAB353">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3BE4E5E">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16D1567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a2</w:t>
            </w:r>
          </w:p>
        </w:tc>
        <w:tc>
          <w:tcPr>
            <w:tcW w:w="0" w:type="auto"/>
            <w:tcBorders>
              <w:top w:val="nil"/>
              <w:left w:val="nil"/>
              <w:bottom w:val="single" w:color="auto" w:sz="4" w:space="0"/>
              <w:right w:val="single" w:color="auto" w:sz="4" w:space="0"/>
            </w:tcBorders>
            <w:shd w:val="clear" w:color="auto" w:fill="auto"/>
            <w:noWrap/>
            <w:vAlign w:val="center"/>
          </w:tcPr>
          <w:p w14:paraId="77EF302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宫</w:t>
            </w:r>
          </w:p>
        </w:tc>
      </w:tr>
      <w:tr w14:paraId="594D709C">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280D2E3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【醉扶归】（仙吕）</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1CB3324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散起至慢板</w:t>
            </w:r>
          </w:p>
        </w:tc>
        <w:tc>
          <w:tcPr>
            <w:tcW w:w="0" w:type="auto"/>
            <w:tcBorders>
              <w:top w:val="nil"/>
              <w:left w:val="nil"/>
              <w:bottom w:val="single" w:color="auto" w:sz="4" w:space="0"/>
              <w:right w:val="single" w:color="auto" w:sz="4" w:space="0"/>
            </w:tcBorders>
            <w:shd w:val="clear" w:color="auto" w:fill="auto"/>
            <w:noWrap/>
            <w:vAlign w:val="center"/>
          </w:tcPr>
          <w:p w14:paraId="219D758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30B2E02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72C92461">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AE5FEF8">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47331F5">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425050E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1E3BAF84">
            <w:pPr>
              <w:jc w:val="center"/>
              <w:rPr>
                <w:rFonts w:hint="eastAsia" w:ascii="宋体" w:hAnsi="宋体" w:eastAsia="宋体" w:cs="宋体"/>
                <w:color w:val="000000"/>
                <w:sz w:val="22"/>
                <w:szCs w:val="22"/>
              </w:rPr>
            </w:pPr>
          </w:p>
        </w:tc>
      </w:tr>
      <w:tr w14:paraId="6531FCB4">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9859DBE">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6014949">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A651F0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14644183">
            <w:pPr>
              <w:jc w:val="center"/>
              <w:rPr>
                <w:rFonts w:hint="eastAsia" w:ascii="宋体" w:hAnsi="宋体" w:eastAsia="宋体" w:cs="宋体"/>
                <w:color w:val="000000"/>
                <w:sz w:val="22"/>
                <w:szCs w:val="22"/>
              </w:rPr>
            </w:pPr>
          </w:p>
        </w:tc>
      </w:tr>
      <w:tr w14:paraId="3BA4A788">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9B8757C">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47FE5B2">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99BBAB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w:t>
            </w:r>
          </w:p>
        </w:tc>
        <w:tc>
          <w:tcPr>
            <w:tcW w:w="0" w:type="auto"/>
            <w:tcBorders>
              <w:top w:val="nil"/>
              <w:left w:val="nil"/>
              <w:bottom w:val="single" w:color="auto" w:sz="4" w:space="0"/>
              <w:right w:val="single" w:color="auto" w:sz="4" w:space="0"/>
            </w:tcBorders>
            <w:shd w:val="clear" w:color="auto" w:fill="auto"/>
            <w:noWrap/>
            <w:vAlign w:val="center"/>
          </w:tcPr>
          <w:p w14:paraId="66573BF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商</w:t>
            </w:r>
          </w:p>
        </w:tc>
      </w:tr>
      <w:tr w14:paraId="2EDF58AA">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6BBF1B6">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3349CC5">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746F209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e</w:t>
            </w:r>
          </w:p>
        </w:tc>
        <w:tc>
          <w:tcPr>
            <w:tcW w:w="0" w:type="auto"/>
            <w:tcBorders>
              <w:top w:val="nil"/>
              <w:left w:val="nil"/>
              <w:bottom w:val="single" w:color="auto" w:sz="4" w:space="0"/>
              <w:right w:val="single" w:color="auto" w:sz="4" w:space="0"/>
            </w:tcBorders>
            <w:shd w:val="clear" w:color="auto" w:fill="auto"/>
            <w:noWrap/>
            <w:vAlign w:val="center"/>
          </w:tcPr>
          <w:p w14:paraId="6642E1D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4A5160D3">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9593DE2">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FA7F5EB">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69922B0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f</w:t>
            </w:r>
          </w:p>
        </w:tc>
        <w:tc>
          <w:tcPr>
            <w:tcW w:w="0" w:type="auto"/>
            <w:tcBorders>
              <w:top w:val="nil"/>
              <w:left w:val="nil"/>
              <w:bottom w:val="single" w:color="auto" w:sz="4" w:space="0"/>
              <w:right w:val="single" w:color="auto" w:sz="4" w:space="0"/>
            </w:tcBorders>
            <w:shd w:val="clear" w:color="auto" w:fill="auto"/>
            <w:noWrap/>
            <w:vAlign w:val="center"/>
          </w:tcPr>
          <w:p w14:paraId="2788E8A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5AF86BB1">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2EFC4D8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2037FE5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1F24A9C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白</w:t>
            </w:r>
          </w:p>
        </w:tc>
        <w:tc>
          <w:tcPr>
            <w:tcW w:w="0" w:type="auto"/>
            <w:tcBorders>
              <w:top w:val="nil"/>
              <w:left w:val="nil"/>
              <w:bottom w:val="single" w:color="auto" w:sz="4" w:space="0"/>
              <w:right w:val="single" w:color="auto" w:sz="4" w:space="0"/>
            </w:tcBorders>
            <w:shd w:val="clear" w:color="auto" w:fill="auto"/>
            <w:noWrap/>
            <w:vAlign w:val="center"/>
          </w:tcPr>
          <w:p w14:paraId="5C91A87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3A757C88">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0748415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【皂罗袍】（仙吕）</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79FE75F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散起至中板</w:t>
            </w:r>
          </w:p>
        </w:tc>
        <w:tc>
          <w:tcPr>
            <w:tcW w:w="0" w:type="auto"/>
            <w:tcBorders>
              <w:top w:val="nil"/>
              <w:left w:val="nil"/>
              <w:bottom w:val="single" w:color="auto" w:sz="4" w:space="0"/>
              <w:right w:val="single" w:color="auto" w:sz="4" w:space="0"/>
            </w:tcBorders>
            <w:shd w:val="clear" w:color="auto" w:fill="auto"/>
            <w:noWrap/>
            <w:vAlign w:val="center"/>
          </w:tcPr>
          <w:p w14:paraId="3201B2F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w:t>
            </w:r>
          </w:p>
        </w:tc>
        <w:tc>
          <w:tcPr>
            <w:tcW w:w="0" w:type="auto"/>
            <w:tcBorders>
              <w:top w:val="nil"/>
              <w:left w:val="nil"/>
              <w:bottom w:val="single" w:color="auto" w:sz="4" w:space="0"/>
              <w:right w:val="single" w:color="auto" w:sz="4" w:space="0"/>
            </w:tcBorders>
            <w:shd w:val="clear" w:color="auto" w:fill="auto"/>
            <w:noWrap/>
            <w:vAlign w:val="center"/>
          </w:tcPr>
          <w:p w14:paraId="063BAD5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3D7E335A">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8374167">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AD4D7A6">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2261BCD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tcBorders>
              <w:top w:val="nil"/>
              <w:left w:val="nil"/>
              <w:bottom w:val="single" w:color="auto" w:sz="4" w:space="0"/>
              <w:right w:val="single" w:color="auto" w:sz="4" w:space="0"/>
            </w:tcBorders>
            <w:shd w:val="clear" w:color="auto" w:fill="auto"/>
            <w:noWrap/>
            <w:vAlign w:val="center"/>
          </w:tcPr>
          <w:p w14:paraId="1A97680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5C66395B">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D84CBA1">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5A84A159">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2D2EC69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w:t>
            </w:r>
          </w:p>
        </w:tc>
        <w:tc>
          <w:tcPr>
            <w:tcW w:w="0" w:type="auto"/>
            <w:tcBorders>
              <w:top w:val="nil"/>
              <w:left w:val="nil"/>
              <w:bottom w:val="single" w:color="auto" w:sz="4" w:space="0"/>
              <w:right w:val="single" w:color="auto" w:sz="4" w:space="0"/>
            </w:tcBorders>
            <w:shd w:val="clear" w:color="auto" w:fill="auto"/>
            <w:noWrap/>
            <w:vAlign w:val="center"/>
          </w:tcPr>
          <w:p w14:paraId="7684B6D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7DF9D2D1">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58B33232">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D9995B5">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3811300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d1</w:t>
            </w:r>
          </w:p>
        </w:tc>
        <w:tc>
          <w:tcPr>
            <w:tcW w:w="0" w:type="auto"/>
            <w:tcBorders>
              <w:top w:val="nil"/>
              <w:left w:val="nil"/>
              <w:bottom w:val="single" w:color="auto" w:sz="4" w:space="0"/>
              <w:right w:val="single" w:color="auto" w:sz="4" w:space="0"/>
            </w:tcBorders>
            <w:shd w:val="clear" w:color="auto" w:fill="auto"/>
            <w:noWrap/>
            <w:vAlign w:val="center"/>
          </w:tcPr>
          <w:p w14:paraId="066C25F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26B6EE22">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7419847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【好姐姐】（仙吕）</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11FB189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中板</w:t>
            </w:r>
          </w:p>
        </w:tc>
        <w:tc>
          <w:tcPr>
            <w:tcW w:w="0" w:type="auto"/>
            <w:tcBorders>
              <w:top w:val="nil"/>
              <w:left w:val="nil"/>
              <w:bottom w:val="single" w:color="auto" w:sz="4" w:space="0"/>
              <w:right w:val="single" w:color="auto" w:sz="4" w:space="0"/>
            </w:tcBorders>
            <w:shd w:val="clear" w:color="auto" w:fill="auto"/>
            <w:noWrap/>
            <w:vAlign w:val="center"/>
          </w:tcPr>
          <w:p w14:paraId="68EBAA4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w:t>
            </w:r>
          </w:p>
        </w:tc>
        <w:tc>
          <w:tcPr>
            <w:tcW w:w="0" w:type="auto"/>
            <w:tcBorders>
              <w:top w:val="nil"/>
              <w:left w:val="nil"/>
              <w:bottom w:val="single" w:color="auto" w:sz="4" w:space="0"/>
              <w:right w:val="single" w:color="auto" w:sz="4" w:space="0"/>
            </w:tcBorders>
            <w:shd w:val="clear" w:color="auto" w:fill="auto"/>
            <w:noWrap/>
            <w:vAlign w:val="center"/>
          </w:tcPr>
          <w:p w14:paraId="33F059E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宫</w:t>
            </w:r>
          </w:p>
        </w:tc>
      </w:tr>
      <w:tr w14:paraId="5A9A5547">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52DA4CB1">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1BBD00F0">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3CD9BA7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tcBorders>
              <w:top w:val="nil"/>
              <w:left w:val="nil"/>
              <w:bottom w:val="single" w:color="auto" w:sz="4" w:space="0"/>
              <w:right w:val="single" w:color="auto" w:sz="4" w:space="0"/>
            </w:tcBorders>
            <w:shd w:val="clear" w:color="auto" w:fill="auto"/>
            <w:noWrap/>
            <w:vAlign w:val="center"/>
          </w:tcPr>
          <w:p w14:paraId="07D3922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4CF0DDC7">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DC67BB4">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2848C58">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6208F1C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0C30F34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角</w:t>
            </w:r>
          </w:p>
        </w:tc>
      </w:tr>
      <w:tr w14:paraId="16F99C1C">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4F78FAFA">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6F4120EF">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3099620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d</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7530529">
            <w:pPr>
              <w:jc w:val="center"/>
              <w:rPr>
                <w:rFonts w:hint="eastAsia" w:ascii="宋体" w:hAnsi="宋体" w:eastAsia="宋体" w:cs="宋体"/>
                <w:color w:val="000000"/>
                <w:sz w:val="22"/>
                <w:szCs w:val="22"/>
              </w:rPr>
            </w:pPr>
          </w:p>
        </w:tc>
      </w:tr>
      <w:tr w14:paraId="2B767FAA">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0E6AA14">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2C1774D1">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1AE94E9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e</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0377F17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16115342">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C0C6566">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29AEAF0">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0C33B23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f</w:t>
            </w: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36487DDD">
            <w:pPr>
              <w:jc w:val="center"/>
              <w:rPr>
                <w:rFonts w:hint="eastAsia" w:ascii="宋体" w:hAnsi="宋体" w:eastAsia="宋体" w:cs="宋体"/>
                <w:color w:val="000000"/>
                <w:sz w:val="22"/>
                <w:szCs w:val="22"/>
              </w:rPr>
            </w:pPr>
          </w:p>
        </w:tc>
      </w:tr>
      <w:tr w14:paraId="1516ECD0">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31B3B63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5662080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09DB39F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白</w:t>
            </w:r>
          </w:p>
        </w:tc>
        <w:tc>
          <w:tcPr>
            <w:tcW w:w="0" w:type="auto"/>
            <w:tcBorders>
              <w:top w:val="nil"/>
              <w:left w:val="nil"/>
              <w:bottom w:val="single" w:color="auto" w:sz="4" w:space="0"/>
              <w:right w:val="single" w:color="auto" w:sz="4" w:space="0"/>
            </w:tcBorders>
            <w:shd w:val="clear" w:color="auto" w:fill="auto"/>
            <w:noWrap/>
            <w:vAlign w:val="center"/>
          </w:tcPr>
          <w:p w14:paraId="3A4C1D9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1D815719">
        <w:tblPrEx>
          <w:tblCellMar>
            <w:top w:w="0" w:type="dxa"/>
            <w:left w:w="108" w:type="dxa"/>
            <w:bottom w:w="0" w:type="dxa"/>
            <w:right w:w="108" w:type="dxa"/>
          </w:tblCellMar>
        </w:tblPrEx>
        <w:trPr>
          <w:trHeight w:val="288" w:hRule="atLeast"/>
          <w:jc w:val="center"/>
        </w:trPr>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2B87B6B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【隔尾】</w:t>
            </w:r>
          </w:p>
        </w:tc>
        <w:tc>
          <w:tcPr>
            <w:tcW w:w="0" w:type="auto"/>
            <w:vMerge w:val="restart"/>
            <w:tcBorders>
              <w:top w:val="nil"/>
              <w:left w:val="single" w:color="auto" w:sz="4" w:space="0"/>
              <w:bottom w:val="single" w:color="auto" w:sz="4" w:space="0"/>
              <w:right w:val="single" w:color="auto" w:sz="4" w:space="0"/>
            </w:tcBorders>
            <w:shd w:val="clear" w:color="auto" w:fill="auto"/>
            <w:noWrap/>
            <w:vAlign w:val="center"/>
          </w:tcPr>
          <w:p w14:paraId="1078509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散结</w:t>
            </w:r>
          </w:p>
        </w:tc>
        <w:tc>
          <w:tcPr>
            <w:tcW w:w="0" w:type="auto"/>
            <w:tcBorders>
              <w:top w:val="nil"/>
              <w:left w:val="nil"/>
              <w:bottom w:val="single" w:color="auto" w:sz="4" w:space="0"/>
              <w:right w:val="single" w:color="auto" w:sz="4" w:space="0"/>
            </w:tcBorders>
            <w:shd w:val="clear" w:color="auto" w:fill="auto"/>
            <w:noWrap/>
            <w:vAlign w:val="center"/>
          </w:tcPr>
          <w:p w14:paraId="72B84B6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a</w:t>
            </w:r>
          </w:p>
        </w:tc>
        <w:tc>
          <w:tcPr>
            <w:tcW w:w="0" w:type="auto"/>
            <w:tcBorders>
              <w:top w:val="nil"/>
              <w:left w:val="nil"/>
              <w:bottom w:val="single" w:color="auto" w:sz="4" w:space="0"/>
              <w:right w:val="single" w:color="auto" w:sz="4" w:space="0"/>
            </w:tcBorders>
            <w:shd w:val="clear" w:color="auto" w:fill="auto"/>
            <w:noWrap/>
            <w:vAlign w:val="center"/>
          </w:tcPr>
          <w:p w14:paraId="2330AD9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r w14:paraId="168EB6A3">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05F7259D">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56AAF1B">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18CC8C0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b</w:t>
            </w:r>
          </w:p>
        </w:tc>
        <w:tc>
          <w:tcPr>
            <w:tcW w:w="0" w:type="auto"/>
            <w:tcBorders>
              <w:top w:val="nil"/>
              <w:left w:val="nil"/>
              <w:bottom w:val="single" w:color="auto" w:sz="4" w:space="0"/>
              <w:right w:val="single" w:color="auto" w:sz="4" w:space="0"/>
            </w:tcBorders>
            <w:shd w:val="clear" w:color="auto" w:fill="auto"/>
            <w:noWrap/>
            <w:vAlign w:val="center"/>
          </w:tcPr>
          <w:p w14:paraId="7A25C8A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商</w:t>
            </w:r>
          </w:p>
        </w:tc>
      </w:tr>
      <w:tr w14:paraId="35C542F0">
        <w:tblPrEx>
          <w:tblCellMar>
            <w:top w:w="0" w:type="dxa"/>
            <w:left w:w="108" w:type="dxa"/>
            <w:bottom w:w="0" w:type="dxa"/>
            <w:right w:w="108" w:type="dxa"/>
          </w:tblCellMar>
        </w:tblPrEx>
        <w:trPr>
          <w:trHeight w:val="288" w:hRule="atLeast"/>
          <w:jc w:val="center"/>
        </w:trPr>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7C013F49">
            <w:pPr>
              <w:jc w:val="center"/>
              <w:rPr>
                <w:rFonts w:hint="eastAsia" w:ascii="宋体" w:hAnsi="宋体" w:eastAsia="宋体" w:cs="宋体"/>
                <w:color w:val="000000"/>
                <w:sz w:val="22"/>
                <w:szCs w:val="22"/>
              </w:rPr>
            </w:pPr>
          </w:p>
        </w:tc>
        <w:tc>
          <w:tcPr>
            <w:tcW w:w="0" w:type="auto"/>
            <w:vMerge w:val="continue"/>
            <w:tcBorders>
              <w:top w:val="nil"/>
              <w:left w:val="single" w:color="auto" w:sz="4" w:space="0"/>
              <w:bottom w:val="single" w:color="auto" w:sz="4" w:space="0"/>
              <w:right w:val="single" w:color="auto" w:sz="4" w:space="0"/>
            </w:tcBorders>
            <w:shd w:val="clear" w:color="auto" w:fill="auto"/>
            <w:noWrap/>
            <w:vAlign w:val="center"/>
          </w:tcPr>
          <w:p w14:paraId="56E5DCF0">
            <w:pPr>
              <w:jc w:val="center"/>
              <w:rPr>
                <w:rFonts w:hint="eastAsia" w:ascii="宋体" w:hAnsi="宋体" w:eastAsia="宋体" w:cs="宋体"/>
                <w:color w:val="000000"/>
                <w:sz w:val="22"/>
                <w:szCs w:val="22"/>
              </w:rPr>
            </w:pPr>
          </w:p>
        </w:tc>
        <w:tc>
          <w:tcPr>
            <w:tcW w:w="0" w:type="auto"/>
            <w:tcBorders>
              <w:top w:val="nil"/>
              <w:left w:val="nil"/>
              <w:bottom w:val="single" w:color="auto" w:sz="4" w:space="0"/>
              <w:right w:val="single" w:color="auto" w:sz="4" w:space="0"/>
            </w:tcBorders>
            <w:shd w:val="clear" w:color="auto" w:fill="auto"/>
            <w:noWrap/>
            <w:vAlign w:val="center"/>
          </w:tcPr>
          <w:p w14:paraId="4B59C21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c</w:t>
            </w:r>
          </w:p>
        </w:tc>
        <w:tc>
          <w:tcPr>
            <w:tcW w:w="0" w:type="auto"/>
            <w:tcBorders>
              <w:top w:val="nil"/>
              <w:left w:val="nil"/>
              <w:bottom w:val="single" w:color="auto" w:sz="4" w:space="0"/>
              <w:right w:val="single" w:color="auto" w:sz="4" w:space="0"/>
            </w:tcBorders>
            <w:shd w:val="clear" w:color="auto" w:fill="auto"/>
            <w:noWrap/>
            <w:vAlign w:val="center"/>
          </w:tcPr>
          <w:p w14:paraId="4D78FE6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羽</w:t>
            </w:r>
          </w:p>
        </w:tc>
      </w:tr>
    </w:tbl>
    <w:p w14:paraId="6BA5B286">
      <w:pPr>
        <w:spacing w:after="156" w:afterLines="50" w:line="360" w:lineRule="auto"/>
        <w:ind w:firstLine="480" w:firstLineChars="200"/>
        <w:jc w:val="left"/>
        <w:rPr>
          <w:sz w:val="24"/>
        </w:rPr>
      </w:pPr>
      <w:r>
        <w:rPr>
          <w:rFonts w:hint="eastAsia"/>
          <w:sz w:val="24"/>
        </w:rPr>
        <w:t>需要尤其强调的是，《牡丹亭·游园》一折几乎建立在同一个音型的变化与展衍之上（谱例</w:t>
      </w:r>
      <w:r>
        <w:rPr>
          <w:rFonts w:hint="eastAsia"/>
          <w:sz w:val="24"/>
          <w:lang w:val="en-US" w:eastAsia="zh-CN"/>
        </w:rPr>
        <w:t>3</w:t>
      </w:r>
      <w:r>
        <w:rPr>
          <w:rFonts w:hint="eastAsia"/>
          <w:sz w:val="24"/>
        </w:rPr>
        <w:t>），且这一商音至羽音级进下行的音型也广泛存在于《牡丹亭》的其他套曲中，如《牡丹亭·寻梦》套中的【懒画眉】【忒忒令】【嘉庆子】等。这种音型在《牡丹亭·游园》一折中，主要的音型通过重复的方式贯穿全篇，【绕阳台】四句起句各不相同，但均以这一音型的变化结尾，形成合尾。【步步娇】因与【醉扶归】联唱，最后一句并未回归主音羽音，但第六句仍与第一二句换头合尾，以这一音型结束。这些变化重复在【皂罗袍】【好姐姐】的出现中仍数不胜数。</w:t>
      </w:r>
    </w:p>
    <w:p w14:paraId="4EBEA781">
      <w:pPr>
        <w:spacing w:after="156" w:afterLines="50" w:line="360" w:lineRule="auto"/>
        <w:ind w:firstLine="482" w:firstLineChars="200"/>
        <w:jc w:val="center"/>
        <w:rPr>
          <w:b/>
          <w:bCs/>
          <w:sz w:val="24"/>
        </w:rPr>
      </w:pPr>
      <w:r>
        <w:rPr>
          <w:rFonts w:hint="eastAsia"/>
          <w:b/>
          <w:bCs/>
          <w:sz w:val="24"/>
        </w:rPr>
        <w:t>谱例</w:t>
      </w:r>
      <w:r>
        <w:rPr>
          <w:rFonts w:hint="eastAsia"/>
          <w:b/>
          <w:bCs/>
          <w:sz w:val="24"/>
          <w:lang w:val="en-US" w:eastAsia="zh-CN"/>
        </w:rPr>
        <w:t>3</w:t>
      </w:r>
      <w:r>
        <w:rPr>
          <w:rFonts w:hint="eastAsia"/>
          <w:b/>
          <w:bCs/>
          <w:sz w:val="24"/>
        </w:rPr>
        <w:t>：《牡丹亭·游园》六支曲牌中的相似音调（部分）</w:t>
      </w:r>
    </w:p>
    <w:p w14:paraId="032CDE34">
      <w:pPr>
        <w:spacing w:after="156" w:afterLines="50" w:line="360" w:lineRule="auto"/>
        <w:ind w:firstLine="480" w:firstLineChars="200"/>
        <w:jc w:val="left"/>
        <w:rPr>
          <w:rFonts w:hint="eastAsia" w:ascii="宋体" w:hAnsi="宋体" w:eastAsia="宋体" w:cs="宋体"/>
          <w:sz w:val="24"/>
        </w:rPr>
      </w:pPr>
      <w:r>
        <w:rPr>
          <w:sz w:val="24"/>
        </w:rPr>
        <w:drawing>
          <wp:inline distT="0" distB="0" distL="114300" distR="114300">
            <wp:extent cx="5273040" cy="2811780"/>
            <wp:effectExtent l="0" t="0" r="0" b="7620"/>
            <wp:docPr id="2" name="图片 2" descr="73e6f513ee8bd015a77398f33ec6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3e6f513ee8bd015a77398f33ec6d60"/>
                    <pic:cNvPicPr>
                      <a:picLocks noChangeAspect="1"/>
                    </pic:cNvPicPr>
                  </pic:nvPicPr>
                  <pic:blipFill>
                    <a:blip r:embed="rId8"/>
                    <a:stretch>
                      <a:fillRect/>
                    </a:stretch>
                  </pic:blipFill>
                  <pic:spPr>
                    <a:xfrm>
                      <a:off x="0" y="0"/>
                      <a:ext cx="5273040" cy="2811780"/>
                    </a:xfrm>
                    <a:prstGeom prst="rect">
                      <a:avLst/>
                    </a:prstGeom>
                  </pic:spPr>
                </pic:pic>
              </a:graphicData>
            </a:graphic>
          </wp:inline>
        </w:drawing>
      </w:r>
    </w:p>
    <w:p w14:paraId="6B55184D">
      <w:pPr>
        <w:spacing w:after="156" w:afterLines="50" w:line="360" w:lineRule="auto"/>
        <w:ind w:firstLine="480" w:firstLineChars="200"/>
        <w:jc w:val="left"/>
        <w:rPr>
          <w:sz w:val="24"/>
        </w:rPr>
      </w:pPr>
      <w:r>
        <w:rPr>
          <w:rFonts w:hint="eastAsia"/>
          <w:sz w:val="24"/>
        </w:rPr>
        <w:t>这种重复并不是机械地再现，而是在每次出现时都伴随着细微的变化。这些变化可能体现在节奏的微调、装饰音的运用或旋律走向的转变之中。正是这些细腻的调整与发展，使得音乐在保持熟悉感的同时，展现出一种动态的流动性与层次感。观众在反复的音型中，既能感受到旋律的回归与呼应，又能随着细微变化的引导，逐步进入更深层的情感体验。这种衍生的音乐结构不仅符合中国民间音乐复而不厌，变而不乱的美学原则，也为情节的发展提供了有力的支持。在《游园》一折中，杜丽娘的情感从最初的闲适游园，到逐渐产生的内心悸动，情感随着音乐的递进层层推进。由【绕阳台】中旋律的平稳进，到【醉扶起归】中小七度大跳的第一次“出格”，再到【皂罗袍】中向上的十三度大跳，最后到【好姐姐】中的支声复调，音乐中的主旋律音型，则如同线索一般，时而回旋，时而变异，始终贯穿其中，成为人物心理变化的镜像。这种音乐的递归性不仅构成了全剧段落的整体框架，还通过与情节、人物内心的结合，形成了一种与戏剧叙事相呼应的艺术张力。</w:t>
      </w:r>
    </w:p>
    <w:p w14:paraId="3A9230A5">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通过在递归的过程中引入这些微妙的变化，衍生实现了层层递进的效果。音乐的每一次重复都带来不同的感受，这些变化不断积累，最终推动音乐在情感或结构上达到高潮。这种层层递进的过程赋予了音乐内在的动力，使得听众在聆听中逐渐感受到情感的加深和音乐结构的复杂性。这一递归与衍生相互作用的过程，使中国民间音乐在连贯中保持了创新与变化的张力。</w:t>
      </w:r>
    </w:p>
    <w:p w14:paraId="1560FF4A">
      <w:pPr>
        <w:pStyle w:val="2"/>
        <w:widowControl/>
        <w:jc w:val="center"/>
        <w:rPr>
          <w:rFonts w:cs="宋体"/>
          <w:color w:val="auto"/>
          <w:sz w:val="24"/>
          <w:szCs w:val="24"/>
        </w:rPr>
      </w:pPr>
      <w:r>
        <w:rPr>
          <w:color w:val="auto"/>
        </w:rPr>
        <w:t>二、循环路径：时间框架下的即兴与互动</w:t>
      </w:r>
    </w:p>
    <w:p w14:paraId="452E6916">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音乐中的时间是在音乐展现过程中创造出的一种时间感，本质上是一种“感性时间”，而非客观的“钟表时间”（Uhrzeit）。“感性时间”作为一种感知的维度，不可避免地在某种程度上受到听众的影响。由于中国民间音乐的特殊性质，观众也可以以多种方式介入音乐表演的时空，影响音乐的时间长度以及段落的排列顺序，这种互动性使得音乐充满了随机性和不确定性。在民间音乐表演中，乐谱并非固定不变，而是依赖于表演者的即兴发挥和现场创作。即兴演奏不仅使音乐段落可以灵活地组合，还允许表演者根据现场情境调整旋律、节奏和段落顺序，打破了传统的线性时间结构。即兴演奏强调音乐时间的灵活性和可变性。在表演过程中，表演者会根据自身的情绪、现场的氛围，甚至乐器的状态，随时改变音乐的走向。例如，段落的起止、旋律的重复、节奏的快慢等，都是由表演者根据即兴创作的需要来决定的，从而形成了音乐的时间片段化。每一次的即兴创作都可能带来全新的时间体验，这打破了时间的连续性和固定性，创造出断裂和多重的时间维度。这种非线性的时间体验，不仅使音乐本身更加富有表现力，也让观众在音乐中获得了更加多样化的感受。</w:t>
      </w:r>
    </w:p>
    <w:p w14:paraId="20825B78">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我国诸多戏曲剧种中广泛存在着一种只有故事提纲，无固定剧本、唱词和唱腔，仅由说戏师傅调配，演员与乐队配合的即兴编创方式。河北地区的“幕表戏”、安徽地区的“水戏”、湖南地区的“桥戏”的编演均属这种即兴方式。这些段落的安排并不是由固定的写作规范或审美标准所决定的。它们更多依赖于创作者（无论是个人还是集体）在口头创作过程中的即时表达，特别是通过速度、节奏、气息的停顿等来展现音乐。基于表演者当下情感和气息的自然流动，音乐时间成为一种不断变化、非固定的体验。在这种情况下，段落之间并没有严格的因果关系，创作者可以自由选择段落的长度和内容，音乐时间呈现出一种断裂、不连续的特征，这种开放性让每次表演都可能有所不同。</w:t>
      </w:r>
    </w:p>
    <w:p w14:paraId="43FBC257">
      <w:pPr>
        <w:spacing w:after="156" w:afterLines="50" w:line="360" w:lineRule="auto"/>
        <w:ind w:firstLine="480" w:firstLineChars="200"/>
        <w:rPr>
          <w:rFonts w:hint="eastAsia" w:ascii="宋体" w:hAnsi="宋体" w:eastAsia="宋体" w:cs="宋体"/>
          <w:sz w:val="24"/>
          <w:highlight w:val="yellow"/>
        </w:rPr>
      </w:pPr>
      <w:r>
        <w:rPr>
          <w:rFonts w:hint="eastAsia" w:ascii="宋体" w:hAnsi="宋体" w:eastAsia="宋体" w:cs="宋体"/>
          <w:sz w:val="24"/>
        </w:rPr>
        <w:t>在长三角地区的乱弹系统与滩簧系统剧种中，广泛存在着一些“头腹尾”或“起平落”等三段式唱腔结构（表4），其中的中间部分的体量并无一定之规，演员自行反复甚至即兴创作中间的上下句结构，在一些版本中可多达几十句。尽管由于板式变化或速度变化，这些戏曲唱腔可能表层结构显现出的节奏与速度布局呈现线性特征，但这种戏曲音乐的时间体验并不是以严格意义上的线性方式展开，作为主题的中间部分是在基本材料（上下句）不断循环的过程中通过不同段落和材料的断裂和重新排列来实现。在整个“头腹尾”结构中，作为“头”“尾”的音乐可被替换，例如婺剧【三五七】的唱段可由【三五七头】或【小桃红】等音乐引出，亦可由【落山虎】或【煞尾】作结。其间不断反复的上下句主体音乐与前后结构不存在严格的序列关系，音乐之前的音乐也并不一定暗示或决定之后的音乐。</w:t>
      </w:r>
    </w:p>
    <w:p w14:paraId="2C5B62D7">
      <w:pPr>
        <w:spacing w:after="156" w:afterLines="50" w:line="360" w:lineRule="auto"/>
        <w:ind w:firstLine="482" w:firstLineChars="200"/>
        <w:rPr>
          <w:rFonts w:hint="eastAsia" w:ascii="宋体" w:hAnsi="宋体" w:eastAsia="宋体" w:cs="宋体"/>
          <w:b/>
          <w:bCs/>
          <w:sz w:val="24"/>
        </w:rPr>
      </w:pPr>
      <w:r>
        <w:rPr>
          <w:rFonts w:hint="eastAsia" w:ascii="宋体" w:hAnsi="宋体" w:eastAsia="宋体" w:cs="宋体"/>
          <w:b/>
          <w:bCs/>
          <w:sz w:val="24"/>
        </w:rPr>
        <w:t>表4：长三角地区乱弹系统与滩簧系统剧种部分三段唱腔结构，单奕翔整理</w:t>
      </w:r>
    </w:p>
    <w:tbl>
      <w:tblPr>
        <w:tblStyle w:val="6"/>
        <w:tblW w:w="9800" w:type="dxa"/>
        <w:jc w:val="center"/>
        <w:tblLayout w:type="autofit"/>
        <w:tblCellMar>
          <w:top w:w="0" w:type="dxa"/>
          <w:left w:w="108" w:type="dxa"/>
          <w:bottom w:w="0" w:type="dxa"/>
          <w:right w:w="108" w:type="dxa"/>
        </w:tblCellMar>
      </w:tblPr>
      <w:tblGrid>
        <w:gridCol w:w="1463"/>
        <w:gridCol w:w="4721"/>
        <w:gridCol w:w="878"/>
        <w:gridCol w:w="878"/>
        <w:gridCol w:w="1866"/>
      </w:tblGrid>
      <w:tr w14:paraId="1369DD83">
        <w:tblPrEx>
          <w:tblCellMar>
            <w:top w:w="0" w:type="dxa"/>
            <w:left w:w="108" w:type="dxa"/>
            <w:bottom w:w="0" w:type="dxa"/>
            <w:right w:w="108" w:type="dxa"/>
          </w:tblCellMar>
        </w:tblPrEx>
        <w:trPr>
          <w:trHeight w:val="288" w:hRule="atLeast"/>
          <w:jc w:val="center"/>
        </w:trPr>
        <w:tc>
          <w:tcPr>
            <w:tcW w:w="980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48EBA6C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婺剧【三五七】</w:t>
            </w:r>
          </w:p>
        </w:tc>
      </w:tr>
      <w:tr w14:paraId="46ADA839">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F63AD6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结构</w:t>
            </w:r>
          </w:p>
        </w:tc>
        <w:tc>
          <w:tcPr>
            <w:tcW w:w="0" w:type="auto"/>
            <w:tcBorders>
              <w:top w:val="nil"/>
              <w:left w:val="nil"/>
              <w:bottom w:val="single" w:color="auto" w:sz="4" w:space="0"/>
              <w:right w:val="single" w:color="auto" w:sz="4" w:space="0"/>
            </w:tcBorders>
            <w:shd w:val="clear" w:color="auto" w:fill="auto"/>
            <w:noWrap/>
            <w:vAlign w:val="center"/>
          </w:tcPr>
          <w:p w14:paraId="0E01095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头</w:t>
            </w:r>
          </w:p>
        </w:tc>
        <w:tc>
          <w:tcPr>
            <w:tcW w:w="0" w:type="auto"/>
            <w:gridSpan w:val="2"/>
            <w:tcBorders>
              <w:top w:val="single" w:color="auto" w:sz="4" w:space="0"/>
              <w:left w:val="nil"/>
              <w:bottom w:val="single" w:color="auto" w:sz="4" w:space="0"/>
              <w:right w:val="single" w:color="auto" w:sz="4" w:space="0"/>
            </w:tcBorders>
            <w:shd w:val="clear" w:color="auto" w:fill="auto"/>
            <w:noWrap/>
            <w:vAlign w:val="center"/>
          </w:tcPr>
          <w:p w14:paraId="58D000C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腹</w:t>
            </w:r>
          </w:p>
        </w:tc>
        <w:tc>
          <w:tcPr>
            <w:tcW w:w="0" w:type="auto"/>
            <w:tcBorders>
              <w:top w:val="nil"/>
              <w:left w:val="nil"/>
              <w:bottom w:val="single" w:color="auto" w:sz="4" w:space="0"/>
              <w:right w:val="single" w:color="auto" w:sz="4" w:space="0"/>
            </w:tcBorders>
            <w:shd w:val="clear" w:color="auto" w:fill="auto"/>
            <w:noWrap/>
            <w:vAlign w:val="center"/>
          </w:tcPr>
          <w:p w14:paraId="3EBBD38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尾</w:t>
            </w:r>
          </w:p>
        </w:tc>
      </w:tr>
      <w:tr w14:paraId="3F1A5870">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0F1B5A9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基本唱调</w:t>
            </w:r>
          </w:p>
        </w:tc>
        <w:tc>
          <w:tcPr>
            <w:tcW w:w="0" w:type="auto"/>
            <w:tcBorders>
              <w:top w:val="nil"/>
              <w:left w:val="nil"/>
              <w:bottom w:val="single" w:color="auto" w:sz="4" w:space="0"/>
              <w:right w:val="single" w:color="auto" w:sz="4" w:space="0"/>
            </w:tcBorders>
            <w:shd w:val="clear" w:color="auto" w:fill="auto"/>
            <w:noWrap/>
            <w:vAlign w:val="center"/>
          </w:tcPr>
          <w:p w14:paraId="276E279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起句</w:t>
            </w:r>
          </w:p>
        </w:tc>
        <w:tc>
          <w:tcPr>
            <w:tcW w:w="0" w:type="auto"/>
            <w:gridSpan w:val="2"/>
            <w:tcBorders>
              <w:top w:val="single" w:color="auto" w:sz="4" w:space="0"/>
              <w:left w:val="nil"/>
              <w:bottom w:val="single" w:color="auto" w:sz="4" w:space="0"/>
              <w:right w:val="single" w:color="auto" w:sz="4" w:space="0"/>
            </w:tcBorders>
            <w:shd w:val="clear" w:color="auto" w:fill="auto"/>
            <w:noWrap/>
            <w:vAlign w:val="center"/>
          </w:tcPr>
          <w:p w14:paraId="47F0DD0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||：下  上：||</w:t>
            </w:r>
          </w:p>
        </w:tc>
        <w:tc>
          <w:tcPr>
            <w:tcW w:w="0" w:type="auto"/>
            <w:tcBorders>
              <w:top w:val="nil"/>
              <w:left w:val="nil"/>
              <w:bottom w:val="single" w:color="auto" w:sz="4" w:space="0"/>
              <w:right w:val="single" w:color="auto" w:sz="4" w:space="0"/>
            </w:tcBorders>
            <w:shd w:val="clear" w:color="auto" w:fill="auto"/>
            <w:noWrap/>
            <w:vAlign w:val="center"/>
          </w:tcPr>
          <w:p w14:paraId="7E5C89A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煞板</w:t>
            </w:r>
          </w:p>
        </w:tc>
      </w:tr>
      <w:tr w14:paraId="1B2D9024">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70BF892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替换唱调</w:t>
            </w:r>
          </w:p>
        </w:tc>
        <w:tc>
          <w:tcPr>
            <w:tcW w:w="0" w:type="auto"/>
            <w:tcBorders>
              <w:top w:val="nil"/>
              <w:left w:val="nil"/>
              <w:bottom w:val="single" w:color="auto" w:sz="4" w:space="0"/>
              <w:right w:val="single" w:color="auto" w:sz="4" w:space="0"/>
            </w:tcBorders>
            <w:shd w:val="clear" w:color="auto" w:fill="auto"/>
            <w:noWrap/>
            <w:vAlign w:val="center"/>
          </w:tcPr>
          <w:p w14:paraId="7EFD1CB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【引子】【小桃红】【三五七头】</w:t>
            </w:r>
          </w:p>
        </w:tc>
        <w:tc>
          <w:tcPr>
            <w:tcW w:w="0" w:type="auto"/>
            <w:tcBorders>
              <w:top w:val="nil"/>
              <w:left w:val="nil"/>
              <w:bottom w:val="single" w:color="auto" w:sz="4" w:space="0"/>
              <w:right w:val="single" w:color="auto" w:sz="4" w:space="0"/>
            </w:tcBorders>
            <w:shd w:val="clear" w:color="auto" w:fill="auto"/>
            <w:noWrap/>
            <w:vAlign w:val="center"/>
          </w:tcPr>
          <w:p w14:paraId="4F439563">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6EC6C90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5B1A4DF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【落山虎】</w:t>
            </w:r>
          </w:p>
        </w:tc>
      </w:tr>
      <w:tr w14:paraId="0A9CFE49">
        <w:tblPrEx>
          <w:tblCellMar>
            <w:top w:w="0" w:type="dxa"/>
            <w:left w:w="108" w:type="dxa"/>
            <w:bottom w:w="0" w:type="dxa"/>
            <w:right w:w="108" w:type="dxa"/>
          </w:tblCellMar>
        </w:tblPrEx>
        <w:trPr>
          <w:trHeight w:val="288" w:hRule="atLeast"/>
          <w:jc w:val="center"/>
        </w:trPr>
        <w:tc>
          <w:tcPr>
            <w:tcW w:w="0" w:type="auto"/>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3DFF6A4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绍剧【太平三五七】</w:t>
            </w:r>
          </w:p>
        </w:tc>
      </w:tr>
      <w:tr w14:paraId="475AE1AA">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3D3FDD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结构</w:t>
            </w:r>
          </w:p>
        </w:tc>
        <w:tc>
          <w:tcPr>
            <w:tcW w:w="0" w:type="auto"/>
            <w:tcBorders>
              <w:top w:val="nil"/>
              <w:left w:val="nil"/>
              <w:bottom w:val="single" w:color="auto" w:sz="4" w:space="0"/>
              <w:right w:val="single" w:color="auto" w:sz="4" w:space="0"/>
            </w:tcBorders>
            <w:shd w:val="clear" w:color="auto" w:fill="auto"/>
            <w:noWrap/>
            <w:vAlign w:val="center"/>
          </w:tcPr>
          <w:p w14:paraId="36BE6B0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头</w:t>
            </w:r>
          </w:p>
        </w:tc>
        <w:tc>
          <w:tcPr>
            <w:tcW w:w="0" w:type="auto"/>
            <w:gridSpan w:val="2"/>
            <w:tcBorders>
              <w:top w:val="single" w:color="auto" w:sz="4" w:space="0"/>
              <w:left w:val="nil"/>
              <w:bottom w:val="single" w:color="auto" w:sz="4" w:space="0"/>
              <w:right w:val="single" w:color="auto" w:sz="4" w:space="0"/>
            </w:tcBorders>
            <w:shd w:val="clear" w:color="auto" w:fill="auto"/>
            <w:noWrap/>
            <w:vAlign w:val="center"/>
          </w:tcPr>
          <w:p w14:paraId="421D261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腹</w:t>
            </w:r>
          </w:p>
        </w:tc>
        <w:tc>
          <w:tcPr>
            <w:tcW w:w="0" w:type="auto"/>
            <w:tcBorders>
              <w:top w:val="nil"/>
              <w:left w:val="nil"/>
              <w:bottom w:val="single" w:color="auto" w:sz="4" w:space="0"/>
              <w:right w:val="single" w:color="auto" w:sz="4" w:space="0"/>
            </w:tcBorders>
            <w:shd w:val="clear" w:color="auto" w:fill="auto"/>
            <w:noWrap/>
            <w:vAlign w:val="center"/>
          </w:tcPr>
          <w:p w14:paraId="734C0B5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尾</w:t>
            </w:r>
          </w:p>
        </w:tc>
      </w:tr>
      <w:tr w14:paraId="1242A82D">
        <w:tblPrEx>
          <w:tblCellMar>
            <w:top w:w="0" w:type="dxa"/>
            <w:left w:w="108" w:type="dxa"/>
            <w:bottom w:w="0" w:type="dxa"/>
            <w:right w:w="108" w:type="dxa"/>
          </w:tblCellMar>
        </w:tblPrEx>
        <w:trPr>
          <w:trHeight w:val="576"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04901C4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基本唱调</w:t>
            </w:r>
          </w:p>
        </w:tc>
        <w:tc>
          <w:tcPr>
            <w:tcW w:w="3560" w:type="dxa"/>
            <w:tcBorders>
              <w:top w:val="nil"/>
              <w:left w:val="nil"/>
              <w:bottom w:val="single" w:color="auto" w:sz="4" w:space="0"/>
              <w:right w:val="single" w:color="auto" w:sz="4" w:space="0"/>
            </w:tcBorders>
            <w:shd w:val="clear" w:color="auto" w:fill="auto"/>
            <w:vAlign w:val="center"/>
          </w:tcPr>
          <w:p w14:paraId="2799FB1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【三五七头】【单顶头】【双顶头】【大倒板】</w:t>
            </w:r>
          </w:p>
        </w:tc>
        <w:tc>
          <w:tcPr>
            <w:tcW w:w="0" w:type="auto"/>
            <w:gridSpan w:val="2"/>
            <w:tcBorders>
              <w:top w:val="single" w:color="auto" w:sz="4" w:space="0"/>
              <w:left w:val="nil"/>
              <w:bottom w:val="single" w:color="auto" w:sz="4" w:space="0"/>
              <w:right w:val="single" w:color="auto" w:sz="4" w:space="0"/>
            </w:tcBorders>
            <w:shd w:val="clear" w:color="auto" w:fill="auto"/>
            <w:noWrap/>
            <w:vAlign w:val="center"/>
          </w:tcPr>
          <w:p w14:paraId="594210F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||：下  上：||</w:t>
            </w:r>
          </w:p>
        </w:tc>
        <w:tc>
          <w:tcPr>
            <w:tcW w:w="0" w:type="auto"/>
            <w:tcBorders>
              <w:top w:val="nil"/>
              <w:left w:val="nil"/>
              <w:bottom w:val="single" w:color="auto" w:sz="4" w:space="0"/>
              <w:right w:val="single" w:color="auto" w:sz="4" w:space="0"/>
            </w:tcBorders>
            <w:shd w:val="clear" w:color="auto" w:fill="auto"/>
            <w:noWrap/>
            <w:vAlign w:val="center"/>
          </w:tcPr>
          <w:p w14:paraId="5690F63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结煞句</w:t>
            </w:r>
          </w:p>
        </w:tc>
      </w:tr>
      <w:tr w14:paraId="189D91B3">
        <w:tblPrEx>
          <w:tblCellMar>
            <w:top w:w="0" w:type="dxa"/>
            <w:left w:w="108" w:type="dxa"/>
            <w:bottom w:w="0" w:type="dxa"/>
            <w:right w:w="108" w:type="dxa"/>
          </w:tblCellMar>
        </w:tblPrEx>
        <w:trPr>
          <w:trHeight w:val="576"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223A740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替换唱调</w:t>
            </w:r>
          </w:p>
        </w:tc>
        <w:tc>
          <w:tcPr>
            <w:tcW w:w="0" w:type="auto"/>
            <w:tcBorders>
              <w:top w:val="nil"/>
              <w:left w:val="nil"/>
              <w:bottom w:val="single" w:color="auto" w:sz="4" w:space="0"/>
              <w:right w:val="single" w:color="auto" w:sz="4" w:space="0"/>
            </w:tcBorders>
            <w:shd w:val="clear" w:color="auto" w:fill="auto"/>
            <w:noWrap/>
            <w:vAlign w:val="center"/>
          </w:tcPr>
          <w:p w14:paraId="37830F4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39EE20F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7F73551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1480" w:type="dxa"/>
            <w:tcBorders>
              <w:top w:val="nil"/>
              <w:left w:val="nil"/>
              <w:bottom w:val="single" w:color="auto" w:sz="4" w:space="0"/>
              <w:right w:val="single" w:color="auto" w:sz="4" w:space="0"/>
            </w:tcBorders>
            <w:shd w:val="clear" w:color="auto" w:fill="auto"/>
            <w:vAlign w:val="center"/>
          </w:tcPr>
          <w:p w14:paraId="0694E18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【大落山虎】【小落山虎】</w:t>
            </w:r>
          </w:p>
        </w:tc>
      </w:tr>
      <w:tr w14:paraId="31AA196B">
        <w:trPr>
          <w:trHeight w:val="300" w:hRule="atLeast"/>
          <w:jc w:val="center"/>
        </w:trPr>
        <w:tc>
          <w:tcPr>
            <w:tcW w:w="0" w:type="auto"/>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6FEB51B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沪剧【长板长腔】</w:t>
            </w:r>
          </w:p>
        </w:tc>
      </w:tr>
      <w:tr w14:paraId="66FA1AF2">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59DEC2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引子</w:t>
            </w:r>
          </w:p>
        </w:tc>
        <w:tc>
          <w:tcPr>
            <w:tcW w:w="0" w:type="auto"/>
            <w:tcBorders>
              <w:top w:val="nil"/>
              <w:left w:val="nil"/>
              <w:bottom w:val="single" w:color="auto" w:sz="4" w:space="0"/>
              <w:right w:val="single" w:color="auto" w:sz="4" w:space="0"/>
            </w:tcBorders>
            <w:shd w:val="clear" w:color="auto" w:fill="auto"/>
            <w:noWrap/>
            <w:vAlign w:val="center"/>
          </w:tcPr>
          <w:p w14:paraId="767A26B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起腔</w:t>
            </w:r>
          </w:p>
        </w:tc>
        <w:tc>
          <w:tcPr>
            <w:tcW w:w="0" w:type="auto"/>
            <w:tcBorders>
              <w:top w:val="nil"/>
              <w:left w:val="nil"/>
              <w:bottom w:val="single" w:color="auto" w:sz="4" w:space="0"/>
              <w:right w:val="single" w:color="auto" w:sz="4" w:space="0"/>
            </w:tcBorders>
            <w:shd w:val="clear" w:color="auto" w:fill="auto"/>
            <w:noWrap/>
            <w:vAlign w:val="center"/>
          </w:tcPr>
          <w:p w14:paraId="472BB59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过门</w:t>
            </w:r>
          </w:p>
        </w:tc>
        <w:tc>
          <w:tcPr>
            <w:tcW w:w="0" w:type="auto"/>
            <w:tcBorders>
              <w:top w:val="nil"/>
              <w:left w:val="nil"/>
              <w:bottom w:val="single" w:color="auto" w:sz="4" w:space="0"/>
              <w:right w:val="single" w:color="auto" w:sz="4" w:space="0"/>
            </w:tcBorders>
            <w:shd w:val="clear" w:color="auto" w:fill="auto"/>
            <w:noWrap/>
            <w:vAlign w:val="center"/>
          </w:tcPr>
          <w:p w14:paraId="72E3030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平腔</w:t>
            </w:r>
          </w:p>
        </w:tc>
        <w:tc>
          <w:tcPr>
            <w:tcW w:w="0" w:type="auto"/>
            <w:tcBorders>
              <w:top w:val="nil"/>
              <w:left w:val="nil"/>
              <w:bottom w:val="single" w:color="auto" w:sz="4" w:space="0"/>
              <w:right w:val="single" w:color="auto" w:sz="4" w:space="0"/>
            </w:tcBorders>
            <w:shd w:val="clear" w:color="auto" w:fill="auto"/>
            <w:noWrap/>
            <w:vAlign w:val="center"/>
          </w:tcPr>
          <w:p w14:paraId="09F7155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落腔</w:t>
            </w:r>
          </w:p>
        </w:tc>
      </w:tr>
      <w:tr w14:paraId="2C164E54">
        <w:tblPrEx>
          <w:tblCellMar>
            <w:top w:w="0" w:type="dxa"/>
            <w:left w:w="108" w:type="dxa"/>
            <w:bottom w:w="0" w:type="dxa"/>
            <w:right w:w="108" w:type="dxa"/>
          </w:tblCellMar>
        </w:tblPrEx>
        <w:trPr>
          <w:trHeight w:val="288" w:hRule="atLeast"/>
          <w:jc w:val="center"/>
        </w:trPr>
        <w:tc>
          <w:tcPr>
            <w:tcW w:w="0" w:type="auto"/>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23E8912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越剧的“清板”与“混板”</w:t>
            </w:r>
          </w:p>
        </w:tc>
      </w:tr>
      <w:tr w14:paraId="71115923">
        <w:tblPrEx>
          <w:tblCellMar>
            <w:top w:w="0" w:type="dxa"/>
            <w:left w:w="108" w:type="dxa"/>
            <w:bottom w:w="0" w:type="dxa"/>
            <w:right w:w="108" w:type="dxa"/>
          </w:tblCellMar>
        </w:tblPrEx>
        <w:trPr>
          <w:trHeight w:val="300"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EC7C454">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00C3C63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起</w:t>
            </w:r>
          </w:p>
        </w:tc>
        <w:tc>
          <w:tcPr>
            <w:tcW w:w="0" w:type="auto"/>
            <w:tcBorders>
              <w:top w:val="nil"/>
              <w:left w:val="nil"/>
              <w:bottom w:val="single" w:color="auto" w:sz="4" w:space="0"/>
              <w:right w:val="single" w:color="auto" w:sz="4" w:space="0"/>
            </w:tcBorders>
            <w:shd w:val="clear" w:color="auto" w:fill="auto"/>
            <w:noWrap/>
            <w:vAlign w:val="center"/>
          </w:tcPr>
          <w:p w14:paraId="71984E5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平</w:t>
            </w:r>
          </w:p>
        </w:tc>
        <w:tc>
          <w:tcPr>
            <w:tcW w:w="0" w:type="auto"/>
            <w:tcBorders>
              <w:top w:val="nil"/>
              <w:left w:val="nil"/>
              <w:bottom w:val="single" w:color="auto" w:sz="4" w:space="0"/>
              <w:right w:val="single" w:color="auto" w:sz="4" w:space="0"/>
            </w:tcBorders>
            <w:shd w:val="clear" w:color="auto" w:fill="auto"/>
            <w:noWrap/>
            <w:vAlign w:val="center"/>
          </w:tcPr>
          <w:p w14:paraId="7B029DC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落</w:t>
            </w:r>
          </w:p>
        </w:tc>
        <w:tc>
          <w:tcPr>
            <w:tcW w:w="0" w:type="auto"/>
            <w:tcBorders>
              <w:top w:val="nil"/>
              <w:left w:val="nil"/>
              <w:bottom w:val="single" w:color="auto" w:sz="4" w:space="0"/>
              <w:right w:val="single" w:color="auto" w:sz="4" w:space="0"/>
            </w:tcBorders>
            <w:shd w:val="clear" w:color="auto" w:fill="auto"/>
            <w:noWrap/>
            <w:vAlign w:val="center"/>
          </w:tcPr>
          <w:p w14:paraId="2E6B9A7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r w14:paraId="0F357D77">
        <w:tblPrEx>
          <w:tblCellMar>
            <w:top w:w="0" w:type="dxa"/>
            <w:left w:w="108" w:type="dxa"/>
            <w:bottom w:w="0" w:type="dxa"/>
            <w:right w:w="108" w:type="dxa"/>
          </w:tblCellMar>
        </w:tblPrEx>
        <w:trPr>
          <w:trHeight w:val="288"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1957D5D">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c>
          <w:tcPr>
            <w:tcW w:w="0" w:type="auto"/>
            <w:tcBorders>
              <w:top w:val="nil"/>
              <w:left w:val="nil"/>
              <w:bottom w:val="single" w:color="auto" w:sz="4" w:space="0"/>
              <w:right w:val="single" w:color="auto" w:sz="4" w:space="0"/>
            </w:tcBorders>
            <w:shd w:val="clear" w:color="auto" w:fill="auto"/>
            <w:noWrap/>
            <w:vAlign w:val="center"/>
          </w:tcPr>
          <w:p w14:paraId="1EF7371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混板</w:t>
            </w:r>
          </w:p>
        </w:tc>
        <w:tc>
          <w:tcPr>
            <w:tcW w:w="0" w:type="auto"/>
            <w:tcBorders>
              <w:top w:val="nil"/>
              <w:left w:val="nil"/>
              <w:bottom w:val="single" w:color="auto" w:sz="4" w:space="0"/>
              <w:right w:val="single" w:color="auto" w:sz="4" w:space="0"/>
            </w:tcBorders>
            <w:shd w:val="clear" w:color="auto" w:fill="auto"/>
            <w:noWrap/>
            <w:vAlign w:val="center"/>
          </w:tcPr>
          <w:p w14:paraId="0D0A6E0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清板</w:t>
            </w:r>
          </w:p>
        </w:tc>
        <w:tc>
          <w:tcPr>
            <w:tcW w:w="0" w:type="auto"/>
            <w:tcBorders>
              <w:top w:val="nil"/>
              <w:left w:val="nil"/>
              <w:bottom w:val="single" w:color="auto" w:sz="4" w:space="0"/>
              <w:right w:val="single" w:color="auto" w:sz="4" w:space="0"/>
            </w:tcBorders>
            <w:shd w:val="clear" w:color="auto" w:fill="auto"/>
            <w:noWrap/>
            <w:vAlign w:val="center"/>
          </w:tcPr>
          <w:p w14:paraId="642C3DF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混板</w:t>
            </w:r>
          </w:p>
        </w:tc>
        <w:tc>
          <w:tcPr>
            <w:tcW w:w="0" w:type="auto"/>
            <w:tcBorders>
              <w:top w:val="nil"/>
              <w:left w:val="nil"/>
              <w:bottom w:val="single" w:color="auto" w:sz="4" w:space="0"/>
              <w:right w:val="single" w:color="auto" w:sz="4" w:space="0"/>
            </w:tcBorders>
            <w:shd w:val="clear" w:color="auto" w:fill="auto"/>
            <w:noWrap/>
            <w:vAlign w:val="center"/>
          </w:tcPr>
          <w:p w14:paraId="105104E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　</w:t>
            </w:r>
          </w:p>
        </w:tc>
      </w:tr>
    </w:tbl>
    <w:p w14:paraId="121B0185">
      <w:pPr>
        <w:spacing w:after="156" w:afterLines="50" w:line="360" w:lineRule="auto"/>
        <w:ind w:firstLine="480" w:firstLineChars="200"/>
        <w:rPr>
          <w:rFonts w:hint="eastAsia" w:ascii="宋体" w:hAnsi="宋体" w:eastAsia="宋体" w:cs="宋体"/>
          <w:sz w:val="24"/>
        </w:rPr>
      </w:pPr>
      <w:r>
        <w:rPr>
          <w:rFonts w:ascii="宋体" w:hAnsi="宋体" w:eastAsia="宋体" w:cs="宋体"/>
          <w:sz w:val="24"/>
        </w:rPr>
        <w:t>音乐表演往往不仅限于表演者的角色，观众也是音乐表现的重要参与者。中国民间音乐的互动性，尤其是在集体表演和观众参与的场合下，进一步强化了音乐时间</w:t>
      </w:r>
      <w:r>
        <w:rPr>
          <w:rFonts w:hint="eastAsia" w:ascii="宋体" w:hAnsi="宋体" w:eastAsia="宋体" w:cs="宋体"/>
          <w:sz w:val="24"/>
        </w:rPr>
        <w:t>框架下的即兴与互动</w:t>
      </w:r>
      <w:r>
        <w:rPr>
          <w:rFonts w:ascii="宋体" w:hAnsi="宋体" w:eastAsia="宋体" w:cs="宋体"/>
          <w:sz w:val="24"/>
        </w:rPr>
        <w:t>。音乐表演不仅是表演者的独白，而是与观众或其他表演者之间的互动过程。这种互动性通过音乐中的即兴反应，使音乐时间变得更加不确定和灵活。</w:t>
      </w:r>
      <w:r>
        <w:rPr>
          <w:rFonts w:hint="eastAsia" w:ascii="宋体" w:hAnsi="宋体" w:eastAsia="宋体" w:cs="宋体"/>
          <w:sz w:val="24"/>
        </w:rPr>
        <w:t>在《生死恨》“到如今受凄凉异乡飘荡”一句【二黄慢板】的最后一字拖腔演唱中，尽管在宏观结构上仍处于传统二黄腔的上下句落音模式中，梅兰芳的静场录音与实况演出录音的旋律走向呈现了较大的不同（谱例</w:t>
      </w:r>
      <w:r>
        <w:rPr>
          <w:rFonts w:hint="eastAsia" w:ascii="宋体" w:hAnsi="宋体" w:eastAsia="宋体" w:cs="宋体"/>
          <w:sz w:val="24"/>
          <w:lang w:val="en-US" w:eastAsia="zh-CN"/>
        </w:rPr>
        <w:t>4</w:t>
      </w:r>
      <w:r>
        <w:rPr>
          <w:rFonts w:hint="eastAsia" w:ascii="宋体" w:hAnsi="宋体" w:eastAsia="宋体" w:cs="宋体"/>
          <w:sz w:val="24"/>
        </w:rPr>
        <w:t>）。</w:t>
      </w:r>
    </w:p>
    <w:p w14:paraId="31160324">
      <w:pPr>
        <w:spacing w:after="156" w:afterLines="50" w:line="360" w:lineRule="auto"/>
        <w:ind w:firstLine="482" w:firstLineChars="200"/>
        <w:jc w:val="center"/>
        <w:rPr>
          <w:rFonts w:hint="eastAsia" w:ascii="宋体" w:hAnsi="宋体" w:eastAsia="宋体" w:cs="宋体"/>
          <w:b/>
          <w:bCs/>
          <w:sz w:val="24"/>
        </w:rPr>
      </w:pPr>
      <w:r>
        <w:rPr>
          <w:rFonts w:hint="eastAsia" w:ascii="宋体" w:hAnsi="宋体" w:eastAsia="宋体" w:cs="宋体"/>
          <w:b/>
          <w:bCs/>
          <w:sz w:val="24"/>
        </w:rPr>
        <w:t>谱例</w:t>
      </w:r>
      <w:r>
        <w:rPr>
          <w:rFonts w:hint="eastAsia" w:ascii="宋体" w:hAnsi="宋体" w:eastAsia="宋体" w:cs="宋体"/>
          <w:b/>
          <w:bCs/>
          <w:sz w:val="24"/>
          <w:lang w:val="en-US" w:eastAsia="zh-CN"/>
        </w:rPr>
        <w:t>4</w:t>
      </w:r>
      <w:r>
        <w:rPr>
          <w:rFonts w:hint="eastAsia" w:ascii="宋体" w:hAnsi="宋体" w:eastAsia="宋体" w:cs="宋体"/>
          <w:b/>
          <w:bCs/>
          <w:sz w:val="24"/>
        </w:rPr>
        <w:t>-a梅兰芳1934年胜利公司录音</w:t>
      </w:r>
    </w:p>
    <w:p w14:paraId="34833BEB">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drawing>
          <wp:inline distT="0" distB="0" distL="114300" distR="114300">
            <wp:extent cx="5274310" cy="1268095"/>
            <wp:effectExtent l="0" t="0" r="13970" b="12065"/>
            <wp:docPr id="4" name="图片 4" descr="c678f4e1385412fe0b65d1064895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678f4e1385412fe0b65d106489507d"/>
                    <pic:cNvPicPr>
                      <a:picLocks noChangeAspect="1"/>
                    </pic:cNvPicPr>
                  </pic:nvPicPr>
                  <pic:blipFill>
                    <a:blip r:embed="rId9"/>
                    <a:stretch>
                      <a:fillRect/>
                    </a:stretch>
                  </pic:blipFill>
                  <pic:spPr>
                    <a:xfrm>
                      <a:off x="0" y="0"/>
                      <a:ext cx="5274310" cy="1268095"/>
                    </a:xfrm>
                    <a:prstGeom prst="rect">
                      <a:avLst/>
                    </a:prstGeom>
                  </pic:spPr>
                </pic:pic>
              </a:graphicData>
            </a:graphic>
          </wp:inline>
        </w:drawing>
      </w:r>
    </w:p>
    <w:p w14:paraId="299E76EC">
      <w:pPr>
        <w:spacing w:after="156" w:afterLines="50" w:line="360" w:lineRule="auto"/>
        <w:ind w:firstLine="482" w:firstLineChars="200"/>
        <w:jc w:val="center"/>
        <w:rPr>
          <w:rFonts w:hint="eastAsia" w:ascii="宋体" w:hAnsi="宋体" w:eastAsia="宋体" w:cs="宋体"/>
          <w:b/>
          <w:bCs/>
          <w:sz w:val="24"/>
        </w:rPr>
      </w:pPr>
      <w:r>
        <w:rPr>
          <w:rFonts w:hint="eastAsia" w:ascii="宋体" w:hAnsi="宋体" w:eastAsia="宋体" w:cs="宋体"/>
          <w:b/>
          <w:bCs/>
          <w:sz w:val="24"/>
        </w:rPr>
        <w:t>谱例</w:t>
      </w:r>
      <w:r>
        <w:rPr>
          <w:rFonts w:hint="eastAsia" w:ascii="宋体" w:hAnsi="宋体" w:eastAsia="宋体" w:cs="宋体"/>
          <w:b/>
          <w:bCs/>
          <w:sz w:val="24"/>
          <w:lang w:val="en-US" w:eastAsia="zh-CN"/>
        </w:rPr>
        <w:t>4</w:t>
      </w:r>
      <w:r>
        <w:rPr>
          <w:rFonts w:hint="eastAsia" w:ascii="宋体" w:hAnsi="宋体" w:eastAsia="宋体" w:cs="宋体"/>
          <w:b/>
          <w:bCs/>
          <w:sz w:val="24"/>
        </w:rPr>
        <w:t>-b梅兰芳1936年实况演出录音</w:t>
      </w:r>
    </w:p>
    <w:p w14:paraId="3F44F953">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drawing>
          <wp:inline distT="0" distB="0" distL="114300" distR="114300">
            <wp:extent cx="5273675" cy="1196340"/>
            <wp:effectExtent l="0" t="0" r="14605" b="7620"/>
            <wp:docPr id="1" name="图片 1" descr="6fec3f44b39c54e835f8e5a879cf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fec3f44b39c54e835f8e5a879cf274"/>
                    <pic:cNvPicPr>
                      <a:picLocks noChangeAspect="1"/>
                    </pic:cNvPicPr>
                  </pic:nvPicPr>
                  <pic:blipFill>
                    <a:blip r:embed="rId10"/>
                    <a:stretch>
                      <a:fillRect/>
                    </a:stretch>
                  </pic:blipFill>
                  <pic:spPr>
                    <a:xfrm>
                      <a:off x="0" y="0"/>
                      <a:ext cx="5273675" cy="1196340"/>
                    </a:xfrm>
                    <a:prstGeom prst="rect">
                      <a:avLst/>
                    </a:prstGeom>
                  </pic:spPr>
                </pic:pic>
              </a:graphicData>
            </a:graphic>
          </wp:inline>
        </w:drawing>
      </w:r>
    </w:p>
    <w:p w14:paraId="541DCAD4">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t>在传统意义上中国民间音乐的表演场域下，</w:t>
      </w:r>
      <w:r>
        <w:rPr>
          <w:rFonts w:ascii="宋体" w:hAnsi="宋体" w:eastAsia="宋体" w:cs="宋体"/>
          <w:sz w:val="24"/>
        </w:rPr>
        <w:t>音乐互动中的声音</w:t>
      </w:r>
      <w:r>
        <w:rPr>
          <w:rFonts w:hint="eastAsia" w:ascii="宋体" w:hAnsi="宋体" w:eastAsia="宋体" w:cs="宋体"/>
          <w:sz w:val="24"/>
        </w:rPr>
        <w:t>是多样的</w:t>
      </w:r>
      <w:r>
        <w:rPr>
          <w:rFonts w:ascii="宋体" w:hAnsi="宋体" w:eastAsia="宋体" w:cs="宋体"/>
          <w:sz w:val="24"/>
        </w:rPr>
        <w:t>。音乐不仅仅是表演者和观众之间的互动，还涉及多种声音层次的交织，如</w:t>
      </w:r>
      <w:r>
        <w:rPr>
          <w:rFonts w:hint="eastAsia" w:ascii="宋体" w:hAnsi="宋体" w:eastAsia="宋体" w:cs="宋体"/>
          <w:sz w:val="24"/>
        </w:rPr>
        <w:t>花儿演唱时风雨等自然元素的声音、京剧舞台下观众的叫好声、蒙古族安代舞表演时众人的顿足唱和声……这些声音</w:t>
      </w:r>
      <w:r>
        <w:rPr>
          <w:rFonts w:ascii="宋体" w:hAnsi="宋体" w:eastAsia="宋体" w:cs="宋体"/>
          <w:sz w:val="24"/>
        </w:rPr>
        <w:t>相互作用，形成一个复杂的声音网。</w:t>
      </w:r>
      <w:r>
        <w:rPr>
          <w:rFonts w:hint="eastAsia" w:ascii="宋体" w:hAnsi="宋体" w:eastAsia="宋体" w:cs="宋体"/>
          <w:sz w:val="24"/>
        </w:rPr>
        <w:t>某种程度上，</w:t>
      </w:r>
      <w:r>
        <w:rPr>
          <w:rFonts w:ascii="宋体" w:hAnsi="宋体" w:eastAsia="宋体" w:cs="宋体"/>
          <w:sz w:val="24"/>
        </w:rPr>
        <w:t>观众的互动会影响表演的节奏和结构</w:t>
      </w:r>
      <w:r>
        <w:rPr>
          <w:rFonts w:hint="eastAsia" w:ascii="宋体" w:hAnsi="宋体" w:eastAsia="宋体" w:cs="宋体"/>
          <w:sz w:val="24"/>
        </w:rPr>
        <w:t>，</w:t>
      </w:r>
      <w:r>
        <w:rPr>
          <w:rFonts w:ascii="宋体" w:hAnsi="宋体" w:eastAsia="宋体" w:cs="宋体"/>
          <w:sz w:val="24"/>
        </w:rPr>
        <w:t>欢呼声、口哨声和其他形式的声音回应都能够改变表演的进程，使表演更具流动性和动态性。</w:t>
      </w:r>
      <w:r>
        <w:rPr>
          <w:rStyle w:val="10"/>
          <w:rFonts w:ascii="宋体" w:hAnsi="宋体" w:eastAsia="宋体" w:cs="宋体"/>
          <w:sz w:val="24"/>
        </w:rPr>
        <w:footnoteReference w:id="9"/>
      </w:r>
      <w:r>
        <w:rPr>
          <w:rFonts w:hint="eastAsia" w:ascii="宋体" w:hAnsi="宋体" w:eastAsia="宋体" w:cs="宋体"/>
          <w:sz w:val="24"/>
        </w:rPr>
        <w:t>以京剧音乐表演过程中的“叫好”为例，这一</w:t>
      </w:r>
      <w:r>
        <w:rPr>
          <w:rFonts w:ascii="宋体" w:hAnsi="宋体" w:eastAsia="宋体" w:cs="宋体"/>
          <w:sz w:val="24"/>
        </w:rPr>
        <w:t>现象</w:t>
      </w:r>
      <w:r>
        <w:rPr>
          <w:rFonts w:hint="eastAsia" w:ascii="宋体" w:hAnsi="宋体" w:eastAsia="宋体" w:cs="宋体"/>
          <w:sz w:val="24"/>
        </w:rPr>
        <w:t>往往</w:t>
      </w:r>
      <w:r>
        <w:rPr>
          <w:rFonts w:ascii="宋体" w:hAnsi="宋体" w:eastAsia="宋体" w:cs="宋体"/>
          <w:sz w:val="24"/>
        </w:rPr>
        <w:t>发生在表演的高光时刻，观众通过叫好声来回应演员的精彩表现。这种即时的反馈不仅让观众成为表演的一部分，</w:t>
      </w:r>
      <w:r>
        <w:rPr>
          <w:rFonts w:hint="eastAsia" w:ascii="宋体" w:hAnsi="宋体" w:eastAsia="宋体" w:cs="宋体"/>
          <w:sz w:val="24"/>
        </w:rPr>
        <w:t>甚至还</w:t>
      </w:r>
      <w:r>
        <w:rPr>
          <w:rFonts w:ascii="宋体" w:hAnsi="宋体" w:eastAsia="宋体" w:cs="宋体"/>
          <w:sz w:val="24"/>
        </w:rPr>
        <w:t>直接影响</w:t>
      </w:r>
      <w:r>
        <w:rPr>
          <w:rFonts w:hint="eastAsia" w:ascii="宋体" w:hAnsi="宋体" w:eastAsia="宋体" w:cs="宋体"/>
          <w:sz w:val="24"/>
        </w:rPr>
        <w:t>了</w:t>
      </w:r>
      <w:r>
        <w:rPr>
          <w:rFonts w:ascii="宋体" w:hAnsi="宋体" w:eastAsia="宋体" w:cs="宋体"/>
          <w:sz w:val="24"/>
        </w:rPr>
        <w:t>表演者的节奏。当演员完成一段复杂的唱腔或精彩的武打动作时，观众的叫好声往往会激励演员延长表演的时间，进一步展示他们的技艺</w:t>
      </w:r>
      <w:r>
        <w:rPr>
          <w:rFonts w:hint="eastAsia" w:ascii="宋体" w:hAnsi="宋体" w:eastAsia="宋体" w:cs="宋体"/>
          <w:sz w:val="24"/>
        </w:rPr>
        <w:t>。在武场中，常用的锣鼓节奏被长此以往循环下去；而在文场中，作为皮黄腔基本元素的两个上下句更是会进行进一步的节奏延伸。如果说对于成熟的京剧听众而言其音乐具有了某种程度上的线性时间意义，那么</w:t>
      </w:r>
      <w:r>
        <w:rPr>
          <w:rFonts w:ascii="宋体" w:hAnsi="宋体" w:eastAsia="宋体" w:cs="宋体"/>
          <w:sz w:val="24"/>
        </w:rPr>
        <w:t>这样的互动导致表演节奏的灵活变化，使得表演者根据观众的反应调整唱腔的长短或动作的快慢，</w:t>
      </w:r>
      <w:r>
        <w:rPr>
          <w:rFonts w:hint="eastAsia" w:ascii="宋体" w:hAnsi="宋体" w:eastAsia="宋体" w:cs="宋体"/>
          <w:sz w:val="24"/>
        </w:rPr>
        <w:t>则必然会</w:t>
      </w:r>
      <w:r>
        <w:rPr>
          <w:rFonts w:ascii="宋体" w:hAnsi="宋体" w:eastAsia="宋体" w:cs="宋体"/>
          <w:sz w:val="24"/>
        </w:rPr>
        <w:t>打破传统的线性时间结构。</w:t>
      </w:r>
    </w:p>
    <w:p w14:paraId="15FB1384">
      <w:pPr>
        <w:spacing w:after="156" w:afterLines="50" w:line="360" w:lineRule="auto"/>
        <w:ind w:firstLine="480" w:firstLineChars="200"/>
        <w:rPr>
          <w:rFonts w:hint="eastAsia" w:ascii="宋体" w:hAnsi="宋体" w:eastAsia="宋体" w:cs="宋体"/>
          <w:sz w:val="24"/>
        </w:rPr>
      </w:pPr>
      <w:r>
        <w:rPr>
          <w:rFonts w:ascii="宋体" w:hAnsi="宋体" w:eastAsia="宋体" w:cs="宋体"/>
          <w:sz w:val="24"/>
        </w:rPr>
        <w:t>观众的期待和情感反应也是</w:t>
      </w:r>
      <w:r>
        <w:rPr>
          <w:rFonts w:hint="eastAsia" w:ascii="宋体" w:hAnsi="宋体" w:eastAsia="宋体" w:cs="宋体"/>
          <w:sz w:val="24"/>
        </w:rPr>
        <w:t>循环结构下</w:t>
      </w:r>
      <w:r>
        <w:rPr>
          <w:rFonts w:ascii="宋体" w:hAnsi="宋体" w:eastAsia="宋体" w:cs="宋体"/>
          <w:sz w:val="24"/>
        </w:rPr>
        <w:t>非线性时间的一个重要因素。</w:t>
      </w:r>
      <w:r>
        <w:rPr>
          <w:rFonts w:hint="eastAsia" w:ascii="宋体" w:hAnsi="宋体" w:eastAsia="宋体" w:cs="宋体"/>
          <w:sz w:val="24"/>
        </w:rPr>
        <w:t>在京剧《二进宫》中，李燕妃在因自己父亲背叛自己而情感激荡时演唱的一个【二黄原板】上句（谱例</w:t>
      </w:r>
      <w:r>
        <w:rPr>
          <w:rFonts w:hint="eastAsia" w:ascii="宋体" w:hAnsi="宋体" w:eastAsia="宋体" w:cs="宋体"/>
          <w:sz w:val="24"/>
          <w:lang w:val="en-US" w:eastAsia="zh-CN"/>
        </w:rPr>
        <w:t>5</w:t>
      </w:r>
      <w:r>
        <w:rPr>
          <w:rFonts w:hint="eastAsia" w:ascii="宋体" w:hAnsi="宋体" w:eastAsia="宋体" w:cs="宋体"/>
          <w:sz w:val="24"/>
        </w:rPr>
        <w:t>）常常得到观众的叫好。这个被两次加腔扩展的句子实际上仅有一个扩充材料，这个材料也并未与原本的二黄材料形成冲突，二者交融循环后引出了李燕妃在更高音域的陈述，以宣泄情感。</w:t>
      </w:r>
      <w:r>
        <w:rPr>
          <w:rFonts w:ascii="宋体" w:hAnsi="宋体" w:eastAsia="宋体" w:cs="宋体"/>
          <w:sz w:val="24"/>
        </w:rPr>
        <w:t>京剧表演的节奏往往与观众的情感共鸣相互作用，观众的叫好声不仅是对表演者技巧的肯定，也是对其情感表达的回应。当演员表达出强烈的情感或戏剧冲突时，观众的叫好可以加深这些情感的表现，使得表演者在时间上进行更多的延展，进一步挖掘角色的情感层次。</w:t>
      </w:r>
      <w:r>
        <w:rPr>
          <w:rFonts w:hint="eastAsia" w:ascii="宋体" w:hAnsi="宋体" w:eastAsia="宋体" w:cs="宋体"/>
          <w:sz w:val="24"/>
        </w:rPr>
        <w:t>这种现场环境中促发的表演现象同样出现在民族器乐的演奏过程中，例如唢呐演奏中循环换气技巧的使用在很多情况下都伴随着延迟观众的期待、积蓄情感等功能。</w:t>
      </w:r>
      <w:r>
        <w:rPr>
          <w:rFonts w:ascii="宋体" w:hAnsi="宋体" w:eastAsia="宋体" w:cs="宋体"/>
          <w:sz w:val="24"/>
        </w:rPr>
        <w:t>这种情感和表演节奏的互动打破了线性的时间限制，形成了一种时间与情感共同发展的非线性结构。</w:t>
      </w:r>
    </w:p>
    <w:p w14:paraId="5C286307">
      <w:pPr>
        <w:spacing w:after="156" w:afterLines="50" w:line="360" w:lineRule="auto"/>
        <w:ind w:firstLine="482" w:firstLineChars="200"/>
        <w:rPr>
          <w:rFonts w:hint="eastAsia" w:ascii="宋体" w:hAnsi="宋体" w:eastAsia="宋体" w:cs="宋体"/>
          <w:b/>
          <w:bCs/>
          <w:sz w:val="24"/>
        </w:rPr>
      </w:pPr>
      <w:r>
        <w:rPr>
          <w:rFonts w:hint="eastAsia" w:ascii="宋体" w:hAnsi="宋体" w:eastAsia="宋体" w:cs="宋体"/>
          <w:b/>
          <w:bCs/>
          <w:sz w:val="24"/>
        </w:rPr>
        <w:t>谱例</w:t>
      </w:r>
      <w:r>
        <w:rPr>
          <w:rFonts w:hint="eastAsia" w:ascii="宋体" w:hAnsi="宋体" w:eastAsia="宋体" w:cs="宋体"/>
          <w:b/>
          <w:bCs/>
          <w:sz w:val="24"/>
          <w:lang w:val="en-US" w:eastAsia="zh-CN"/>
        </w:rPr>
        <w:t>5</w:t>
      </w:r>
      <w:r>
        <w:rPr>
          <w:rFonts w:hint="eastAsia" w:ascii="宋体" w:hAnsi="宋体" w:eastAsia="宋体" w:cs="宋体"/>
          <w:b/>
          <w:bCs/>
          <w:sz w:val="24"/>
        </w:rPr>
        <w:t>：《二进宫》李燕妃唱段【二黄原板】上句，梅葆玖演唱</w:t>
      </w:r>
    </w:p>
    <w:p w14:paraId="146BE69A">
      <w:pPr>
        <w:spacing w:after="156" w:afterLines="50" w:line="360" w:lineRule="auto"/>
        <w:ind w:firstLine="480" w:firstLineChars="200"/>
        <w:jc w:val="center"/>
        <w:rPr>
          <w:rFonts w:hint="eastAsia" w:ascii="宋体" w:hAnsi="宋体" w:eastAsia="宋体" w:cs="宋体"/>
          <w:sz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4599305</wp:posOffset>
                </wp:positionH>
                <wp:positionV relativeFrom="paragraph">
                  <wp:posOffset>-36830</wp:posOffset>
                </wp:positionV>
                <wp:extent cx="502920" cy="739140"/>
                <wp:effectExtent l="6350" t="6350" r="8890" b="16510"/>
                <wp:wrapNone/>
                <wp:docPr id="5" name="矩形 5"/>
                <wp:cNvGraphicFramePr/>
                <a:graphic xmlns:a="http://schemas.openxmlformats.org/drawingml/2006/main">
                  <a:graphicData uri="http://schemas.microsoft.com/office/word/2010/wordprocessingShape">
                    <wps:wsp>
                      <wps:cNvSpPr/>
                      <wps:spPr>
                        <a:xfrm>
                          <a:off x="5742305" y="877570"/>
                          <a:ext cx="502920" cy="7391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2.15pt;margin-top:-2.9pt;height:58.2pt;width:39.6pt;z-index:251659264;v-text-anchor:middle;mso-width-relative:page;mso-height-relative:page;" filled="f" stroked="t" coordsize="21600,21600" o:gfxdata="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qOGdUdkAAAAKAQAADwAAAAAAAAABACAAAAAiAAAAZHJzL2Rvd25y&#10;ZXYueG1sUEsBAhQAFAAAAAgAh07iQHHTc2RvAgAA1QQAAA4AAAAAAAAAAQAgAAAAKAEAAGRycy9l&#10;Mm9Eb2MueG1sUEsFBgAAAAAGAAYAWQEAAAkGAAAAAA==&#10;">
                <v:fill on="f" focussize="0,0"/>
                <v:stroke weight="1pt" color="#000000 [3213]" miterlimit="8" joinstyle="miter"/>
                <v:imagedata o:title=""/>
                <o:lock v:ext="edit" aspectratio="f"/>
              </v:rect>
            </w:pict>
          </mc:Fallback>
        </mc:AlternateContent>
      </w:r>
      <w:r>
        <w:rPr>
          <w:rFonts w:hint="eastAsia" w:ascii="宋体" w:hAnsi="宋体" w:eastAsia="宋体" w:cs="宋体"/>
          <w:sz w:val="24"/>
        </w:rPr>
        <w:drawing>
          <wp:inline distT="0" distB="0" distL="114300" distR="114300">
            <wp:extent cx="5270500" cy="2695575"/>
            <wp:effectExtent l="0" t="0" r="2540" b="1905"/>
            <wp:docPr id="3" name="图片 3" descr="f980589e807aecf4e9536123854c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980589e807aecf4e9536123854c674"/>
                    <pic:cNvPicPr>
                      <a:picLocks noChangeAspect="1"/>
                    </pic:cNvPicPr>
                  </pic:nvPicPr>
                  <pic:blipFill>
                    <a:blip r:embed="rId11"/>
                    <a:stretch>
                      <a:fillRect/>
                    </a:stretch>
                  </pic:blipFill>
                  <pic:spPr>
                    <a:xfrm>
                      <a:off x="0" y="0"/>
                      <a:ext cx="5270500" cy="2695575"/>
                    </a:xfrm>
                    <a:prstGeom prst="rect">
                      <a:avLst/>
                    </a:prstGeom>
                  </pic:spPr>
                </pic:pic>
              </a:graphicData>
            </a:graphic>
          </wp:inline>
        </w:drawing>
      </w:r>
    </w:p>
    <w:p w14:paraId="0A7A5A5F">
      <w:pPr>
        <w:spacing w:after="156" w:afterLines="50" w:line="360" w:lineRule="auto"/>
        <w:jc w:val="center"/>
        <w:rPr>
          <w:rFonts w:hint="eastAsia" w:ascii="宋体" w:hAnsi="宋体" w:eastAsia="宋体" w:cs="宋体"/>
          <w:sz w:val="24"/>
        </w:rPr>
      </w:pPr>
      <w:r>
        <w:rPr>
          <w:rFonts w:hint="eastAsia"/>
          <w:b/>
          <w:bCs/>
          <w:sz w:val="28"/>
          <w:szCs w:val="28"/>
        </w:rPr>
        <w:t>三、何以循环：循环逻辑的哲理阐释</w:t>
      </w:r>
    </w:p>
    <w:p w14:paraId="12E99960">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在《情感与形式》中，美国美学家苏珊·朗格（</w:t>
      </w:r>
      <w:r>
        <w:rPr>
          <w:rStyle w:val="8"/>
          <w:b w:val="0"/>
          <w:bCs/>
        </w:rPr>
        <w:t>Susanne Langer</w:t>
      </w:r>
      <w:r>
        <w:rPr>
          <w:rFonts w:hint="eastAsia" w:ascii="宋体" w:hAnsi="宋体" w:eastAsia="宋体" w:cs="宋体"/>
          <w:sz w:val="24"/>
        </w:rPr>
        <w:t>）探讨了音乐作为一种艺术形式的时间意象，她认为时间并不是通过直接的语言或逻辑表达出来的，而是通过内容的反复、作品的结构等形式间接传达的。在音乐中，朗格分析了节奏和旋律的运作方式，认为它们是表现时间的关键元素。音乐通过其节奏和变化的模式模拟了时间的流动和内在的时间感受。特别是在旋律的重复、变化和发展中，音乐展现了时间的“起伏”和“延续”，从而触动听众对时间的感知。在她的理论中，音乐通过这些节奏和旋律的“象征性形式”，能够使听者感知到时间的情感含义，而非仅仅是流逝的秒数。</w:t>
      </w:r>
      <w:r>
        <w:rPr>
          <w:rStyle w:val="10"/>
          <w:rFonts w:hint="eastAsia" w:ascii="宋体" w:hAnsi="宋体" w:eastAsia="宋体" w:cs="宋体"/>
          <w:sz w:val="24"/>
        </w:rPr>
        <w:footnoteReference w:id="10"/>
      </w:r>
      <w:r>
        <w:rPr>
          <w:rFonts w:hint="eastAsia" w:ascii="宋体" w:hAnsi="宋体" w:eastAsia="宋体" w:cs="宋体"/>
          <w:sz w:val="24"/>
        </w:rPr>
        <w:t>无论是江南丝竹中的《三六》、西安鼓乐中的“法鼓段”《南鹅》、浙东锣鼓中的《划船锣鼓》这类音乐周期性循环的作品，抑或阿炳的二胡曲《二泉映月》、河北的乐亭大鼓《双锁山》这类音乐材料非周期性循环的作品，都在构建音乐的反复段落或不断变化的循环模式，传达出时间的无尽循环或不确定性。尽管音乐的周期性循环与非周期性循环在中国民间音乐作品中的占比无从统计，但其中的循环逻辑作为构曲思维与人类对于时间的体验相呼应。</w:t>
      </w:r>
    </w:p>
    <w:p w14:paraId="26ADA775">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针对音乐循环周期性与非周期性的问题，美国作曲家、音乐理论家乔纳森·克拉默（Jonathan D. Kramer）在其著作《音乐的时间》（</w:t>
      </w:r>
      <w:r>
        <w:rPr>
          <w:rFonts w:hint="eastAsia" w:ascii="宋体" w:hAnsi="宋体" w:eastAsia="宋体" w:cs="宋体"/>
          <w:i/>
          <w:iCs/>
          <w:sz w:val="24"/>
        </w:rPr>
        <w:t>The Time of Music</w:t>
      </w:r>
      <w:r>
        <w:rPr>
          <w:rFonts w:hint="eastAsia" w:ascii="宋体" w:hAnsi="宋体" w:eastAsia="宋体" w:cs="宋体"/>
          <w:sz w:val="24"/>
        </w:rPr>
        <w:t>）中，深入探讨了音乐中的线性与非线性时间结构。克拉默认为，线性时间是指音乐在时间的推进中遵循因果关系或逻辑顺序展开，而非线性时间则打破这种顺序，允许时间被打断、重组甚至反复循环。</w:t>
      </w:r>
      <w:r>
        <w:rPr>
          <w:rStyle w:val="10"/>
          <w:rFonts w:hint="eastAsia" w:ascii="宋体" w:hAnsi="宋体" w:eastAsia="宋体" w:cs="宋体"/>
          <w:sz w:val="24"/>
        </w:rPr>
        <w:footnoteReference w:id="11"/>
      </w:r>
      <w:r>
        <w:rPr>
          <w:rFonts w:hint="eastAsia" w:ascii="宋体" w:hAnsi="宋体" w:eastAsia="宋体" w:cs="宋体"/>
          <w:sz w:val="24"/>
        </w:rPr>
        <w:t>换言之，线性时间中的每个音乐事件会暗示或引导接下来的事件，形成一个清晰的时间序列。而非线性时间则不受这一逻辑的限制，它使得时间变得灵活多变，可以在音乐中打破、重组甚至反复。具有更明确意义的是，大部分中国民间音乐</w:t>
      </w:r>
      <w:r>
        <w:rPr>
          <w:rFonts w:hint="eastAsia" w:asciiTheme="minorEastAsia" w:hAnsiTheme="minorEastAsia" w:cstheme="minorEastAsia"/>
          <w:sz w:val="24"/>
        </w:rPr>
        <w:t>的音乐展开不遵循线性的时间顺序，时间结构是断裂的、循环的、多重的，具有非对称性和不确定性。</w:t>
      </w:r>
      <w:r>
        <w:rPr>
          <w:rFonts w:hint="eastAsia" w:ascii="宋体" w:hAnsi="宋体" w:eastAsia="宋体" w:cs="宋体"/>
          <w:sz w:val="24"/>
        </w:rPr>
        <w:t>其时间长度和节奏型的变化往往不可预测，音乐的展开不遵循传统的周期性，而是以一种自由和灵活的方式进行。推动段落交替的音乐事件之间没有固定的顺序，可以随意重组和重新排列，在这一层面上，民间的时间是片段化的，不同的片段某种程度上可以在时间线上任意组合。</w:t>
      </w:r>
    </w:p>
    <w:p w14:paraId="6EFDF417">
      <w:pPr>
        <w:spacing w:after="156" w:afterLines="50" w:line="360" w:lineRule="auto"/>
        <w:ind w:firstLine="480" w:firstLineChars="200"/>
        <w:rPr>
          <w:sz w:val="24"/>
        </w:rPr>
      </w:pPr>
      <w:r>
        <w:rPr>
          <w:rFonts w:hint="eastAsia"/>
          <w:sz w:val="24"/>
        </w:rPr>
        <w:t>美国音乐学家艾伦·萨什（Alan Thrasher）在其《南中国丝竹器乐：精神、理论与实践》</w:t>
      </w:r>
      <w:r>
        <w:rPr>
          <w:rFonts w:ascii="Times New Roman" w:hAnsi="Times New Roman" w:cs="Times New Roman"/>
          <w:i/>
          <w:iCs/>
          <w:sz w:val="24"/>
        </w:rPr>
        <w:t>（</w:t>
      </w:r>
      <w:r>
        <w:rPr>
          <w:rFonts w:ascii="Times New Roman" w:hAnsi="Times New Roman" w:eastAsia="Palatino Linotype" w:cs="Times New Roman"/>
          <w:color w:val="111111"/>
          <w:sz w:val="24"/>
          <w:shd w:val="clear" w:color="auto" w:fill="FFFFF8"/>
        </w:rPr>
        <w:t>Sizhu Instrumental Music of South China: Ethos, Theory and Practice</w:t>
      </w:r>
      <w:r>
        <w:rPr>
          <w:rFonts w:ascii="Times New Roman" w:hAnsi="Times New Roman" w:eastAsia="Palatino Linotype" w:cs="Times New Roman"/>
          <w:i/>
          <w:iCs/>
          <w:color w:val="111111"/>
          <w:sz w:val="24"/>
          <w:shd w:val="clear" w:color="auto" w:fill="FFFFF8"/>
        </w:rPr>
        <w:t>.</w:t>
      </w:r>
      <w:r>
        <w:rPr>
          <w:rFonts w:ascii="Times New Roman" w:hAnsi="Times New Roman" w:cs="Times New Roman"/>
          <w:i/>
          <w:iCs/>
          <w:sz w:val="24"/>
        </w:rPr>
        <w:t>）</w:t>
      </w:r>
      <w:r>
        <w:rPr>
          <w:rFonts w:hint="eastAsia" w:ascii="Times New Roman" w:hAnsi="Times New Roman" w:cs="Times New Roman"/>
          <w:sz w:val="24"/>
        </w:rPr>
        <w:t>一文中</w:t>
      </w:r>
      <w:r>
        <w:rPr>
          <w:rFonts w:hint="eastAsia"/>
          <w:sz w:val="24"/>
        </w:rPr>
        <w:t>提供了关于时间变异的文化背景见解，可能与更广泛的汉族音乐相关。他强调，一种观点将不对称的音乐乐句传统追溯到宋词。萨什还提出了自己的理论，其中包括乐句长度的变化可能源于道家理想的自然自发性以及中国缺乏和声思维和伴舞传统。萨什认为这两种现象的存在将对旋律乐句的长度施加一种规律化的力量，即使他觉得中国民间音乐家眼中“规律性本身既不必要又太具限制性”。</w:t>
      </w:r>
      <w:r>
        <w:rPr>
          <w:rStyle w:val="10"/>
          <w:rFonts w:hint="eastAsia"/>
          <w:sz w:val="24"/>
        </w:rPr>
        <w:footnoteReference w:id="12"/>
      </w:r>
      <w:r>
        <w:rPr>
          <w:rFonts w:hint="eastAsia" w:ascii="宋体" w:hAnsi="宋体" w:eastAsia="宋体" w:cs="宋体"/>
          <w:sz w:val="24"/>
        </w:rPr>
        <w:t>音乐中的循环逻辑通过变化实现了从一段旋律到另一段旋律的动态过渡。这种变化并不是单一的或孤立的，而是伴随着每一段音乐循环的逐步推进。我们很难想象大量板腔体剧种中庞大的情节被一个简单的上下句结构进行了叙述，但这确实发生在这片古老的土地上。京剧《四郎探母》的全部情节均建立在西皮腔之上（表5），在音乐时间的结构方面，没有理由假设每个乐句都会占据相同的时间长度。板式变化令节奏、重音模式和结构形式等关键属性变得模糊，或许也正因为时间结构因其逃避计算和预测的能力而获得美学价值。因此，在汉族戏曲和西方艺术音乐的乐句结构直觉之间的表面不兼容背后，存在着一个更大的差异：听众在想象时间、变化和知识的本质时本能地抓取的框架之间的鸿沟。</w:t>
      </w:r>
      <w:r>
        <w:rPr>
          <w:rStyle w:val="10"/>
          <w:rFonts w:hint="eastAsia" w:ascii="宋体" w:hAnsi="宋体" w:eastAsia="宋体" w:cs="宋体"/>
          <w:sz w:val="24"/>
        </w:rPr>
        <w:footnoteReference w:id="13"/>
      </w:r>
    </w:p>
    <w:p w14:paraId="1F8A063A">
      <w:pPr>
        <w:spacing w:line="360" w:lineRule="auto"/>
        <w:ind w:firstLine="482" w:firstLineChars="200"/>
        <w:jc w:val="center"/>
        <w:rPr>
          <w:rFonts w:eastAsia="宋体"/>
          <w:b/>
          <w:bCs/>
          <w:sz w:val="24"/>
        </w:rPr>
      </w:pPr>
      <w:r>
        <w:rPr>
          <w:rFonts w:hint="eastAsia" w:ascii="宋体" w:hAnsi="宋体" w:eastAsia="宋体"/>
          <w:b/>
          <w:bCs/>
          <w:sz w:val="24"/>
        </w:rPr>
        <w:t>表5：京剧《四郎探母·坐宫》结构</w:t>
      </w:r>
    </w:p>
    <w:tbl>
      <w:tblPr>
        <w:tblStyle w:val="6"/>
        <w:tblW w:w="8647" w:type="dxa"/>
        <w:jc w:val="center"/>
        <w:tblLayout w:type="autofit"/>
        <w:tblCellMar>
          <w:top w:w="0" w:type="dxa"/>
          <w:left w:w="108" w:type="dxa"/>
          <w:bottom w:w="0" w:type="dxa"/>
          <w:right w:w="108" w:type="dxa"/>
        </w:tblCellMar>
      </w:tblPr>
      <w:tblGrid>
        <w:gridCol w:w="1107"/>
        <w:gridCol w:w="2400"/>
        <w:gridCol w:w="960"/>
        <w:gridCol w:w="1487"/>
        <w:gridCol w:w="1293"/>
        <w:gridCol w:w="1400"/>
      </w:tblGrid>
      <w:tr w14:paraId="4B75A70E">
        <w:tblPrEx>
          <w:tblCellMar>
            <w:top w:w="0" w:type="dxa"/>
            <w:left w:w="108" w:type="dxa"/>
            <w:bottom w:w="0" w:type="dxa"/>
            <w:right w:w="108" w:type="dxa"/>
          </w:tblCellMar>
        </w:tblPrEx>
        <w:trPr>
          <w:trHeight w:val="276" w:hRule="atLeast"/>
          <w:jc w:val="center"/>
        </w:trPr>
        <w:tc>
          <w:tcPr>
            <w:tcW w:w="1107" w:type="dxa"/>
            <w:tcBorders>
              <w:top w:val="single" w:color="auto" w:sz="4" w:space="0"/>
              <w:left w:val="single" w:color="auto" w:sz="4" w:space="0"/>
              <w:bottom w:val="single" w:color="auto" w:sz="4" w:space="0"/>
              <w:right w:val="single" w:color="auto" w:sz="4" w:space="0"/>
            </w:tcBorders>
            <w:shd w:val="clear" w:color="auto" w:fill="auto"/>
            <w:vAlign w:val="center"/>
          </w:tcPr>
          <w:p w14:paraId="0D1D99E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结构层次</w:t>
            </w:r>
          </w:p>
        </w:tc>
        <w:tc>
          <w:tcPr>
            <w:tcW w:w="2400" w:type="dxa"/>
            <w:tcBorders>
              <w:top w:val="single" w:color="auto" w:sz="4" w:space="0"/>
              <w:left w:val="nil"/>
              <w:bottom w:val="single" w:color="auto" w:sz="4" w:space="0"/>
              <w:right w:val="single" w:color="auto" w:sz="4" w:space="0"/>
            </w:tcBorders>
            <w:shd w:val="clear" w:color="auto" w:fill="auto"/>
            <w:vAlign w:val="center"/>
          </w:tcPr>
          <w:p w14:paraId="43A589D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表现内容</w:t>
            </w:r>
          </w:p>
        </w:tc>
        <w:tc>
          <w:tcPr>
            <w:tcW w:w="960" w:type="dxa"/>
            <w:tcBorders>
              <w:top w:val="single" w:color="auto" w:sz="4" w:space="0"/>
              <w:left w:val="nil"/>
              <w:bottom w:val="single" w:color="auto" w:sz="4" w:space="0"/>
              <w:right w:val="single" w:color="auto" w:sz="4" w:space="0"/>
            </w:tcBorders>
            <w:shd w:val="clear" w:color="auto" w:fill="auto"/>
            <w:vAlign w:val="center"/>
          </w:tcPr>
          <w:p w14:paraId="40A6821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板式</w:t>
            </w:r>
          </w:p>
        </w:tc>
        <w:tc>
          <w:tcPr>
            <w:tcW w:w="1487" w:type="dxa"/>
            <w:tcBorders>
              <w:top w:val="single" w:color="auto" w:sz="4" w:space="0"/>
              <w:left w:val="nil"/>
              <w:bottom w:val="single" w:color="auto" w:sz="4" w:space="0"/>
              <w:right w:val="single" w:color="auto" w:sz="4" w:space="0"/>
            </w:tcBorders>
            <w:shd w:val="clear" w:color="auto" w:fill="auto"/>
            <w:vAlign w:val="center"/>
          </w:tcPr>
          <w:p w14:paraId="4ED92C3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锣鼓</w:t>
            </w:r>
          </w:p>
        </w:tc>
        <w:tc>
          <w:tcPr>
            <w:tcW w:w="1293" w:type="dxa"/>
            <w:tcBorders>
              <w:top w:val="single" w:color="auto" w:sz="4" w:space="0"/>
              <w:left w:val="nil"/>
              <w:bottom w:val="single" w:color="auto" w:sz="4" w:space="0"/>
              <w:right w:val="single" w:color="auto" w:sz="4" w:space="0"/>
            </w:tcBorders>
            <w:shd w:val="clear" w:color="auto" w:fill="auto"/>
            <w:vAlign w:val="center"/>
          </w:tcPr>
          <w:p w14:paraId="7C81B92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唱词句数</w:t>
            </w:r>
          </w:p>
        </w:tc>
        <w:tc>
          <w:tcPr>
            <w:tcW w:w="1400" w:type="dxa"/>
            <w:tcBorders>
              <w:top w:val="single" w:color="auto" w:sz="4" w:space="0"/>
              <w:left w:val="nil"/>
              <w:bottom w:val="single" w:color="auto" w:sz="4" w:space="0"/>
              <w:right w:val="single" w:color="auto" w:sz="4" w:space="0"/>
            </w:tcBorders>
            <w:shd w:val="clear" w:color="auto" w:fill="auto"/>
            <w:vAlign w:val="center"/>
          </w:tcPr>
          <w:p w14:paraId="17A90D7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结束形式</w:t>
            </w:r>
          </w:p>
        </w:tc>
      </w:tr>
      <w:tr w14:paraId="38A91257">
        <w:tblPrEx>
          <w:tblCellMar>
            <w:top w:w="0" w:type="dxa"/>
            <w:left w:w="108" w:type="dxa"/>
            <w:bottom w:w="0" w:type="dxa"/>
            <w:right w:w="108" w:type="dxa"/>
          </w:tblCellMar>
        </w:tblPrEx>
        <w:trPr>
          <w:trHeight w:val="552" w:hRule="atLeast"/>
          <w:jc w:val="center"/>
        </w:trPr>
        <w:tc>
          <w:tcPr>
            <w:tcW w:w="1107" w:type="dxa"/>
            <w:vMerge w:val="restart"/>
            <w:tcBorders>
              <w:top w:val="nil"/>
              <w:left w:val="single" w:color="auto" w:sz="4" w:space="0"/>
              <w:bottom w:val="single" w:color="000000" w:sz="4" w:space="0"/>
              <w:right w:val="single" w:color="auto" w:sz="4" w:space="0"/>
            </w:tcBorders>
            <w:shd w:val="clear" w:color="auto" w:fill="auto"/>
            <w:vAlign w:val="center"/>
          </w:tcPr>
          <w:p w14:paraId="7B96995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起</w:t>
            </w: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5B8606A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杨延辉上场</w:t>
            </w:r>
          </w:p>
        </w:tc>
        <w:tc>
          <w:tcPr>
            <w:tcW w:w="960" w:type="dxa"/>
            <w:tcBorders>
              <w:top w:val="nil"/>
              <w:left w:val="nil"/>
              <w:bottom w:val="single" w:color="auto" w:sz="4" w:space="0"/>
              <w:right w:val="single" w:color="auto" w:sz="4" w:space="0"/>
            </w:tcBorders>
            <w:shd w:val="clear" w:color="auto" w:fill="auto"/>
            <w:vAlign w:val="center"/>
          </w:tcPr>
          <w:p w14:paraId="3FBA49B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慢板</w:t>
            </w:r>
          </w:p>
        </w:tc>
        <w:tc>
          <w:tcPr>
            <w:tcW w:w="1487" w:type="dxa"/>
            <w:tcBorders>
              <w:top w:val="nil"/>
              <w:left w:val="nil"/>
              <w:bottom w:val="single" w:color="auto" w:sz="4" w:space="0"/>
              <w:right w:val="single" w:color="auto" w:sz="4" w:space="0"/>
            </w:tcBorders>
            <w:shd w:val="clear" w:color="auto" w:fill="auto"/>
            <w:vAlign w:val="center"/>
          </w:tcPr>
          <w:p w14:paraId="68AA3CB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小锣冒子头</w:t>
            </w:r>
          </w:p>
        </w:tc>
        <w:tc>
          <w:tcPr>
            <w:tcW w:w="1293" w:type="dxa"/>
            <w:tcBorders>
              <w:top w:val="nil"/>
              <w:left w:val="nil"/>
              <w:bottom w:val="single" w:color="auto" w:sz="4" w:space="0"/>
              <w:right w:val="single" w:color="auto" w:sz="4" w:space="0"/>
            </w:tcBorders>
            <w:shd w:val="clear" w:color="auto" w:fill="auto"/>
            <w:vAlign w:val="center"/>
          </w:tcPr>
          <w:p w14:paraId="65E8B09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7句半</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2ACA945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59ACE2C8">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9315372">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045B0CF7">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340D1D5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二六</w:t>
            </w:r>
          </w:p>
        </w:tc>
        <w:tc>
          <w:tcPr>
            <w:tcW w:w="1487" w:type="dxa"/>
            <w:tcBorders>
              <w:top w:val="nil"/>
              <w:left w:val="nil"/>
              <w:bottom w:val="single" w:color="auto" w:sz="4" w:space="0"/>
              <w:right w:val="single" w:color="auto" w:sz="4" w:space="0"/>
            </w:tcBorders>
            <w:shd w:val="clear" w:color="auto" w:fill="auto"/>
            <w:vAlign w:val="center"/>
          </w:tcPr>
          <w:p w14:paraId="762AB87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无</w:t>
            </w:r>
          </w:p>
        </w:tc>
        <w:tc>
          <w:tcPr>
            <w:tcW w:w="1293" w:type="dxa"/>
            <w:tcBorders>
              <w:top w:val="nil"/>
              <w:left w:val="nil"/>
              <w:bottom w:val="single" w:color="auto" w:sz="4" w:space="0"/>
              <w:right w:val="single" w:color="auto" w:sz="4" w:space="0"/>
            </w:tcBorders>
            <w:shd w:val="clear" w:color="auto" w:fill="auto"/>
            <w:vAlign w:val="center"/>
          </w:tcPr>
          <w:p w14:paraId="5FF399B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11句半</w:t>
            </w:r>
          </w:p>
        </w:tc>
        <w:tc>
          <w:tcPr>
            <w:tcW w:w="1400" w:type="dxa"/>
            <w:vMerge w:val="continue"/>
            <w:tcBorders>
              <w:top w:val="nil"/>
              <w:left w:val="single" w:color="auto" w:sz="4" w:space="0"/>
              <w:bottom w:val="single" w:color="auto" w:sz="4" w:space="0"/>
              <w:right w:val="single" w:color="auto" w:sz="4" w:space="0"/>
            </w:tcBorders>
            <w:vAlign w:val="center"/>
          </w:tcPr>
          <w:p w14:paraId="1F5D4F03">
            <w:pPr>
              <w:widowControl/>
              <w:rPr>
                <w:rFonts w:hint="eastAsia" w:ascii="宋体" w:hAnsi="宋体" w:eastAsia="宋体" w:cs="宋体"/>
                <w:color w:val="000000"/>
                <w:kern w:val="0"/>
                <w:sz w:val="22"/>
              </w:rPr>
            </w:pPr>
          </w:p>
        </w:tc>
      </w:tr>
      <w:tr w14:paraId="21962B0C">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5884F170">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7F2F4D45">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54B44C5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哭头</w:t>
            </w:r>
          </w:p>
        </w:tc>
        <w:tc>
          <w:tcPr>
            <w:tcW w:w="1487" w:type="dxa"/>
            <w:tcBorders>
              <w:top w:val="nil"/>
              <w:left w:val="nil"/>
              <w:bottom w:val="single" w:color="auto" w:sz="4" w:space="0"/>
              <w:right w:val="single" w:color="auto" w:sz="4" w:space="0"/>
            </w:tcBorders>
            <w:shd w:val="clear" w:color="auto" w:fill="auto"/>
            <w:vAlign w:val="center"/>
          </w:tcPr>
          <w:p w14:paraId="23E2BF8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哭头</w:t>
            </w:r>
          </w:p>
        </w:tc>
        <w:tc>
          <w:tcPr>
            <w:tcW w:w="1293" w:type="dxa"/>
            <w:tcBorders>
              <w:top w:val="nil"/>
              <w:left w:val="nil"/>
              <w:bottom w:val="single" w:color="auto" w:sz="4" w:space="0"/>
              <w:right w:val="single" w:color="auto" w:sz="4" w:space="0"/>
            </w:tcBorders>
            <w:shd w:val="clear" w:color="auto" w:fill="auto"/>
            <w:vAlign w:val="center"/>
          </w:tcPr>
          <w:p w14:paraId="4CDAE19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040DD44C">
            <w:pPr>
              <w:widowControl/>
              <w:rPr>
                <w:rFonts w:hint="eastAsia" w:ascii="宋体" w:hAnsi="宋体" w:eastAsia="宋体" w:cs="宋体"/>
                <w:color w:val="000000"/>
                <w:kern w:val="0"/>
                <w:sz w:val="22"/>
              </w:rPr>
            </w:pPr>
          </w:p>
        </w:tc>
      </w:tr>
      <w:tr w14:paraId="72A9F0C6">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18FE311F">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6AAF29DB">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5CE5AE3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7259774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6D40DB7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6C2F6E5E">
            <w:pPr>
              <w:widowControl/>
              <w:rPr>
                <w:rFonts w:hint="eastAsia" w:ascii="宋体" w:hAnsi="宋体" w:eastAsia="宋体" w:cs="宋体"/>
                <w:color w:val="000000"/>
                <w:kern w:val="0"/>
                <w:sz w:val="22"/>
              </w:rPr>
            </w:pPr>
          </w:p>
        </w:tc>
      </w:tr>
      <w:tr w14:paraId="36463D84">
        <w:tblPrEx>
          <w:tblCellMar>
            <w:top w:w="0" w:type="dxa"/>
            <w:left w:w="108" w:type="dxa"/>
            <w:bottom w:w="0" w:type="dxa"/>
            <w:right w:w="108" w:type="dxa"/>
          </w:tblCellMar>
        </w:tblPrEx>
        <w:trPr>
          <w:trHeight w:val="276" w:hRule="atLeast"/>
          <w:jc w:val="center"/>
        </w:trPr>
        <w:tc>
          <w:tcPr>
            <w:tcW w:w="1107" w:type="dxa"/>
            <w:vMerge w:val="restart"/>
            <w:tcBorders>
              <w:top w:val="nil"/>
              <w:left w:val="single" w:color="auto" w:sz="4" w:space="0"/>
              <w:bottom w:val="single" w:color="000000" w:sz="4" w:space="0"/>
              <w:right w:val="single" w:color="auto" w:sz="4" w:space="0"/>
            </w:tcBorders>
            <w:shd w:val="clear" w:color="auto" w:fill="auto"/>
            <w:vAlign w:val="center"/>
          </w:tcPr>
          <w:p w14:paraId="7C86DA0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平</w:t>
            </w: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5C6759B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铁镜公主上场</w:t>
            </w:r>
          </w:p>
        </w:tc>
        <w:tc>
          <w:tcPr>
            <w:tcW w:w="960" w:type="dxa"/>
            <w:tcBorders>
              <w:top w:val="nil"/>
              <w:left w:val="nil"/>
              <w:bottom w:val="single" w:color="auto" w:sz="4" w:space="0"/>
              <w:right w:val="single" w:color="auto" w:sz="4" w:space="0"/>
            </w:tcBorders>
            <w:shd w:val="clear" w:color="auto" w:fill="auto"/>
            <w:vAlign w:val="center"/>
          </w:tcPr>
          <w:p w14:paraId="03E9C89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3AC09C59">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小锣抽头</w:t>
            </w:r>
          </w:p>
        </w:tc>
        <w:tc>
          <w:tcPr>
            <w:tcW w:w="1293" w:type="dxa"/>
            <w:tcBorders>
              <w:top w:val="nil"/>
              <w:left w:val="nil"/>
              <w:bottom w:val="single" w:color="auto" w:sz="4" w:space="0"/>
              <w:right w:val="single" w:color="auto" w:sz="4" w:space="0"/>
            </w:tcBorders>
            <w:shd w:val="clear" w:color="auto" w:fill="auto"/>
            <w:vAlign w:val="center"/>
          </w:tcPr>
          <w:p w14:paraId="0A3AE039">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0FB88EA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12D717D6">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3FB2D369">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4A65308C">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270436B0">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67B2D0E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小锣凤点头</w:t>
            </w:r>
          </w:p>
        </w:tc>
        <w:tc>
          <w:tcPr>
            <w:tcW w:w="1293" w:type="dxa"/>
            <w:tcBorders>
              <w:top w:val="nil"/>
              <w:left w:val="nil"/>
              <w:bottom w:val="single" w:color="auto" w:sz="4" w:space="0"/>
              <w:right w:val="single" w:color="auto" w:sz="4" w:space="0"/>
            </w:tcBorders>
            <w:shd w:val="clear" w:color="auto" w:fill="auto"/>
            <w:vAlign w:val="center"/>
          </w:tcPr>
          <w:p w14:paraId="52044AD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09B8D52F">
            <w:pPr>
              <w:widowControl/>
              <w:rPr>
                <w:rFonts w:hint="eastAsia" w:ascii="宋体" w:hAnsi="宋体" w:eastAsia="宋体" w:cs="宋体"/>
                <w:color w:val="000000"/>
                <w:kern w:val="0"/>
                <w:sz w:val="22"/>
              </w:rPr>
            </w:pPr>
          </w:p>
        </w:tc>
      </w:tr>
      <w:tr w14:paraId="7083B3E4">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60BA2337">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5FE5D0D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公主猜心事</w:t>
            </w:r>
          </w:p>
        </w:tc>
        <w:tc>
          <w:tcPr>
            <w:tcW w:w="960" w:type="dxa"/>
            <w:tcBorders>
              <w:top w:val="nil"/>
              <w:left w:val="nil"/>
              <w:bottom w:val="single" w:color="auto" w:sz="4" w:space="0"/>
              <w:right w:val="single" w:color="auto" w:sz="4" w:space="0"/>
            </w:tcBorders>
            <w:shd w:val="clear" w:color="auto" w:fill="auto"/>
            <w:vAlign w:val="center"/>
          </w:tcPr>
          <w:p w14:paraId="0E89BC79">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导板</w:t>
            </w:r>
          </w:p>
        </w:tc>
        <w:tc>
          <w:tcPr>
            <w:tcW w:w="1487" w:type="dxa"/>
            <w:tcBorders>
              <w:top w:val="nil"/>
              <w:left w:val="nil"/>
              <w:bottom w:val="single" w:color="auto" w:sz="4" w:space="0"/>
              <w:right w:val="single" w:color="auto" w:sz="4" w:space="0"/>
            </w:tcBorders>
            <w:shd w:val="clear" w:color="auto" w:fill="auto"/>
            <w:vAlign w:val="center"/>
          </w:tcPr>
          <w:p w14:paraId="551024C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小锣导板头</w:t>
            </w:r>
          </w:p>
        </w:tc>
        <w:tc>
          <w:tcPr>
            <w:tcW w:w="1293" w:type="dxa"/>
            <w:tcBorders>
              <w:top w:val="nil"/>
              <w:left w:val="nil"/>
              <w:bottom w:val="single" w:color="auto" w:sz="4" w:space="0"/>
              <w:right w:val="single" w:color="auto" w:sz="4" w:space="0"/>
            </w:tcBorders>
            <w:shd w:val="clear" w:color="auto" w:fill="auto"/>
            <w:vAlign w:val="center"/>
          </w:tcPr>
          <w:p w14:paraId="6760CB2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tcBorders>
              <w:top w:val="nil"/>
              <w:left w:val="nil"/>
              <w:bottom w:val="single" w:color="auto" w:sz="4" w:space="0"/>
              <w:right w:val="single" w:color="auto" w:sz="4" w:space="0"/>
            </w:tcBorders>
            <w:shd w:val="clear" w:color="auto" w:fill="auto"/>
            <w:vAlign w:val="center"/>
          </w:tcPr>
          <w:p w14:paraId="075F5D1C">
            <w:pPr>
              <w:widowControl/>
              <w:rPr>
                <w:rFonts w:hint="eastAsia" w:ascii="宋体" w:hAnsi="宋体" w:eastAsia="宋体" w:cs="宋体"/>
                <w:color w:val="000000"/>
                <w:kern w:val="0"/>
                <w:sz w:val="22"/>
              </w:rPr>
            </w:pPr>
          </w:p>
        </w:tc>
      </w:tr>
      <w:tr w14:paraId="26EC03A4">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07991EED">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18442F8F">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0AE1430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慢板</w:t>
            </w:r>
          </w:p>
        </w:tc>
        <w:tc>
          <w:tcPr>
            <w:tcW w:w="1487" w:type="dxa"/>
            <w:tcBorders>
              <w:top w:val="nil"/>
              <w:left w:val="nil"/>
              <w:bottom w:val="single" w:color="auto" w:sz="4" w:space="0"/>
              <w:right w:val="single" w:color="auto" w:sz="4" w:space="0"/>
            </w:tcBorders>
            <w:shd w:val="clear" w:color="auto" w:fill="auto"/>
            <w:vAlign w:val="center"/>
          </w:tcPr>
          <w:p w14:paraId="7ED5920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小锣夺头</w:t>
            </w:r>
          </w:p>
        </w:tc>
        <w:tc>
          <w:tcPr>
            <w:tcW w:w="1293" w:type="dxa"/>
            <w:tcBorders>
              <w:top w:val="nil"/>
              <w:left w:val="nil"/>
              <w:bottom w:val="single" w:color="auto" w:sz="4" w:space="0"/>
              <w:right w:val="single" w:color="auto" w:sz="4" w:space="0"/>
            </w:tcBorders>
            <w:shd w:val="clear" w:color="auto" w:fill="auto"/>
            <w:vAlign w:val="center"/>
          </w:tcPr>
          <w:p w14:paraId="6250D82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6</w:t>
            </w:r>
          </w:p>
        </w:tc>
        <w:tc>
          <w:tcPr>
            <w:tcW w:w="1400" w:type="dxa"/>
            <w:tcBorders>
              <w:top w:val="nil"/>
              <w:left w:val="nil"/>
              <w:bottom w:val="single" w:color="auto" w:sz="4" w:space="0"/>
              <w:right w:val="single" w:color="auto" w:sz="4" w:space="0"/>
            </w:tcBorders>
            <w:shd w:val="clear" w:color="auto" w:fill="auto"/>
            <w:vAlign w:val="center"/>
          </w:tcPr>
          <w:p w14:paraId="5280814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转念白</w:t>
            </w:r>
          </w:p>
        </w:tc>
      </w:tr>
      <w:tr w14:paraId="54345EF9">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75480AC">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0FD91503">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1607D55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4590BF8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小锣凤点头</w:t>
            </w:r>
          </w:p>
        </w:tc>
        <w:tc>
          <w:tcPr>
            <w:tcW w:w="1293" w:type="dxa"/>
            <w:tcBorders>
              <w:top w:val="nil"/>
              <w:left w:val="nil"/>
              <w:bottom w:val="single" w:color="auto" w:sz="4" w:space="0"/>
              <w:right w:val="single" w:color="auto" w:sz="4" w:space="0"/>
            </w:tcBorders>
            <w:shd w:val="clear" w:color="auto" w:fill="auto"/>
            <w:vAlign w:val="center"/>
          </w:tcPr>
          <w:p w14:paraId="5D11669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tcBorders>
              <w:top w:val="nil"/>
              <w:left w:val="nil"/>
              <w:bottom w:val="single" w:color="auto" w:sz="4" w:space="0"/>
              <w:right w:val="single" w:color="auto" w:sz="4" w:space="0"/>
            </w:tcBorders>
            <w:shd w:val="clear" w:color="auto" w:fill="auto"/>
            <w:vAlign w:val="center"/>
          </w:tcPr>
          <w:p w14:paraId="7F9A0EB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72E7135B">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782C491A">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55FD51B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杨延辉欲吐实情</w:t>
            </w:r>
          </w:p>
        </w:tc>
        <w:tc>
          <w:tcPr>
            <w:tcW w:w="960" w:type="dxa"/>
            <w:tcBorders>
              <w:top w:val="nil"/>
              <w:left w:val="nil"/>
              <w:bottom w:val="single" w:color="auto" w:sz="4" w:space="0"/>
              <w:right w:val="single" w:color="auto" w:sz="4" w:space="0"/>
            </w:tcBorders>
            <w:shd w:val="clear" w:color="auto" w:fill="auto"/>
            <w:vAlign w:val="center"/>
          </w:tcPr>
          <w:p w14:paraId="7233FF30">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4FD1D95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408C814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6947647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锣鼓收束</w:t>
            </w:r>
          </w:p>
        </w:tc>
      </w:tr>
      <w:tr w14:paraId="1F8C1855">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25DE853E">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64AA66AD">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7831DBC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2BCA495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大锣凤点头</w:t>
            </w:r>
          </w:p>
        </w:tc>
        <w:tc>
          <w:tcPr>
            <w:tcW w:w="1293" w:type="dxa"/>
            <w:tcBorders>
              <w:top w:val="nil"/>
              <w:left w:val="nil"/>
              <w:bottom w:val="single" w:color="auto" w:sz="4" w:space="0"/>
              <w:right w:val="single" w:color="auto" w:sz="4" w:space="0"/>
            </w:tcBorders>
            <w:shd w:val="clear" w:color="auto" w:fill="auto"/>
            <w:vAlign w:val="center"/>
          </w:tcPr>
          <w:p w14:paraId="0A6BC6C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63B4862B">
            <w:pPr>
              <w:widowControl/>
              <w:rPr>
                <w:rFonts w:hint="eastAsia" w:ascii="宋体" w:hAnsi="宋体" w:eastAsia="宋体" w:cs="宋体"/>
                <w:color w:val="000000"/>
                <w:kern w:val="0"/>
                <w:sz w:val="22"/>
              </w:rPr>
            </w:pPr>
          </w:p>
        </w:tc>
      </w:tr>
      <w:tr w14:paraId="10A15A68">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5C8E4041">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5843F379">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41E05E7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57940E0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紧锤尾</w:t>
            </w:r>
          </w:p>
        </w:tc>
        <w:tc>
          <w:tcPr>
            <w:tcW w:w="1293" w:type="dxa"/>
            <w:tcBorders>
              <w:top w:val="nil"/>
              <w:left w:val="nil"/>
              <w:bottom w:val="single" w:color="auto" w:sz="4" w:space="0"/>
              <w:right w:val="single" w:color="auto" w:sz="4" w:space="0"/>
            </w:tcBorders>
            <w:shd w:val="clear" w:color="auto" w:fill="auto"/>
            <w:vAlign w:val="center"/>
          </w:tcPr>
          <w:p w14:paraId="65EC3CB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4</w:t>
            </w:r>
          </w:p>
        </w:tc>
        <w:tc>
          <w:tcPr>
            <w:tcW w:w="1400" w:type="dxa"/>
            <w:vMerge w:val="continue"/>
            <w:tcBorders>
              <w:top w:val="nil"/>
              <w:left w:val="single" w:color="auto" w:sz="4" w:space="0"/>
              <w:bottom w:val="single" w:color="auto" w:sz="4" w:space="0"/>
              <w:right w:val="single" w:color="auto" w:sz="4" w:space="0"/>
            </w:tcBorders>
            <w:vAlign w:val="center"/>
          </w:tcPr>
          <w:p w14:paraId="32E18468">
            <w:pPr>
              <w:widowControl/>
              <w:rPr>
                <w:rFonts w:hint="eastAsia" w:ascii="宋体" w:hAnsi="宋体" w:eastAsia="宋体" w:cs="宋体"/>
                <w:color w:val="000000"/>
                <w:kern w:val="0"/>
                <w:sz w:val="22"/>
              </w:rPr>
            </w:pPr>
          </w:p>
        </w:tc>
      </w:tr>
      <w:tr w14:paraId="3E2FA51C">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19160C58">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7DE44729">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公主起誓</w:t>
            </w:r>
          </w:p>
        </w:tc>
        <w:tc>
          <w:tcPr>
            <w:tcW w:w="960" w:type="dxa"/>
            <w:tcBorders>
              <w:top w:val="nil"/>
              <w:left w:val="nil"/>
              <w:bottom w:val="single" w:color="auto" w:sz="4" w:space="0"/>
              <w:right w:val="single" w:color="auto" w:sz="4" w:space="0"/>
            </w:tcBorders>
            <w:shd w:val="clear" w:color="auto" w:fill="auto"/>
            <w:vAlign w:val="center"/>
          </w:tcPr>
          <w:p w14:paraId="398ADCC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流水</w:t>
            </w:r>
          </w:p>
        </w:tc>
        <w:tc>
          <w:tcPr>
            <w:tcW w:w="1487" w:type="dxa"/>
            <w:tcBorders>
              <w:top w:val="nil"/>
              <w:left w:val="nil"/>
              <w:bottom w:val="single" w:color="auto" w:sz="4" w:space="0"/>
              <w:right w:val="single" w:color="auto" w:sz="4" w:space="0"/>
            </w:tcBorders>
            <w:shd w:val="clear" w:color="auto" w:fill="auto"/>
            <w:vAlign w:val="center"/>
          </w:tcPr>
          <w:p w14:paraId="1F44223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小锣凤点头</w:t>
            </w:r>
          </w:p>
        </w:tc>
        <w:tc>
          <w:tcPr>
            <w:tcW w:w="1293" w:type="dxa"/>
            <w:tcBorders>
              <w:top w:val="nil"/>
              <w:left w:val="nil"/>
              <w:bottom w:val="single" w:color="auto" w:sz="4" w:space="0"/>
              <w:right w:val="single" w:color="auto" w:sz="4" w:space="0"/>
            </w:tcBorders>
            <w:shd w:val="clear" w:color="auto" w:fill="auto"/>
            <w:vAlign w:val="center"/>
          </w:tcPr>
          <w:p w14:paraId="13E0AD9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2D7009A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68A8B71D">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4DE01A8">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13F265BF">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5536107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1621F13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小锣凤点头</w:t>
            </w:r>
          </w:p>
        </w:tc>
        <w:tc>
          <w:tcPr>
            <w:tcW w:w="1293" w:type="dxa"/>
            <w:tcBorders>
              <w:top w:val="nil"/>
              <w:left w:val="nil"/>
              <w:bottom w:val="single" w:color="auto" w:sz="4" w:space="0"/>
              <w:right w:val="single" w:color="auto" w:sz="4" w:space="0"/>
            </w:tcBorders>
            <w:shd w:val="clear" w:color="auto" w:fill="auto"/>
            <w:vAlign w:val="center"/>
          </w:tcPr>
          <w:p w14:paraId="2F303C0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687B98FB">
            <w:pPr>
              <w:widowControl/>
              <w:rPr>
                <w:rFonts w:hint="eastAsia" w:ascii="宋体" w:hAnsi="宋体" w:eastAsia="宋体" w:cs="宋体"/>
                <w:color w:val="000000"/>
                <w:kern w:val="0"/>
                <w:sz w:val="22"/>
              </w:rPr>
            </w:pPr>
          </w:p>
        </w:tc>
      </w:tr>
      <w:tr w14:paraId="21665698">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2B85BCE3">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44AC12C7">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18592C9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3011787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29469F7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1560108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3AFCA3B6">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6E14D95C">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30E39DF3">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272F531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5D943F39">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1B4A56A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0DEC3D69">
            <w:pPr>
              <w:widowControl/>
              <w:rPr>
                <w:rFonts w:hint="eastAsia" w:ascii="宋体" w:hAnsi="宋体" w:eastAsia="宋体" w:cs="宋体"/>
                <w:color w:val="000000"/>
                <w:kern w:val="0"/>
                <w:sz w:val="22"/>
              </w:rPr>
            </w:pPr>
          </w:p>
        </w:tc>
      </w:tr>
      <w:tr w14:paraId="3D98261C">
        <w:tblPrEx>
          <w:tblCellMar>
            <w:top w:w="0" w:type="dxa"/>
            <w:left w:w="108" w:type="dxa"/>
            <w:bottom w:w="0" w:type="dxa"/>
            <w:right w:w="108" w:type="dxa"/>
          </w:tblCellMar>
        </w:tblPrEx>
        <w:trPr>
          <w:trHeight w:val="276" w:hRule="atLeast"/>
          <w:jc w:val="center"/>
        </w:trPr>
        <w:tc>
          <w:tcPr>
            <w:tcW w:w="1107" w:type="dxa"/>
            <w:vMerge w:val="restart"/>
            <w:tcBorders>
              <w:top w:val="nil"/>
              <w:left w:val="single" w:color="auto" w:sz="4" w:space="0"/>
              <w:bottom w:val="single" w:color="000000" w:sz="4" w:space="0"/>
              <w:right w:val="single" w:color="auto" w:sz="4" w:space="0"/>
            </w:tcBorders>
            <w:shd w:val="clear" w:color="auto" w:fill="auto"/>
            <w:vAlign w:val="center"/>
          </w:tcPr>
          <w:p w14:paraId="09214A4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落</w:t>
            </w: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5D2BFC8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杨延辉吐实情</w:t>
            </w:r>
          </w:p>
        </w:tc>
        <w:tc>
          <w:tcPr>
            <w:tcW w:w="960" w:type="dxa"/>
            <w:tcBorders>
              <w:top w:val="nil"/>
              <w:left w:val="nil"/>
              <w:bottom w:val="single" w:color="auto" w:sz="4" w:space="0"/>
              <w:right w:val="single" w:color="auto" w:sz="4" w:space="0"/>
            </w:tcBorders>
            <w:shd w:val="clear" w:color="auto" w:fill="auto"/>
            <w:vAlign w:val="center"/>
          </w:tcPr>
          <w:p w14:paraId="7B83CCB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导板</w:t>
            </w:r>
          </w:p>
        </w:tc>
        <w:tc>
          <w:tcPr>
            <w:tcW w:w="1487" w:type="dxa"/>
            <w:tcBorders>
              <w:top w:val="nil"/>
              <w:left w:val="nil"/>
              <w:bottom w:val="single" w:color="auto" w:sz="4" w:space="0"/>
              <w:right w:val="single" w:color="auto" w:sz="4" w:space="0"/>
            </w:tcBorders>
            <w:shd w:val="clear" w:color="auto" w:fill="auto"/>
            <w:vAlign w:val="center"/>
          </w:tcPr>
          <w:p w14:paraId="0A51641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大锣导板头</w:t>
            </w:r>
          </w:p>
        </w:tc>
        <w:tc>
          <w:tcPr>
            <w:tcW w:w="1293" w:type="dxa"/>
            <w:tcBorders>
              <w:top w:val="nil"/>
              <w:left w:val="nil"/>
              <w:bottom w:val="single" w:color="auto" w:sz="4" w:space="0"/>
              <w:right w:val="single" w:color="auto" w:sz="4" w:space="0"/>
            </w:tcBorders>
            <w:shd w:val="clear" w:color="auto" w:fill="auto"/>
            <w:vAlign w:val="center"/>
          </w:tcPr>
          <w:p w14:paraId="6F7AB26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511C168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5D0C7131">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10FAD272">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016823D4">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1333294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原板</w:t>
            </w:r>
          </w:p>
        </w:tc>
        <w:tc>
          <w:tcPr>
            <w:tcW w:w="1487" w:type="dxa"/>
            <w:tcBorders>
              <w:top w:val="nil"/>
              <w:left w:val="nil"/>
              <w:bottom w:val="single" w:color="auto" w:sz="4" w:space="0"/>
              <w:right w:val="single" w:color="auto" w:sz="4" w:space="0"/>
            </w:tcBorders>
            <w:shd w:val="clear" w:color="auto" w:fill="auto"/>
            <w:vAlign w:val="center"/>
          </w:tcPr>
          <w:p w14:paraId="2CC3312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慢长锤</w:t>
            </w:r>
          </w:p>
        </w:tc>
        <w:tc>
          <w:tcPr>
            <w:tcW w:w="1293" w:type="dxa"/>
            <w:tcBorders>
              <w:top w:val="nil"/>
              <w:left w:val="nil"/>
              <w:bottom w:val="single" w:color="auto" w:sz="4" w:space="0"/>
              <w:right w:val="single" w:color="auto" w:sz="4" w:space="0"/>
            </w:tcBorders>
            <w:shd w:val="clear" w:color="auto" w:fill="auto"/>
            <w:vAlign w:val="center"/>
          </w:tcPr>
          <w:p w14:paraId="5742936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7</w:t>
            </w:r>
          </w:p>
        </w:tc>
        <w:tc>
          <w:tcPr>
            <w:tcW w:w="1400" w:type="dxa"/>
            <w:vMerge w:val="continue"/>
            <w:tcBorders>
              <w:top w:val="nil"/>
              <w:left w:val="single" w:color="auto" w:sz="4" w:space="0"/>
              <w:bottom w:val="single" w:color="auto" w:sz="4" w:space="0"/>
              <w:right w:val="single" w:color="auto" w:sz="4" w:space="0"/>
            </w:tcBorders>
            <w:vAlign w:val="center"/>
          </w:tcPr>
          <w:p w14:paraId="301CD462">
            <w:pPr>
              <w:widowControl/>
              <w:rPr>
                <w:rFonts w:hint="eastAsia" w:ascii="宋体" w:hAnsi="宋体" w:eastAsia="宋体" w:cs="宋体"/>
                <w:color w:val="000000"/>
                <w:kern w:val="0"/>
                <w:sz w:val="22"/>
              </w:rPr>
            </w:pPr>
          </w:p>
        </w:tc>
      </w:tr>
      <w:tr w14:paraId="149AB8E9">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15F4A7B">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7FB916D0">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7AAD2A5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603F14E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无</w:t>
            </w:r>
          </w:p>
        </w:tc>
        <w:tc>
          <w:tcPr>
            <w:tcW w:w="1293" w:type="dxa"/>
            <w:tcBorders>
              <w:top w:val="nil"/>
              <w:left w:val="nil"/>
              <w:bottom w:val="single" w:color="auto" w:sz="4" w:space="0"/>
              <w:right w:val="single" w:color="auto" w:sz="4" w:space="0"/>
            </w:tcBorders>
            <w:shd w:val="clear" w:color="auto" w:fill="auto"/>
            <w:vAlign w:val="center"/>
          </w:tcPr>
          <w:p w14:paraId="6F123AD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4句半</w:t>
            </w:r>
          </w:p>
        </w:tc>
        <w:tc>
          <w:tcPr>
            <w:tcW w:w="1400" w:type="dxa"/>
            <w:vMerge w:val="continue"/>
            <w:tcBorders>
              <w:top w:val="nil"/>
              <w:left w:val="single" w:color="auto" w:sz="4" w:space="0"/>
              <w:bottom w:val="single" w:color="auto" w:sz="4" w:space="0"/>
              <w:right w:val="single" w:color="auto" w:sz="4" w:space="0"/>
            </w:tcBorders>
            <w:vAlign w:val="center"/>
          </w:tcPr>
          <w:p w14:paraId="2967F7D0">
            <w:pPr>
              <w:widowControl/>
              <w:rPr>
                <w:rFonts w:hint="eastAsia" w:ascii="宋体" w:hAnsi="宋体" w:eastAsia="宋体" w:cs="宋体"/>
                <w:color w:val="000000"/>
                <w:kern w:val="0"/>
                <w:sz w:val="22"/>
              </w:rPr>
            </w:pPr>
          </w:p>
        </w:tc>
      </w:tr>
      <w:tr w14:paraId="2C62328C">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0EB48E07">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3FB94BAE">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4299215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哭头</w:t>
            </w:r>
          </w:p>
        </w:tc>
        <w:tc>
          <w:tcPr>
            <w:tcW w:w="1487" w:type="dxa"/>
            <w:tcBorders>
              <w:top w:val="nil"/>
              <w:left w:val="nil"/>
              <w:bottom w:val="single" w:color="auto" w:sz="4" w:space="0"/>
              <w:right w:val="single" w:color="auto" w:sz="4" w:space="0"/>
            </w:tcBorders>
            <w:shd w:val="clear" w:color="auto" w:fill="auto"/>
            <w:vAlign w:val="center"/>
          </w:tcPr>
          <w:p w14:paraId="07A0B2E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哭头</w:t>
            </w:r>
          </w:p>
        </w:tc>
        <w:tc>
          <w:tcPr>
            <w:tcW w:w="1293" w:type="dxa"/>
            <w:tcBorders>
              <w:top w:val="nil"/>
              <w:left w:val="nil"/>
              <w:bottom w:val="single" w:color="auto" w:sz="4" w:space="0"/>
              <w:right w:val="single" w:color="auto" w:sz="4" w:space="0"/>
            </w:tcBorders>
            <w:shd w:val="clear" w:color="auto" w:fill="auto"/>
            <w:vAlign w:val="center"/>
          </w:tcPr>
          <w:p w14:paraId="3AFB95B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60AB72DB">
            <w:pPr>
              <w:widowControl/>
              <w:rPr>
                <w:rFonts w:hint="eastAsia" w:ascii="宋体" w:hAnsi="宋体" w:eastAsia="宋体" w:cs="宋体"/>
                <w:color w:val="000000"/>
                <w:kern w:val="0"/>
                <w:sz w:val="22"/>
              </w:rPr>
            </w:pPr>
          </w:p>
        </w:tc>
      </w:tr>
      <w:tr w14:paraId="5A682C02">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E39E96B">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1EBC8F6E">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42D7357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552B138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7098570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2</w:t>
            </w:r>
          </w:p>
        </w:tc>
        <w:tc>
          <w:tcPr>
            <w:tcW w:w="1400" w:type="dxa"/>
            <w:vMerge w:val="continue"/>
            <w:tcBorders>
              <w:top w:val="nil"/>
              <w:left w:val="single" w:color="auto" w:sz="4" w:space="0"/>
              <w:bottom w:val="single" w:color="auto" w:sz="4" w:space="0"/>
              <w:right w:val="single" w:color="auto" w:sz="4" w:space="0"/>
            </w:tcBorders>
            <w:vAlign w:val="center"/>
          </w:tcPr>
          <w:p w14:paraId="1F4FFB4B">
            <w:pPr>
              <w:widowControl/>
              <w:rPr>
                <w:rFonts w:hint="eastAsia" w:ascii="宋体" w:hAnsi="宋体" w:eastAsia="宋体" w:cs="宋体"/>
                <w:color w:val="000000"/>
                <w:kern w:val="0"/>
                <w:sz w:val="22"/>
              </w:rPr>
            </w:pPr>
          </w:p>
        </w:tc>
      </w:tr>
      <w:tr w14:paraId="79CFA60B">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696D38AB">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1E23E03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杨延辉求情</w:t>
            </w:r>
          </w:p>
        </w:tc>
        <w:tc>
          <w:tcPr>
            <w:tcW w:w="960" w:type="dxa"/>
            <w:tcBorders>
              <w:top w:val="nil"/>
              <w:left w:val="nil"/>
              <w:bottom w:val="single" w:color="auto" w:sz="4" w:space="0"/>
              <w:right w:val="single" w:color="auto" w:sz="4" w:space="0"/>
            </w:tcBorders>
            <w:shd w:val="clear" w:color="auto" w:fill="auto"/>
            <w:vAlign w:val="center"/>
          </w:tcPr>
          <w:p w14:paraId="615CC377">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流水</w:t>
            </w:r>
          </w:p>
        </w:tc>
        <w:tc>
          <w:tcPr>
            <w:tcW w:w="1487" w:type="dxa"/>
            <w:tcBorders>
              <w:top w:val="nil"/>
              <w:left w:val="nil"/>
              <w:bottom w:val="single" w:color="auto" w:sz="4" w:space="0"/>
              <w:right w:val="single" w:color="auto" w:sz="4" w:space="0"/>
            </w:tcBorders>
            <w:shd w:val="clear" w:color="auto" w:fill="auto"/>
            <w:vAlign w:val="center"/>
          </w:tcPr>
          <w:p w14:paraId="3EC39C40">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714E0BE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5</w:t>
            </w:r>
          </w:p>
        </w:tc>
        <w:tc>
          <w:tcPr>
            <w:tcW w:w="1400" w:type="dxa"/>
            <w:tcBorders>
              <w:top w:val="nil"/>
              <w:left w:val="nil"/>
              <w:bottom w:val="single" w:color="auto" w:sz="4" w:space="0"/>
              <w:right w:val="single" w:color="auto" w:sz="4" w:space="0"/>
            </w:tcBorders>
            <w:shd w:val="clear" w:color="auto" w:fill="auto"/>
            <w:vAlign w:val="center"/>
          </w:tcPr>
          <w:p w14:paraId="5A2C8AA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387D5EDA">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2E21E67D">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659411DD">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7C7E3DEC">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121A837E">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大锣凤点头</w:t>
            </w:r>
          </w:p>
        </w:tc>
        <w:tc>
          <w:tcPr>
            <w:tcW w:w="1293" w:type="dxa"/>
            <w:tcBorders>
              <w:top w:val="nil"/>
              <w:left w:val="nil"/>
              <w:bottom w:val="single" w:color="auto" w:sz="4" w:space="0"/>
              <w:right w:val="single" w:color="auto" w:sz="4" w:space="0"/>
            </w:tcBorders>
            <w:shd w:val="clear" w:color="auto" w:fill="auto"/>
            <w:vAlign w:val="center"/>
          </w:tcPr>
          <w:p w14:paraId="1E333CE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31</w:t>
            </w:r>
          </w:p>
        </w:tc>
        <w:tc>
          <w:tcPr>
            <w:tcW w:w="1400" w:type="dxa"/>
            <w:tcBorders>
              <w:top w:val="nil"/>
              <w:left w:val="nil"/>
              <w:bottom w:val="single" w:color="auto" w:sz="4" w:space="0"/>
              <w:right w:val="single" w:color="auto" w:sz="4" w:space="0"/>
            </w:tcBorders>
            <w:shd w:val="clear" w:color="auto" w:fill="auto"/>
            <w:vAlign w:val="center"/>
          </w:tcPr>
          <w:p w14:paraId="2EB3883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垛句结</w:t>
            </w:r>
          </w:p>
        </w:tc>
      </w:tr>
      <w:tr w14:paraId="3EC20135">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3CACA5DD">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4663F2D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杨延辉起誓</w:t>
            </w:r>
          </w:p>
        </w:tc>
        <w:tc>
          <w:tcPr>
            <w:tcW w:w="960" w:type="dxa"/>
            <w:tcBorders>
              <w:top w:val="nil"/>
              <w:left w:val="nil"/>
              <w:bottom w:val="single" w:color="auto" w:sz="4" w:space="0"/>
              <w:right w:val="single" w:color="auto" w:sz="4" w:space="0"/>
            </w:tcBorders>
            <w:shd w:val="clear" w:color="auto" w:fill="auto"/>
            <w:vAlign w:val="center"/>
          </w:tcPr>
          <w:p w14:paraId="0368F17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6C04FCC8">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大锣一击接闪锤</w:t>
            </w:r>
          </w:p>
        </w:tc>
        <w:tc>
          <w:tcPr>
            <w:tcW w:w="1293" w:type="dxa"/>
            <w:tcBorders>
              <w:top w:val="nil"/>
              <w:left w:val="nil"/>
              <w:bottom w:val="single" w:color="auto" w:sz="4" w:space="0"/>
              <w:right w:val="single" w:color="auto" w:sz="4" w:space="0"/>
            </w:tcBorders>
            <w:shd w:val="clear" w:color="auto" w:fill="auto"/>
            <w:vAlign w:val="center"/>
          </w:tcPr>
          <w:p w14:paraId="1662839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5C5EDFF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40B10B9D">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33B5343B">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49A19D71">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5821C20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221C84EB">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大锣凤点头</w:t>
            </w:r>
          </w:p>
        </w:tc>
        <w:tc>
          <w:tcPr>
            <w:tcW w:w="1293" w:type="dxa"/>
            <w:tcBorders>
              <w:top w:val="nil"/>
              <w:left w:val="nil"/>
              <w:bottom w:val="single" w:color="auto" w:sz="4" w:space="0"/>
              <w:right w:val="single" w:color="auto" w:sz="4" w:space="0"/>
            </w:tcBorders>
            <w:shd w:val="clear" w:color="auto" w:fill="auto"/>
            <w:vAlign w:val="center"/>
          </w:tcPr>
          <w:p w14:paraId="3B23FC12">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6E8A0A10">
            <w:pPr>
              <w:widowControl/>
              <w:rPr>
                <w:rFonts w:hint="eastAsia" w:ascii="宋体" w:hAnsi="宋体" w:eastAsia="宋体" w:cs="宋体"/>
                <w:color w:val="000000"/>
                <w:kern w:val="0"/>
                <w:sz w:val="22"/>
              </w:rPr>
            </w:pPr>
          </w:p>
        </w:tc>
      </w:tr>
      <w:tr w14:paraId="7DF43E32">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63174CFE">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0FF186A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公主退场</w:t>
            </w:r>
          </w:p>
        </w:tc>
        <w:tc>
          <w:tcPr>
            <w:tcW w:w="960" w:type="dxa"/>
            <w:tcBorders>
              <w:top w:val="nil"/>
              <w:left w:val="nil"/>
              <w:bottom w:val="single" w:color="auto" w:sz="4" w:space="0"/>
              <w:right w:val="single" w:color="auto" w:sz="4" w:space="0"/>
            </w:tcBorders>
            <w:shd w:val="clear" w:color="auto" w:fill="auto"/>
            <w:vAlign w:val="center"/>
          </w:tcPr>
          <w:p w14:paraId="3FC6F74D">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4F0A27E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53A8B39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09FE5AF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6C67104C">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1E02F229">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7210DB3E">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0BB7DD40">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摇板</w:t>
            </w:r>
          </w:p>
        </w:tc>
        <w:tc>
          <w:tcPr>
            <w:tcW w:w="1487" w:type="dxa"/>
            <w:tcBorders>
              <w:top w:val="nil"/>
              <w:left w:val="nil"/>
              <w:bottom w:val="single" w:color="auto" w:sz="4" w:space="0"/>
              <w:right w:val="single" w:color="auto" w:sz="4" w:space="0"/>
            </w:tcBorders>
            <w:shd w:val="clear" w:color="auto" w:fill="auto"/>
            <w:vAlign w:val="center"/>
          </w:tcPr>
          <w:p w14:paraId="27AFA051">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闪锤</w:t>
            </w:r>
          </w:p>
        </w:tc>
        <w:tc>
          <w:tcPr>
            <w:tcW w:w="1293" w:type="dxa"/>
            <w:tcBorders>
              <w:top w:val="nil"/>
              <w:left w:val="nil"/>
              <w:bottom w:val="single" w:color="auto" w:sz="4" w:space="0"/>
              <w:right w:val="single" w:color="auto" w:sz="4" w:space="0"/>
            </w:tcBorders>
            <w:shd w:val="clear" w:color="auto" w:fill="auto"/>
            <w:vAlign w:val="center"/>
          </w:tcPr>
          <w:p w14:paraId="17A60285">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56BB598B">
            <w:pPr>
              <w:widowControl/>
              <w:rPr>
                <w:rFonts w:hint="eastAsia" w:ascii="宋体" w:hAnsi="宋体" w:eastAsia="宋体" w:cs="宋体"/>
                <w:color w:val="000000"/>
                <w:kern w:val="0"/>
                <w:sz w:val="22"/>
              </w:rPr>
            </w:pPr>
          </w:p>
        </w:tc>
      </w:tr>
      <w:tr w14:paraId="69AF85F4">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48E9158A">
            <w:pPr>
              <w:widowControl/>
              <w:rPr>
                <w:rFonts w:hint="eastAsia" w:ascii="宋体" w:hAnsi="宋体" w:eastAsia="宋体" w:cs="宋体"/>
                <w:color w:val="000000"/>
                <w:kern w:val="0"/>
                <w:sz w:val="22"/>
              </w:rPr>
            </w:pPr>
          </w:p>
        </w:tc>
        <w:tc>
          <w:tcPr>
            <w:tcW w:w="2400" w:type="dxa"/>
            <w:vMerge w:val="restart"/>
            <w:tcBorders>
              <w:top w:val="nil"/>
              <w:left w:val="single" w:color="auto" w:sz="4" w:space="0"/>
              <w:bottom w:val="single" w:color="auto" w:sz="4" w:space="0"/>
              <w:right w:val="single" w:color="auto" w:sz="4" w:space="0"/>
            </w:tcBorders>
            <w:shd w:val="clear" w:color="auto" w:fill="auto"/>
            <w:vAlign w:val="center"/>
          </w:tcPr>
          <w:p w14:paraId="30EC388F">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杨延辉退场</w:t>
            </w:r>
          </w:p>
        </w:tc>
        <w:tc>
          <w:tcPr>
            <w:tcW w:w="960" w:type="dxa"/>
            <w:tcBorders>
              <w:top w:val="nil"/>
              <w:left w:val="nil"/>
              <w:bottom w:val="single" w:color="auto" w:sz="4" w:space="0"/>
              <w:right w:val="single" w:color="auto" w:sz="4" w:space="0"/>
            </w:tcBorders>
            <w:shd w:val="clear" w:color="auto" w:fill="auto"/>
            <w:vAlign w:val="center"/>
          </w:tcPr>
          <w:p w14:paraId="71428F3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快板</w:t>
            </w:r>
          </w:p>
        </w:tc>
        <w:tc>
          <w:tcPr>
            <w:tcW w:w="1487" w:type="dxa"/>
            <w:tcBorders>
              <w:top w:val="nil"/>
              <w:left w:val="nil"/>
              <w:bottom w:val="single" w:color="auto" w:sz="4" w:space="0"/>
              <w:right w:val="single" w:color="auto" w:sz="4" w:space="0"/>
            </w:tcBorders>
            <w:shd w:val="clear" w:color="auto" w:fill="auto"/>
            <w:vAlign w:val="center"/>
          </w:tcPr>
          <w:p w14:paraId="217D96A3">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大锣一击接紧锤</w:t>
            </w:r>
          </w:p>
        </w:tc>
        <w:tc>
          <w:tcPr>
            <w:tcW w:w="1293" w:type="dxa"/>
            <w:tcBorders>
              <w:top w:val="nil"/>
              <w:left w:val="nil"/>
              <w:bottom w:val="single" w:color="auto" w:sz="4" w:space="0"/>
              <w:right w:val="single" w:color="auto" w:sz="4" w:space="0"/>
            </w:tcBorders>
            <w:shd w:val="clear" w:color="auto" w:fill="auto"/>
            <w:vAlign w:val="center"/>
          </w:tcPr>
          <w:p w14:paraId="6A08BAB6">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3</w:t>
            </w:r>
          </w:p>
        </w:tc>
        <w:tc>
          <w:tcPr>
            <w:tcW w:w="1400" w:type="dxa"/>
            <w:vMerge w:val="restart"/>
            <w:tcBorders>
              <w:top w:val="nil"/>
              <w:left w:val="single" w:color="auto" w:sz="4" w:space="0"/>
              <w:bottom w:val="single" w:color="auto" w:sz="4" w:space="0"/>
              <w:right w:val="single" w:color="auto" w:sz="4" w:space="0"/>
            </w:tcBorders>
            <w:shd w:val="clear" w:color="auto" w:fill="auto"/>
            <w:vAlign w:val="center"/>
          </w:tcPr>
          <w:p w14:paraId="6BEFCD9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散结</w:t>
            </w:r>
          </w:p>
        </w:tc>
      </w:tr>
      <w:tr w14:paraId="30196310">
        <w:tblPrEx>
          <w:tblCellMar>
            <w:top w:w="0" w:type="dxa"/>
            <w:left w:w="108" w:type="dxa"/>
            <w:bottom w:w="0" w:type="dxa"/>
            <w:right w:w="108" w:type="dxa"/>
          </w:tblCellMar>
        </w:tblPrEx>
        <w:trPr>
          <w:trHeight w:val="276" w:hRule="atLeast"/>
          <w:jc w:val="center"/>
        </w:trPr>
        <w:tc>
          <w:tcPr>
            <w:tcW w:w="1107" w:type="dxa"/>
            <w:vMerge w:val="continue"/>
            <w:tcBorders>
              <w:top w:val="nil"/>
              <w:left w:val="single" w:color="auto" w:sz="4" w:space="0"/>
              <w:bottom w:val="single" w:color="000000" w:sz="4" w:space="0"/>
              <w:right w:val="single" w:color="auto" w:sz="4" w:space="0"/>
            </w:tcBorders>
            <w:vAlign w:val="center"/>
          </w:tcPr>
          <w:p w14:paraId="0DB2C8F8">
            <w:pPr>
              <w:widowControl/>
              <w:rPr>
                <w:rFonts w:hint="eastAsia" w:ascii="宋体" w:hAnsi="宋体" w:eastAsia="宋体" w:cs="宋体"/>
                <w:color w:val="000000"/>
                <w:kern w:val="0"/>
                <w:sz w:val="22"/>
              </w:rPr>
            </w:pPr>
          </w:p>
        </w:tc>
        <w:tc>
          <w:tcPr>
            <w:tcW w:w="2400" w:type="dxa"/>
            <w:vMerge w:val="continue"/>
            <w:tcBorders>
              <w:top w:val="nil"/>
              <w:left w:val="single" w:color="auto" w:sz="4" w:space="0"/>
              <w:bottom w:val="single" w:color="auto" w:sz="4" w:space="0"/>
              <w:right w:val="single" w:color="auto" w:sz="4" w:space="0"/>
            </w:tcBorders>
            <w:vAlign w:val="center"/>
          </w:tcPr>
          <w:p w14:paraId="1ED49814">
            <w:pPr>
              <w:widowControl/>
              <w:rPr>
                <w:rFonts w:hint="eastAsia" w:ascii="宋体" w:hAnsi="宋体" w:eastAsia="宋体" w:cs="宋体"/>
                <w:color w:val="000000"/>
                <w:kern w:val="0"/>
                <w:sz w:val="22"/>
              </w:rPr>
            </w:pPr>
          </w:p>
        </w:tc>
        <w:tc>
          <w:tcPr>
            <w:tcW w:w="960" w:type="dxa"/>
            <w:tcBorders>
              <w:top w:val="nil"/>
              <w:left w:val="nil"/>
              <w:bottom w:val="single" w:color="auto" w:sz="4" w:space="0"/>
              <w:right w:val="single" w:color="auto" w:sz="4" w:space="0"/>
            </w:tcBorders>
            <w:shd w:val="clear" w:color="auto" w:fill="auto"/>
            <w:vAlign w:val="center"/>
          </w:tcPr>
          <w:p w14:paraId="5CDB03C4">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散板</w:t>
            </w:r>
          </w:p>
        </w:tc>
        <w:tc>
          <w:tcPr>
            <w:tcW w:w="1487" w:type="dxa"/>
            <w:tcBorders>
              <w:top w:val="nil"/>
              <w:left w:val="nil"/>
              <w:bottom w:val="single" w:color="auto" w:sz="4" w:space="0"/>
              <w:right w:val="single" w:color="auto" w:sz="4" w:space="0"/>
            </w:tcBorders>
            <w:shd w:val="clear" w:color="auto" w:fill="auto"/>
            <w:vAlign w:val="center"/>
          </w:tcPr>
          <w:p w14:paraId="592C6180">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纽丝</w:t>
            </w:r>
          </w:p>
        </w:tc>
        <w:tc>
          <w:tcPr>
            <w:tcW w:w="1293" w:type="dxa"/>
            <w:tcBorders>
              <w:top w:val="nil"/>
              <w:left w:val="nil"/>
              <w:bottom w:val="single" w:color="auto" w:sz="4" w:space="0"/>
              <w:right w:val="single" w:color="auto" w:sz="4" w:space="0"/>
            </w:tcBorders>
            <w:shd w:val="clear" w:color="auto" w:fill="auto"/>
            <w:vAlign w:val="center"/>
          </w:tcPr>
          <w:p w14:paraId="16A5498A">
            <w:pPr>
              <w:widowControl/>
              <w:rPr>
                <w:rFonts w:hint="eastAsia" w:ascii="宋体" w:hAnsi="宋体" w:eastAsia="宋体" w:cs="宋体"/>
                <w:color w:val="000000"/>
                <w:kern w:val="0"/>
                <w:sz w:val="22"/>
              </w:rPr>
            </w:pPr>
            <w:r>
              <w:rPr>
                <w:rFonts w:hint="eastAsia" w:ascii="宋体" w:hAnsi="宋体" w:eastAsia="宋体" w:cs="宋体"/>
                <w:color w:val="000000"/>
                <w:kern w:val="0"/>
                <w:sz w:val="22"/>
              </w:rPr>
              <w:t>1</w:t>
            </w:r>
          </w:p>
        </w:tc>
        <w:tc>
          <w:tcPr>
            <w:tcW w:w="1400" w:type="dxa"/>
            <w:vMerge w:val="continue"/>
            <w:tcBorders>
              <w:top w:val="nil"/>
              <w:left w:val="single" w:color="auto" w:sz="4" w:space="0"/>
              <w:bottom w:val="single" w:color="auto" w:sz="4" w:space="0"/>
              <w:right w:val="single" w:color="auto" w:sz="4" w:space="0"/>
            </w:tcBorders>
            <w:vAlign w:val="center"/>
          </w:tcPr>
          <w:p w14:paraId="5E02E509">
            <w:pPr>
              <w:widowControl/>
              <w:rPr>
                <w:rFonts w:hint="eastAsia" w:ascii="宋体" w:hAnsi="宋体" w:eastAsia="宋体" w:cs="宋体"/>
                <w:color w:val="000000"/>
                <w:kern w:val="0"/>
                <w:sz w:val="22"/>
              </w:rPr>
            </w:pPr>
          </w:p>
        </w:tc>
      </w:tr>
    </w:tbl>
    <w:p w14:paraId="58FA19A7">
      <w:pPr>
        <w:spacing w:after="156" w:afterLines="50" w:line="360" w:lineRule="auto"/>
        <w:ind w:firstLine="480" w:firstLineChars="200"/>
        <w:jc w:val="left"/>
        <w:rPr>
          <w:rFonts w:hint="eastAsia" w:ascii="宋体" w:hAnsi="宋体" w:eastAsia="宋体" w:cs="宋体"/>
          <w:sz w:val="24"/>
        </w:rPr>
      </w:pPr>
      <w:r>
        <w:rPr>
          <w:rFonts w:hint="eastAsia" w:ascii="宋体" w:hAnsi="宋体" w:eastAsia="宋体" w:cs="宋体"/>
          <w:sz w:val="24"/>
        </w:rPr>
        <w:t>在中国民间音域的语境下，</w:t>
      </w:r>
      <w:r>
        <w:rPr>
          <w:rFonts w:ascii="宋体" w:hAnsi="宋体" w:eastAsia="宋体" w:cs="宋体"/>
          <w:sz w:val="24"/>
        </w:rPr>
        <w:t>循环和变化并非对立的概念，而是相互依存的。</w:t>
      </w:r>
      <w:r>
        <w:rPr>
          <w:rFonts w:hint="eastAsia" w:ascii="宋体" w:hAnsi="宋体" w:eastAsia="宋体" w:cs="宋体"/>
          <w:sz w:val="24"/>
        </w:rPr>
        <w:t>在循环提供的递归框架下，衍生为音乐的变化提供着动力</w:t>
      </w:r>
      <w:r>
        <w:rPr>
          <w:rFonts w:ascii="宋体" w:hAnsi="宋体" w:eastAsia="宋体" w:cs="宋体"/>
          <w:sz w:val="24"/>
        </w:rPr>
        <w:t>，变化并非破坏音乐连贯性的因素，恰恰相反，它是构成音乐生命力和表现力</w:t>
      </w:r>
      <w:r>
        <w:rPr>
          <w:rFonts w:hint="eastAsia" w:ascii="宋体" w:hAnsi="宋体" w:eastAsia="宋体" w:cs="宋体"/>
          <w:sz w:val="24"/>
        </w:rPr>
        <w:t>的重要支撑</w:t>
      </w:r>
      <w:r>
        <w:rPr>
          <w:rFonts w:ascii="宋体" w:hAnsi="宋体" w:eastAsia="宋体" w:cs="宋体"/>
          <w:sz w:val="24"/>
        </w:rPr>
        <w:t>。音乐中的循环为变化提供了结构框架，而变化则通过循环的反复呈现出来，成为音乐表达的动力源泉。</w:t>
      </w:r>
      <w:r>
        <w:rPr>
          <w:rFonts w:hint="eastAsia" w:ascii="宋体" w:hAnsi="宋体" w:eastAsia="宋体" w:cs="宋体"/>
          <w:sz w:val="24"/>
        </w:rPr>
        <w:t>中国民间音乐</w:t>
      </w:r>
      <w:r>
        <w:rPr>
          <w:rFonts w:ascii="宋体" w:hAnsi="宋体" w:eastAsia="宋体" w:cs="宋体"/>
          <w:sz w:val="24"/>
        </w:rPr>
        <w:t>的</w:t>
      </w:r>
      <w:r>
        <w:rPr>
          <w:rFonts w:hint="eastAsia" w:ascii="宋体" w:hAnsi="宋体" w:eastAsia="宋体" w:cs="宋体"/>
          <w:sz w:val="24"/>
        </w:rPr>
        <w:t>重要构曲思维——</w:t>
      </w:r>
      <w:r>
        <w:rPr>
          <w:rFonts w:ascii="宋体" w:hAnsi="宋体" w:eastAsia="宋体" w:cs="宋体"/>
          <w:sz w:val="24"/>
        </w:rPr>
        <w:t>循环是变化的载体，变化是音乐发展的</w:t>
      </w:r>
      <w:r>
        <w:rPr>
          <w:rFonts w:hint="eastAsia" w:ascii="宋体" w:hAnsi="宋体" w:eastAsia="宋体" w:cs="宋体"/>
          <w:sz w:val="24"/>
        </w:rPr>
        <w:t>动力</w:t>
      </w:r>
      <w:r>
        <w:rPr>
          <w:rFonts w:ascii="宋体" w:hAnsi="宋体" w:eastAsia="宋体" w:cs="宋体"/>
          <w:sz w:val="24"/>
        </w:rPr>
        <w:t>和</w:t>
      </w:r>
      <w:r>
        <w:rPr>
          <w:rFonts w:hint="eastAsia" w:ascii="宋体" w:hAnsi="宋体" w:eastAsia="宋体" w:cs="宋体"/>
          <w:sz w:val="24"/>
        </w:rPr>
        <w:t>支撑</w:t>
      </w:r>
      <w:r>
        <w:rPr>
          <w:rFonts w:ascii="宋体" w:hAnsi="宋体" w:eastAsia="宋体" w:cs="宋体"/>
          <w:sz w:val="24"/>
        </w:rPr>
        <w:t>。这种变化逻辑根植于中国传统哲学的深厚基础，贯穿于音乐创作和表演的每一个环节，形成了独特的中国音乐</w:t>
      </w:r>
      <w:r>
        <w:rPr>
          <w:rFonts w:hint="eastAsia" w:ascii="宋体" w:hAnsi="宋体" w:eastAsia="宋体" w:cs="宋体"/>
          <w:sz w:val="24"/>
        </w:rPr>
        <w:t>思维</w:t>
      </w:r>
      <w:r>
        <w:rPr>
          <w:rFonts w:ascii="宋体" w:hAnsi="宋体" w:eastAsia="宋体" w:cs="宋体"/>
          <w:sz w:val="24"/>
        </w:rPr>
        <w:t>。</w:t>
      </w:r>
    </w:p>
    <w:p w14:paraId="0DB70864">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t>在中国民间音乐的时间结构中，我们看到了时间的流动性和随机性如何赋予音乐新的层次感，而这种不断变化的时间框架在古典文献中同样能追寻到痕迹。《易经》通过“复”的概念，阐述了宇宙中万物的循环与变化，强调了事物处于永恒的演化过程中，这与民间音乐循环结构中对变化与稳定模式的探求有异曲同工之妙。正如《序卦》中所描述的，宇宙的秩序不是一成不变的，而是不断变化、不断自我否定和转化的。《易经》中关于“无往不复”的哲学思想强调了变化中的循环性。</w:t>
      </w:r>
      <w:r>
        <w:rPr>
          <w:rFonts w:hint="eastAsia" w:ascii="宋体" w:hAnsi="宋体" w:eastAsia="宋体" w:cs="宋体"/>
          <w:sz w:val="24"/>
          <w:vertAlign w:val="superscript"/>
        </w:rPr>
        <w:footnoteReference w:id="14"/>
      </w:r>
      <w:r>
        <w:rPr>
          <w:rFonts w:hint="eastAsia" w:ascii="宋体" w:hAnsi="宋体" w:eastAsia="宋体" w:cs="宋体"/>
          <w:sz w:val="24"/>
        </w:rPr>
        <w:t>而中国民间音乐的即兴演奏和递归结构也体现了这一点：音乐不断在重复中发展，经过细微变化而不失连贯性，体现了类似《易经》中“事物永远处于变化与循环之中”的思想。这种变化和循环的关系不仅是中国传统文化的核心元素，也是民间音乐创作和演奏的动力源泉。冀中管乐《放驴》的主题音调本身依靠“句句双”这一强调重复的民间音乐手法构成，在其后的展开过程中通过主题音调中的特性音列巩固音乐的主体性，并在此基础上进行速度、节奏、句幅等层面的变化。尽管全曲情绪变化较大，但仍能在“穗子”“金橄榄”等高潮段落中看到主题音调循环着的支撑作用。</w:t>
      </w:r>
    </w:p>
    <w:p w14:paraId="41C9AD4F">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t>在民间音乐的循环模式中，尽管音乐的基础元素会不断重复，但每一次的表现却都能带来新的解读和体验。一方面循环为音乐提供了稳定变化框架；另一方面，伴随着演员即兴与观众互动中产生的变化推动音乐不断衍生。循环作为变化的媒介与框架，在中国民间音乐的构曲过程中扮演着关键的角色，这一思想不仅存在于中国人对宇宙和自然的理解，某种程度上也渗透到了民间音乐的构曲中。</w:t>
      </w:r>
    </w:p>
    <w:p w14:paraId="1C6722B3">
      <w:pPr>
        <w:spacing w:after="156" w:afterLines="50" w:line="360" w:lineRule="auto"/>
        <w:jc w:val="left"/>
        <w:rPr>
          <w:b/>
          <w:bCs/>
          <w:sz w:val="28"/>
          <w:szCs w:val="28"/>
        </w:rPr>
      </w:pPr>
    </w:p>
    <w:p w14:paraId="710A8663">
      <w:pPr>
        <w:spacing w:after="156" w:afterLines="50" w:line="360" w:lineRule="auto"/>
        <w:jc w:val="center"/>
        <w:rPr>
          <w:b/>
          <w:bCs/>
          <w:sz w:val="28"/>
          <w:szCs w:val="28"/>
        </w:rPr>
      </w:pPr>
      <w:r>
        <w:rPr>
          <w:rFonts w:hint="eastAsia"/>
          <w:b/>
          <w:bCs/>
          <w:sz w:val="28"/>
          <w:szCs w:val="28"/>
        </w:rPr>
        <w:t>结语</w:t>
      </w:r>
    </w:p>
    <w:p w14:paraId="3BD28A3D">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t>中国民间音乐的“循环”逻辑是音乐构曲中的深层机制之一，循环不仅仅是音符和旋律的重复，它承载着变化与发展的力量，是推动音乐表达的重要动力。通过对中国民间音乐循环逻辑的梳理，我们看到递归与衍生的交织作用，如何在看似重复的框架中激发出无穷的变化。这种变化并非简单的重复，而是通过微妙的调性、节奏、旋律的调整，赋予音乐展衍的生命力。循环为变化提供了一个稳固的结构框架，而变化又通过循环的反复呈现，使得音乐在连贯中保持活力与多样性。</w:t>
      </w:r>
    </w:p>
    <w:p w14:paraId="170E0CD2">
      <w:pPr>
        <w:spacing w:after="156" w:afterLines="50" w:line="360" w:lineRule="auto"/>
        <w:ind w:firstLine="480" w:firstLineChars="200"/>
        <w:rPr>
          <w:rFonts w:hint="eastAsia" w:ascii="宋体" w:hAnsi="宋体" w:eastAsia="宋体" w:cs="宋体"/>
          <w:sz w:val="24"/>
        </w:rPr>
      </w:pPr>
      <w:r>
        <w:rPr>
          <w:rFonts w:hint="eastAsia" w:ascii="宋体" w:hAnsi="宋体" w:eastAsia="宋体" w:cs="宋体"/>
          <w:sz w:val="24"/>
        </w:rPr>
        <w:t>中国民间音乐的“循环”逻辑，不仅是其构曲思维的重要体现，也承载了丰富的文化意义。它不仅反映了中国人对时间与变化的独特理解，更是中国传统文化在音乐中的具体体现。通过这种循环的构曲思维，中国民间音乐展现了其独特的艺术魅力，也为我们理解音乐与时间、情感与结构之间的关系提供了新的视角。</w:t>
      </w:r>
    </w:p>
    <w:p w14:paraId="110E92C8">
      <w:pPr>
        <w:spacing w:after="156" w:afterLines="50" w:line="360" w:lineRule="auto"/>
        <w:ind w:firstLine="480" w:firstLineChars="200"/>
        <w:rPr>
          <w:rFonts w:hint="eastAsia" w:ascii="宋体" w:hAnsi="宋体" w:eastAsia="宋体" w:cs="宋体"/>
          <w:sz w:val="24"/>
        </w:rPr>
      </w:pPr>
    </w:p>
    <w:sectPr>
      <w:footnotePr>
        <w:numFmt w:val="decimalEnclosedCircleChines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
    <w:p>
      <w:r>
        <w:separator/>
      </w:r>
    </w:p>
  </w:footnote>
  <w:footnote w:type="continuationSeparator" w:id="31">
    <w:p>
      <w:r>
        <w:continuationSeparator/>
      </w:r>
    </w:p>
  </w:footnote>
  <w:footnote w:id="0">
    <w:p w14:paraId="4462A877">
      <w:pPr>
        <w:pStyle w:val="4"/>
      </w:pPr>
      <w:r>
        <w:rPr>
          <w:rStyle w:val="10"/>
        </w:rPr>
        <w:footnoteRef/>
      </w:r>
      <w:r>
        <w:t xml:space="preserve"> </w:t>
      </w:r>
      <w:r>
        <w:rPr>
          <w:rFonts w:hint="eastAsia"/>
        </w:rPr>
        <w:t>李西安、军驰：《中国民族曲式》，北京：人民音乐出版社，1985年，第84页。</w:t>
      </w:r>
    </w:p>
  </w:footnote>
  <w:footnote w:id="1">
    <w:p w14:paraId="17E5AF81">
      <w:pPr>
        <w:pStyle w:val="4"/>
      </w:pPr>
      <w:r>
        <w:rPr>
          <w:rStyle w:val="10"/>
        </w:rPr>
        <w:footnoteRef/>
      </w:r>
      <w:r>
        <w:t xml:space="preserve"> </w:t>
      </w:r>
      <w:r>
        <w:rPr>
          <w:rFonts w:hint="eastAsia"/>
        </w:rPr>
        <w:t>李民雄：《传统民族器乐常见的套式结构类型》，《音乐探索（四川音乐学院学报）》1985年第3期，第29页。</w:t>
      </w:r>
    </w:p>
  </w:footnote>
  <w:footnote w:id="2">
    <w:p w14:paraId="618AAC45">
      <w:pPr>
        <w:pStyle w:val="4"/>
      </w:pPr>
      <w:r>
        <w:rPr>
          <w:rStyle w:val="10"/>
        </w:rPr>
        <w:footnoteRef/>
      </w:r>
      <w:r>
        <w:t xml:space="preserve"> </w:t>
      </w:r>
      <w:r>
        <w:rPr>
          <w:rFonts w:hint="eastAsia"/>
        </w:rPr>
        <w:t>李吉提：《中国音乐结构分析概论》，北京：中央音乐学院出版社，2004年，第211-218页。</w:t>
      </w:r>
    </w:p>
  </w:footnote>
  <w:footnote w:id="3">
    <w:p w14:paraId="1FFFCD0D">
      <w:pPr>
        <w:pStyle w:val="4"/>
      </w:pPr>
      <w:r>
        <w:rPr>
          <w:rStyle w:val="10"/>
        </w:rPr>
        <w:footnoteRef/>
      </w:r>
      <w:r>
        <w:t xml:space="preserve"> </w:t>
      </w:r>
      <w:r>
        <w:rPr>
          <w:rFonts w:hint="eastAsia"/>
        </w:rPr>
        <w:t>储历：《中国传统音乐曲式结构分析》，北京：中央音乐学院出版社，2014年，第168页。</w:t>
      </w:r>
    </w:p>
  </w:footnote>
  <w:footnote w:id="4">
    <w:p w14:paraId="336A3A79">
      <w:pPr>
        <w:pStyle w:val="4"/>
      </w:pPr>
      <w:r>
        <w:rPr>
          <w:rStyle w:val="10"/>
        </w:rPr>
        <w:footnoteRef/>
      </w:r>
      <w:r>
        <w:t xml:space="preserve"> </w:t>
      </w:r>
      <w:r>
        <w:rPr>
          <w:rFonts w:hint="eastAsia"/>
        </w:rPr>
        <w:t>中国社会科学院语言研究所词典编辑室：《现代汉语词典·第七版》，北京：商务印书馆，2016年，第1949页。</w:t>
      </w:r>
    </w:p>
  </w:footnote>
  <w:footnote w:id="5">
    <w:p w14:paraId="0D520A21">
      <w:pPr>
        <w:pStyle w:val="4"/>
      </w:pPr>
      <w:r>
        <w:rPr>
          <w:rStyle w:val="10"/>
        </w:rPr>
        <w:footnoteRef/>
      </w:r>
      <w:r>
        <w:t xml:space="preserve"> </w:t>
      </w:r>
      <w:r>
        <w:rPr>
          <w:rFonts w:hint="eastAsia"/>
        </w:rPr>
        <w:t>递归是一个在数学、计算机科学等领域广泛使用的概念，指的是某一过程或结构在定义时引用自身的现象。后被弗雷德·勒达尔（Fred Lerdahl）与雷·杰肯多夫（Ray Jackendoff）等音乐理论家引申到音乐分析领域。马丁·克莱顿（Martin Clayton）在《印度音乐中的时间：北印度拉格表演中的节奏、韵律与形式》中，也探讨了递归在印度音乐中的表现。</w:t>
      </w:r>
    </w:p>
  </w:footnote>
  <w:footnote w:id="6">
    <w:p w14:paraId="1F5B431F">
      <w:pPr>
        <w:pStyle w:val="4"/>
      </w:pPr>
      <w:r>
        <w:rPr>
          <w:rStyle w:val="10"/>
        </w:rPr>
        <w:footnoteRef/>
      </w:r>
      <w:r>
        <w:t xml:space="preserve"> </w:t>
      </w:r>
      <w:r>
        <w:rPr>
          <w:rFonts w:hint="eastAsia"/>
        </w:rPr>
        <w:t>李西安、赵冬梅：《中国传统曲式学》，北京：现代出版社，2020年，第12页。</w:t>
      </w:r>
    </w:p>
  </w:footnote>
  <w:footnote w:id="7">
    <w:p w14:paraId="0B2AB968">
      <w:pPr>
        <w:pStyle w:val="4"/>
      </w:pPr>
      <w:r>
        <w:rPr>
          <w:rStyle w:val="10"/>
        </w:rPr>
        <w:footnoteRef/>
      </w:r>
      <w:r>
        <w:t xml:space="preserve"> </w:t>
      </w:r>
      <w:r>
        <w:rPr>
          <w:rFonts w:hint="eastAsia"/>
        </w:rPr>
        <w:t>〔宋〕灌圃耐得翁：《都门纪胜》，载孟元老著《东京梦华录》，古典文学出版社，1956年，第97页。</w:t>
      </w:r>
    </w:p>
  </w:footnote>
  <w:footnote w:id="8">
    <w:p w14:paraId="7E956D29">
      <w:pPr>
        <w:pStyle w:val="4"/>
      </w:pPr>
      <w:r>
        <w:rPr>
          <w:rStyle w:val="10"/>
        </w:rPr>
        <w:footnoteRef/>
      </w:r>
      <w:r>
        <w:t xml:space="preserve"> </w:t>
      </w:r>
      <w:r>
        <w:rPr>
          <w:rFonts w:hint="eastAsia"/>
        </w:rPr>
        <w:t>李吉提：《中国音乐结构分析概论》，北京：中央音乐学院出版社，2004年，第90页。</w:t>
      </w:r>
    </w:p>
  </w:footnote>
  <w:footnote w:id="9">
    <w:p w14:paraId="4589BC73">
      <w:pPr>
        <w:pStyle w:val="4"/>
        <w:rPr>
          <w:rStyle w:val="11"/>
          <w:rFonts w:ascii="Times New Roman" w:hAnsi="Times New Roman" w:cs="Times New Roman"/>
        </w:rPr>
      </w:pPr>
      <w:r>
        <w:rPr>
          <w:rStyle w:val="10"/>
        </w:rPr>
        <w:footnoteRef/>
      </w:r>
      <w:r>
        <w:t xml:space="preserve"> </w:t>
      </w:r>
      <w:r>
        <w:rPr>
          <w:rStyle w:val="11"/>
          <w:rFonts w:ascii="Times New Roman" w:hAnsi="Times New Roman" w:cs="Times New Roman"/>
        </w:rPr>
        <w:t xml:space="preserve">Meintjes, Louise. </w:t>
      </w:r>
      <w:r>
        <w:rPr>
          <w:rStyle w:val="11"/>
          <w:rFonts w:ascii="Times New Roman" w:hAnsi="Times New Roman" w:cs="Times New Roman"/>
          <w:i/>
          <w:iCs/>
        </w:rPr>
        <w:t>"Ululation</w:t>
      </w:r>
      <w:r>
        <w:rPr>
          <w:rStyle w:val="11"/>
          <w:rFonts w:ascii="Times New Roman" w:hAnsi="Times New Roman" w:cs="Times New Roman"/>
        </w:rPr>
        <w:t xml:space="preserve">." In </w:t>
      </w:r>
      <w:r>
        <w:rPr>
          <w:rStyle w:val="11"/>
          <w:rFonts w:ascii="Times New Roman" w:hAnsi="Times New Roman" w:cs="Times New Roman"/>
          <w:i/>
          <w:iCs/>
        </w:rPr>
        <w:t>Remapping Sound Studies</w:t>
      </w:r>
      <w:r>
        <w:rPr>
          <w:rStyle w:val="11"/>
          <w:rFonts w:ascii="Times New Roman" w:hAnsi="Times New Roman" w:cs="Times New Roman"/>
        </w:rPr>
        <w:t>, edited by Gavin Steingo and Jim Sykes, Duke University Press, 2019, pp. 61-75.</w:t>
      </w:r>
    </w:p>
  </w:footnote>
  <w:footnote w:id="10">
    <w:p w14:paraId="500F6536">
      <w:pPr>
        <w:pStyle w:val="4"/>
      </w:pPr>
      <w:r>
        <w:rPr>
          <w:rFonts w:hint="eastAsia"/>
        </w:rPr>
        <w:footnoteRef/>
      </w:r>
      <w:r>
        <w:rPr>
          <w:rFonts w:hint="eastAsia"/>
        </w:rPr>
        <w:t xml:space="preserve"> 〔美〕苏珊·朗格.：《情感与形式》，刘大基、傅志强、周发祥译，北京：中国社会科学出版社, 1986年，第122-123页。</w:t>
      </w:r>
    </w:p>
  </w:footnote>
  <w:footnote w:id="11">
    <w:p w14:paraId="79AAB5DC">
      <w:pPr>
        <w:pStyle w:val="5"/>
        <w:widowControl/>
        <w:spacing w:beforeAutospacing="0" w:afterAutospacing="0"/>
      </w:pPr>
      <w:r>
        <w:rPr>
          <w:rStyle w:val="10"/>
        </w:rPr>
        <w:footnoteRef/>
      </w:r>
      <w:r>
        <w:t xml:space="preserve"> </w:t>
      </w:r>
      <w:r>
        <w:rPr>
          <w:rStyle w:val="11"/>
        </w:rPr>
        <w:t>Jonathan D.</w:t>
      </w:r>
      <w:r>
        <w:rPr>
          <w:rStyle w:val="11"/>
          <w:rFonts w:hint="eastAsia"/>
        </w:rPr>
        <w:t xml:space="preserve"> </w:t>
      </w:r>
      <w:r>
        <w:rPr>
          <w:rStyle w:val="11"/>
        </w:rPr>
        <w:t>Kramer, The Time of Music: New Meanings, New Temporalities, New Listening Strategies. New York: Schirmer Books, 198</w:t>
      </w:r>
      <w:r>
        <w:rPr>
          <w:rStyle w:val="11"/>
          <w:rFonts w:hint="eastAsia"/>
        </w:rPr>
        <w:t>8, pp.20.</w:t>
      </w:r>
    </w:p>
  </w:footnote>
  <w:footnote w:id="12">
    <w:p w14:paraId="250FB2AF">
      <w:pPr>
        <w:pStyle w:val="5"/>
        <w:widowControl/>
        <w:shd w:val="clear" w:color="auto" w:fill="FFFFF8"/>
        <w:spacing w:beforeAutospacing="0" w:afterAutospacing="0"/>
        <w:ind w:left="210" w:hanging="210"/>
        <w:textAlignment w:val="baseline"/>
        <w:rPr>
          <w:rFonts w:ascii="Times New Roman" w:hAnsi="Times New Roman"/>
          <w:kern w:val="2"/>
          <w:sz w:val="18"/>
          <w:szCs w:val="18"/>
        </w:rPr>
      </w:pPr>
      <w:r>
        <w:rPr>
          <w:rStyle w:val="10"/>
          <w:rFonts w:ascii="Times New Roman" w:hAnsi="Times New Roman"/>
          <w:sz w:val="18"/>
          <w:szCs w:val="18"/>
        </w:rPr>
        <w:footnoteRef/>
      </w:r>
      <w:r>
        <w:rPr>
          <w:rFonts w:ascii="Times New Roman" w:hAnsi="Times New Roman"/>
          <w:sz w:val="18"/>
          <w:szCs w:val="18"/>
        </w:rPr>
        <w:t xml:space="preserve"> </w:t>
      </w:r>
      <w:r>
        <w:rPr>
          <w:rFonts w:ascii="Times New Roman" w:hAnsi="Times New Roman"/>
          <w:kern w:val="2"/>
          <w:sz w:val="18"/>
          <w:szCs w:val="18"/>
        </w:rPr>
        <w:t>Thrasher, Alan R. 2008. Sizhu Instrumental Music of South China: Ethos, Theory and Practice. Brill.</w:t>
      </w:r>
      <w:bookmarkStart w:id="0" w:name="thrasher_2016"/>
      <w:bookmarkEnd w:id="0"/>
      <w:r>
        <w:rPr>
          <w:rFonts w:ascii="Times New Roman" w:hAnsi="Times New Roman"/>
          <w:kern w:val="2"/>
          <w:sz w:val="18"/>
          <w:szCs w:val="18"/>
        </w:rPr>
        <w:t xml:space="preserve"> 2016. Qupai in Chinese Music: Melodic Models in Form and Practice.</w:t>
      </w:r>
    </w:p>
  </w:footnote>
  <w:footnote w:id="13">
    <w:p w14:paraId="66469D7E">
      <w:pPr>
        <w:pStyle w:val="4"/>
      </w:pPr>
      <w:r>
        <w:rPr>
          <w:rStyle w:val="10"/>
        </w:rPr>
        <w:footnoteRef/>
      </w:r>
      <w:r>
        <w:t xml:space="preserve"> </w:t>
      </w:r>
      <w:r>
        <w:rPr>
          <w:rStyle w:val="11"/>
          <w:rFonts w:ascii="Times New Roman" w:hAnsi="Times New Roman" w:cs="Times New Roman"/>
        </w:rPr>
        <w:t>Wang, Anna Yu. "Philosophizing Time in Sinitic Opera." Music Theory Online, vol. 29, no. 3, 2023</w:t>
      </w:r>
      <w:r>
        <w:rPr>
          <w:rStyle w:val="11"/>
          <w:rFonts w:hint="eastAsia" w:ascii="Times New Roman" w:hAnsi="Times New Roman" w:cs="Times New Roman"/>
        </w:rPr>
        <w:t>, pp12</w:t>
      </w:r>
    </w:p>
  </w:footnote>
  <w:footnote w:id="14">
    <w:p w14:paraId="3E14D446">
      <w:pPr>
        <w:pStyle w:val="4"/>
      </w:pPr>
      <w:r>
        <w:rPr>
          <w:rStyle w:val="10"/>
        </w:rPr>
        <w:footnoteRef/>
      </w:r>
      <w:r>
        <w:t xml:space="preserve"> </w:t>
      </w:r>
      <w:r>
        <w:rPr>
          <w:rFonts w:hint="eastAsia"/>
        </w:rPr>
        <w:t>冯友兰：《中国哲学简史》，北京：生活·读书·新知三联书店2009年版，第188页。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cumentProtection w:enforcement="0"/>
  <w:defaultTabStop w:val="420"/>
  <w:drawingGridVerticalSpacing w:val="156"/>
  <w:noPunctuationKerning w:val="1"/>
  <w:characterSpacingControl w:val="compressPunctuation"/>
  <w:footnotePr>
    <w:numFmt w:val="decimalEnclosedCircleChinese"/>
    <w:footnote w:id="30"/>
    <w:footnote w:id="3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07EAA"/>
    <w:rsid w:val="00052E07"/>
    <w:rsid w:val="00072CCE"/>
    <w:rsid w:val="000E6F5C"/>
    <w:rsid w:val="000F0AD9"/>
    <w:rsid w:val="000F6D8A"/>
    <w:rsid w:val="00116D59"/>
    <w:rsid w:val="001A6E93"/>
    <w:rsid w:val="00204106"/>
    <w:rsid w:val="002D141E"/>
    <w:rsid w:val="00621C3D"/>
    <w:rsid w:val="008C1AD1"/>
    <w:rsid w:val="00922005"/>
    <w:rsid w:val="00BE6BD7"/>
    <w:rsid w:val="00CC1DED"/>
    <w:rsid w:val="00D60D20"/>
    <w:rsid w:val="00DE1F25"/>
    <w:rsid w:val="00E52EDD"/>
    <w:rsid w:val="00F56528"/>
    <w:rsid w:val="043D6C25"/>
    <w:rsid w:val="049A7BD3"/>
    <w:rsid w:val="13527439"/>
    <w:rsid w:val="24D12D46"/>
    <w:rsid w:val="2A847D42"/>
    <w:rsid w:val="2AB77746"/>
    <w:rsid w:val="33296C50"/>
    <w:rsid w:val="4C607EAA"/>
    <w:rsid w:val="51A14CA8"/>
    <w:rsid w:val="54316AAD"/>
    <w:rsid w:val="556543C6"/>
    <w:rsid w:val="712A1591"/>
    <w:rsid w:val="765331AF"/>
    <w:rsid w:val="7FC73E62"/>
    <w:rsid w:val="7FD30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3">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note text"/>
    <w:basedOn w:val="1"/>
    <w:link w:val="11"/>
    <w:qFormat/>
    <w:uiPriority w:val="0"/>
    <w:pPr>
      <w:snapToGrid w:val="0"/>
      <w:jc w:val="left"/>
    </w:pPr>
    <w:rPr>
      <w:sz w:val="18"/>
    </w:rPr>
  </w:style>
  <w:style w:type="paragraph" w:styleId="5">
    <w:name w:val="Normal (Web)"/>
    <w:basedOn w:val="1"/>
    <w:qFormat/>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footnote reference"/>
    <w:basedOn w:val="7"/>
    <w:qFormat/>
    <w:uiPriority w:val="0"/>
    <w:rPr>
      <w:vertAlign w:val="superscript"/>
    </w:rPr>
  </w:style>
  <w:style w:type="character" w:customStyle="1" w:styleId="11">
    <w:name w:val="脚注文本 字符"/>
    <w:link w:val="4"/>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2407</Words>
  <Characters>2475</Characters>
  <Lines>85</Lines>
  <Paragraphs>24</Paragraphs>
  <TotalTime>16</TotalTime>
  <ScaleCrop>false</ScaleCrop>
  <LinksUpToDate>false</LinksUpToDate>
  <CharactersWithSpaces>2480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2024-12-16T03:26:00Z</dcterms:created>
  <dc:creator>年级第一单奕翔</dc:creator>
  <cp:lastModifiedBy>年级第一单奕翔</cp:lastModifiedBy>
  <dcterms:modified xsi:type="dcterms:W3CDTF">2024-12-25T11:42:49Z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E561091B160E4DA696DD762D3F542AF6_13</vt:lpwstr>
  </property>
</Properties>
</file>