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7A2" w:rsidRDefault="000A37A2">
      <w:r>
        <w:rPr>
          <w:lang/>
        </w:rPr>
        <w:br/>
        <w:t>Sr. Mary Clare, a Sister of Notre Dame, holds a doctorate in counseling psychology. She is interested in integration of psychology with spirituality and religion, particularly Catholicism. She is a licensed professional counselor in the state of Ohio, and a board certified registered art therapist. She has taught college/university courses in religious studies, history, art, and psychology, and has served as a director religious education and in provincial administration.</w:t>
      </w:r>
    </w:p>
    <w:sectPr w:rsidR="000A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37A2"/>
    <w:rsid w:val="000A3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mckenna.william</dc:creator>
  <cp:lastModifiedBy>mckenna.william</cp:lastModifiedBy>
  <cp:revision>1</cp:revision>
  <dcterms:created xsi:type="dcterms:W3CDTF">2012-10-01T18:31:00Z</dcterms:created>
  <dcterms:modified xsi:type="dcterms:W3CDTF">2012-10-01T18:31:00Z</dcterms:modified>
</cp:coreProperties>
</file>