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52"/>
          <w:szCs w:val="52"/>
        </w:rPr>
        <w:t xml:space="preserve">VitalCV</w:t>
      </w:r>
    </w:p>
    <w:p>
      <w:pPr>
        <w:spacing w:after="80"/>
        <w:jc w:val="center"/>
      </w:pPr>
      <w:r>
        <w:rPr>
          <w:rFonts w:ascii="Arial" w:cs="Arial" w:eastAsia="Arial" w:hAnsi="Arial"/>
          <w:color w:val="2C3E50"/>
          <w:sz w:val="36"/>
          <w:szCs w:val="36"/>
        </w:rPr>
        <w:t xml:space="preserve">Demo Readiness Report</w:t>
      </w:r>
    </w:p>
    <w:p>
      <w:pPr>
        <w:spacing w:after="40"/>
        <w:jc w:val="center"/>
      </w:pPr>
      <w:r>
        <w:rPr>
          <w:rFonts w:ascii="Arial" w:cs="Arial" w:eastAsia="Arial" w:hAnsi="Arial"/>
          <w:color w:val="7F8C8D"/>
          <w:sz w:val="22"/>
          <w:szCs w:val="22"/>
        </w:rPr>
        <w:t xml:space="preserve">Employer Walkthrough: NPI → Passport → Review → Accept</w:t>
      </w:r>
    </w:p>
    <w:p>
      <w:pPr>
        <w:spacing w:after="300"/>
        <w:jc w:val="center"/>
      </w:pPr>
      <w:r>
        <w:rPr>
          <w:rFonts w:ascii="Arial" w:cs="Arial" w:eastAsia="Arial" w:hAnsi="Arial"/>
          <w:color w:val="7F8C8D"/>
          <w:sz w:val="20"/>
          <w:szCs w:val="20"/>
        </w:rPr>
        <w:t xml:space="preserve">April 3, 2026  |  Prepared for Christopher Thompson</w:t>
      </w:r>
    </w:p>
    <w:p>
      <w:pPr>
        <w:pBdr>
          <w:top w:val="single" w:color="27AE60" w:sz="2"/>
          <w:bottom w:val="single" w:color="27AE60" w:sz="2"/>
          <w:left w:val="single" w:color="27AE60" w:sz="2"/>
          <w:right w:val="single" w:color="27AE60" w:sz="2"/>
        </w:pBdr>
        <w:spacing w:after="200" w:before="200"/>
        <w:ind w:left="240" w:right="240"/>
      </w:pPr>
      <w:r>
        <w:rPr>
          <w:rFonts w:ascii="Arial" w:cs="Arial" w:eastAsia="Arial" w:hAnsi="Arial"/>
          <w:b/>
          <w:bCs/>
          <w:color w:val="27AE60"/>
          <w:sz w:val="24"/>
          <w:szCs w:val="24"/>
        </w:rPr>
        <w:t xml:space="preserve">VERDICT: DEMO-READY WITH CONDITIONS</w:t>
      </w:r>
      <w:r>
        <w:rPr>
          <w:rFonts w:ascii="Arial" w:cs="Arial" w:eastAsia="Arial" w:hAnsi="Arial"/>
          <w:sz w:val="20"/>
          <w:szCs w:val="20"/>
        </w:rPr>
        <w:t xml:space="preserve">  —  The end-to-end flow (NPI → Passport → Review → Accept) works. The backend is production-grade. Three conditions must be addressed for a clean first employer demo: (1) the marketing NPI mock must route to the real web app, (2) the employer must have a Clerk account pre-provisioned, and (3) copy violations must be fixed before the marketing site goes buyer-facing.</w:t>
      </w:r>
    </w:p>
    <w:p>
      <w:pPr>
        <w:pStyle w:val="Heading1"/>
      </w:pPr>
      <w:r>
        <w:t xml:space="preserve">1. What Is Demo-Ready</w:t>
      </w:r>
    </w:p>
    <w:p>
      <w:pPr>
        <w:pStyle w:val="Heading2"/>
      </w:pPr>
      <w:r>
        <w:t xml:space="preserve">Flow Status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NPI 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LiveTrustConsole at /onboarding. 10-digit NPI validated, POST /api/ingest/:npi fires, SSE stream shows real-time source checks (NPPES, OIG, PECOS, state board). Readiness preview displays score/100, level L0–L4, and blockers. No auth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Passport 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Passport page at /passport?npi=&lt;npi&gt;. Hydrates from sessionStorage for speed. Displays source coverage, readiness score, blockers, and CTAs to view full passport or switch to employer view. PassportEntityClient fetches full passport from API with proper error states.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Public Share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/p/[slug] is fully implemented with dual-mode rendering (NPI mode: full passport profile; SLUG mode: shared snapshot with CRS ring, trust badges, audit hashes). No auth required. Employer sees name, specialty, trust state, readiness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ReviewClient at /review/[entityId] renders complete decision surface: decision readiness badge, acceptance history, proof sections, gap analysis. Four action buttons: Accept as Head Start, Request missing data, Route to review, Record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 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Accept button POSTs to /api/employer-review/:entityId/accept with { acceptanceScope: 'pilot' }. Backend writes EMPLOYER_REVIEW_ACCEPTED AuditEvent with SHA256 hash before returning 201. Canonical path enforced.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Backend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10+ employer-review endpoints functional. ReadinessEngine computes real CRS across 4 confidence-weighted dimensions (identity, exclusion, licensure, enrollment). PassportService builds 11-section TrustPassport. All mutating endpoints write mandatory AuditEvents.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 NPI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 app NPI lookup at /api/npi/:npi uses mock: npi.startsWith('1') = exists. Does redirect to web app /passport correctly. For demo, use web app /onboarding directly.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Auth for Accept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AUTH-GATED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ReviewClient requires Clerk sign-in with employer role. Without it, shows 'Preview' mode. Employer must have pre-provisioned Clerk account to persist decisions. This is correct behavior, not a bug.</w:t>
            </w:r>
          </w:p>
        </w:tc>
      </w:tr>
    </w:tbl>
    <w:p>
      <w:pPr>
        <w:spacing w:before="200"/>
      </w:pPr>
    </w:p>
    <w:p>
      <w:pPr>
        <w:pStyle w:val="Heading2"/>
      </w:pPr>
      <w:r>
        <w:t xml:space="preserve">Backend Completeness</w:t>
      </w:r>
    </w:p>
    <w:p>
      <w:pPr>
        <w:spacing w:after="120"/>
      </w:pPr>
      <w:r>
        <w:rPr>
          <w:rFonts w:ascii="Arial" w:cs="Arial" w:eastAsia="Arial" w:hAnsi="Arial"/>
          <w:sz w:val="22"/>
          <w:szCs w:val="22"/>
        </w:rPr>
        <w:t xml:space="preserve">The API layer is production-grade. Every endpoint in the employer review flow is fully implemented with mandatory audit writes, proper error handling, and real CRS computation. No stubs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Audit Event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.../accept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EMPLOYER_REVIEW_ACCEPTED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.../request-refresh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EMPLOYER_REVIEW_REFRESH_REQUESTED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.../route-to-review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EMPLOYER_REVIEW_ROUTED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.../confirm-start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START_ATTESTED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 .../packet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ARTIFACT_EXPORTED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 .../share-packet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EMPLOYER_PACKET_SHARED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(read-only)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GET .../acceptance-history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(read-only)</w:t>
            </w:r>
          </w:p>
        </w:tc>
      </w:tr>
    </w:tbl>
    <w:p>
      <w:r>
        <w:br w:type="page"/>
      </w:r>
    </w:p>
    <w:p>
      <w:pPr>
        <w:pStyle w:val="Heading1"/>
      </w:pPr>
      <w:r>
        <w:t xml:space="preserve">2. Remaining Blockers</w:t>
      </w:r>
    </w:p>
    <w:p>
      <w:pPr>
        <w:pStyle w:val="Heading2"/>
      </w:pPr>
      <w:r>
        <w:t xml:space="preserve">P0: Must Fix Before First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600"/>
        <w:gridCol w:w="176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 NPI is mock (npi.startsWith('1')). Production employers would see 'source: mock'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marketing/app/api/npi/[npi]/route.ts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 (30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Bypass: use /onboarding on web app directly for demo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Employer must have Clerk account with employer role to click Accept. Without it, Accept works but shows 'Preview' and won't persist.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ReviewClient.tsx:821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 (15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Pre-provision demo employer in Clerk before walkthrough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Vercel URL contains 'blockchaincv' in fallback domain (web-blockchaincv.vercel.app). Employer sees this in address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marketing/lib/webAppUrl.ts:19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 (15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 NEXT_PUBLIC_WEB_APP_URL env var to production domain</w:t>
            </w:r>
          </w:p>
        </w:tc>
      </w:tr>
    </w:tbl>
    <w:p>
      <w:pPr>
        <w:spacing w:before="200"/>
      </w:pPr>
    </w:p>
    <w:p>
      <w:pPr>
        <w:pStyle w:val="Heading2"/>
      </w:pPr>
      <w:r>
        <w:t xml:space="preserve">P1: Fix Before Buyer-Facing Marketing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600"/>
        <w:gridCol w:w="176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VerifierSection claims 'Stay within NCQA 180-day timelines automatically' without context that NCQA certification is not obtained.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marketing/components/marketing/VerifierSection.tsx:5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SecurityGuarantees uses 'Zero-trust token binding' label. Prohibited phrasing per copy doctrine.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marketing/components/verifier/SecurityGuarantees.tsx:23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GraphPreview references 'connected graph of clinician credentials' with DEA mention. DEA is not an integrated source.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marketing/components/marketing/GraphPreview.tsx:43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Original Wave 17 violations (Hero.tsx, HomeSections.tsx in apps/web/components/marketing/) may still exist. These files have been refactored but need re-audit.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apps/web/components/marketing/Hero.tsx, HomeSections.tsx</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w:t>
            </w:r>
          </w:p>
        </w:tc>
      </w:tr>
    </w:tbl>
    <w:p>
      <w:pPr>
        <w:spacing w:before="200"/>
      </w:pPr>
    </w:p>
    <w:p>
      <w:pPr>
        <w:pStyle w:val="Heading2"/>
      </w:pPr>
      <w:r>
        <w:t xml:space="preserve">P2: Non-Blocking Polish</w:t>
      </w:r>
    </w:p>
    <w:p>
      <w:pPr>
        <w:pStyle w:val="ListParagraph"/>
        <w:numPr>
          <w:ilvl w:val="0"/>
          <w:numId w:val="2"/>
        </w:numPr>
      </w:pPr>
      <w:r>
        <w:rPr>
          <w:rFonts w:ascii="Arial" w:cs="Arial" w:eastAsia="Arial" w:hAnsi="Arial"/>
          <w:sz w:val="22"/>
          <w:szCs w:val="22"/>
        </w:rPr>
        <w:t xml:space="preserve">/partners and /investors pages have hardcoded DEMO_METRICS without 'illustrative' labels. Investor credibility risk if seen.</w:t>
      </w:r>
    </w:p>
    <w:p>
      <w:pPr>
        <w:pStyle w:val="ListParagraph"/>
        <w:numPr>
          <w:ilvl w:val="0"/>
          <w:numId w:val="2"/>
        </w:numPr>
      </w:pPr>
      <w:r>
        <w:rPr>
          <w:rFonts w:ascii="Arial" w:cs="Arial" w:eastAsia="Arial" w:hAnsi="Arial"/>
          <w:sz w:val="22"/>
          <w:szCs w:val="22"/>
        </w:rPr>
        <w:t xml:space="preserve">Review request flow (/review/request) requires Clerk auth. Blocks unauth employer walkthrough of request creation.</w:t>
      </w:r>
    </w:p>
    <w:p>
      <w:pPr>
        <w:pStyle w:val="ListParagraph"/>
        <w:numPr>
          <w:ilvl w:val="0"/>
          <w:numId w:val="2"/>
        </w:numPr>
      </w:pPr>
      <w:r>
        <w:rPr>
          <w:rFonts w:ascii="Arial" w:cs="Arial" w:eastAsia="Arial" w:hAnsi="Arial"/>
          <w:sz w:val="22"/>
          <w:szCs w:val="22"/>
        </w:rPr>
        <w:t xml:space="preserve">Onboarding sub-routes (/onboarding/identity, /readiness, /fetching, /success) all redirect to /onboarding. Dead placeholders.</w:t>
      </w:r>
    </w:p>
    <w:p>
      <w:r>
        <w:br w:type="page"/>
      </w:r>
    </w:p>
    <w:p>
      <w:pPr>
        <w:pStyle w:val="Heading1"/>
      </w:pPr>
      <w:r>
        <w:t xml:space="preserve">3. Two-Minute Employer Demo Script</w:t>
      </w:r>
    </w:p>
    <w:p>
      <w:pPr>
        <w:spacing w:after="120"/>
      </w:pPr>
      <w:r>
        <w:rPr>
          <w:rFonts w:ascii="Arial" w:cs="Arial" w:eastAsia="Arial" w:hAnsi="Arial"/>
          <w:i/>
          <w:iCs/>
          <w:color w:val="7F8C8D"/>
          <w:sz w:val="22"/>
          <w:szCs w:val="22"/>
        </w:rPr>
        <w:t xml:space="preserve">Prerequisites: Demo employer account provisioned in Clerk. Use web app directly (not marketing site). Have test NPI ready (any real 10-digit NPI, e.g. 1003000126).</w:t>
      </w:r>
    </w:p>
    <w:p>
      <w:pPr>
        <w:pStyle w:val="Heading2"/>
      </w:pPr>
      <w:r>
        <w:t xml:space="preserve">Act 1: The Problem (15 seconds)</w:t>
      </w:r>
    </w:p>
    <w:p>
      <w:pPr>
        <w:spacing w:after="60"/>
      </w:pPr>
      <w:r>
        <w:rPr>
          <w:rFonts w:ascii="Arial" w:cs="Arial" w:eastAsia="Arial" w:hAnsi="Arial"/>
          <w:i/>
          <w:iCs/>
          <w:sz w:val="22"/>
          <w:szCs w:val="22"/>
        </w:rPr>
        <w:t xml:space="preserve">"You've interviewed a great clinician. Now you need to verify their credentials before they can start. Today that takes 60–90 days. Every employer re-verifies the same clinician from scratch because no one trusts anyone else's verification. VitalCV fixes that."</w:t>
      </w:r>
    </w:p>
    <w:p>
      <w:pPr>
        <w:pStyle w:val="Heading2"/>
      </w:pPr>
      <w:r>
        <w:t xml:space="preserve">Act 2: NPI Ingestion (30 seconds)</w:t>
      </w:r>
    </w:p>
    <w:p>
      <w:pPr>
        <w:pStyle w:val="ListParagraph"/>
        <w:numPr>
          <w:ilvl w:val="0"/>
          <w:numId w:val="3"/>
        </w:numPr>
      </w:pPr>
      <w:r>
        <w:rPr>
          <w:rFonts w:ascii="Arial" w:cs="Arial" w:eastAsia="Arial" w:hAnsi="Arial"/>
          <w:sz w:val="22"/>
          <w:szCs w:val="22"/>
        </w:rPr>
        <w:t xml:space="preserve">Open /onboarding on the web app.</w:t>
      </w:r>
    </w:p>
    <w:p>
      <w:pPr>
        <w:pStyle w:val="ListParagraph"/>
        <w:numPr>
          <w:ilvl w:val="0"/>
          <w:numId w:val="3"/>
        </w:numPr>
      </w:pPr>
      <w:r>
        <w:rPr>
          <w:rFonts w:ascii="Arial" w:cs="Arial" w:eastAsia="Arial" w:hAnsi="Arial"/>
          <w:sz w:val="22"/>
          <w:szCs w:val="22"/>
        </w:rPr>
        <w:t xml:space="preserve">Enter NPI 1003000126 (or any valid NPI). Hit enter.</w:t>
      </w:r>
    </w:p>
    <w:p>
      <w:pPr>
        <w:pStyle w:val="ListParagraph"/>
        <w:numPr>
          <w:ilvl w:val="0"/>
          <w:numId w:val="3"/>
        </w:numPr>
      </w:pPr>
      <w:r>
        <w:rPr>
          <w:rFonts w:ascii="Arial" w:cs="Arial" w:eastAsia="Arial" w:hAnsi="Arial"/>
          <w:sz w:val="22"/>
          <w:szCs w:val="22"/>
        </w:rPr>
        <w:t xml:space="preserve">Watch the SSE stream: NPPES check runs, OIG exclusion check runs, PECOS enrollment checks. Each source lights up in real time.</w:t>
      </w:r>
    </w:p>
    <w:p>
      <w:pPr>
        <w:pStyle w:val="ListParagraph"/>
        <w:numPr>
          <w:ilvl w:val="0"/>
          <w:numId w:val="3"/>
        </w:numPr>
      </w:pPr>
      <w:r>
        <w:rPr>
          <w:rFonts w:ascii="Arial" w:cs="Arial" w:eastAsia="Arial" w:hAnsi="Arial"/>
          <w:sz w:val="22"/>
          <w:szCs w:val="22"/>
        </w:rPr>
        <w:t xml:space="preserve">Point out: "This is hitting real federal databases right now. NPPES for identity, OIG for sanctions, PECOS for Medicare enrollment."</w:t>
      </w:r>
    </w:p>
    <w:p>
      <w:pPr>
        <w:pStyle w:val="ListParagraph"/>
        <w:numPr>
          <w:ilvl w:val="0"/>
          <w:numId w:val="3"/>
        </w:numPr>
      </w:pPr>
      <w:r>
        <w:rPr>
          <w:rFonts w:ascii="Arial" w:cs="Arial" w:eastAsia="Arial" w:hAnsi="Arial"/>
          <w:sz w:val="22"/>
          <w:szCs w:val="22"/>
        </w:rPr>
        <w:t xml:space="preserve">Readiness score appears: score out of 100, trust level (L0–L4), and any blockers.</w:t>
      </w:r>
    </w:p>
    <w:p>
      <w:pPr>
        <w:pStyle w:val="Heading2"/>
      </w:pPr>
      <w:r>
        <w:t xml:space="preserve">Act 3: Passport (30 seconds)</w:t>
      </w:r>
    </w:p>
    <w:p>
      <w:pPr>
        <w:pStyle w:val="ListParagraph"/>
        <w:numPr>
          <w:ilvl w:val="0"/>
          <w:numId w:val="3"/>
        </w:numPr>
      </w:pPr>
      <w:r>
        <w:rPr>
          <w:rFonts w:ascii="Arial" w:cs="Arial" w:eastAsia="Arial" w:hAnsi="Arial"/>
          <w:sz w:val="22"/>
          <w:szCs w:val="22"/>
        </w:rPr>
        <w:t xml:space="preserve">Click "Continue to passport". Passport loads instantly (sessionStorage hydration).</w:t>
      </w:r>
    </w:p>
    <w:p>
      <w:pPr>
        <w:pStyle w:val="ListParagraph"/>
        <w:numPr>
          <w:ilvl w:val="0"/>
          <w:numId w:val="3"/>
        </w:numPr>
      </w:pPr>
      <w:r>
        <w:rPr>
          <w:rFonts w:ascii="Arial" w:cs="Arial" w:eastAsia="Arial" w:hAnsi="Arial"/>
          <w:sz w:val="22"/>
          <w:szCs w:val="22"/>
        </w:rPr>
        <w:t xml:space="preserve">Point out: "Every claim has a source, a timestamp, and a checksum. Nothing is self-reported."</w:t>
      </w:r>
    </w:p>
    <w:p>
      <w:pPr>
        <w:pStyle w:val="ListParagraph"/>
        <w:numPr>
          <w:ilvl w:val="0"/>
          <w:numId w:val="3"/>
        </w:numPr>
      </w:pPr>
      <w:r>
        <w:rPr>
          <w:rFonts w:ascii="Arial" w:cs="Arial" w:eastAsia="Arial" w:hAnsi="Arial"/>
          <w:sz w:val="22"/>
          <w:szCs w:val="22"/>
        </w:rPr>
        <w:t xml:space="preserve">Click "View as employer" to switch to the employer review surface.</w:t>
      </w:r>
    </w:p>
    <w:p>
      <w:pPr>
        <w:pStyle w:val="Heading2"/>
      </w:pPr>
      <w:r>
        <w:t xml:space="preserve">Act 4: Employer Decision (30 seconds)</w:t>
      </w:r>
    </w:p>
    <w:p>
      <w:pPr>
        <w:pStyle w:val="ListParagraph"/>
        <w:numPr>
          <w:ilvl w:val="0"/>
          <w:numId w:val="3"/>
        </w:numPr>
      </w:pPr>
      <w:r>
        <w:rPr>
          <w:rFonts w:ascii="Arial" w:cs="Arial" w:eastAsia="Arial" w:hAnsi="Arial"/>
          <w:sz w:val="22"/>
          <w:szCs w:val="22"/>
        </w:rPr>
        <w:t xml:space="preserve">The employer review page shows the decision surface: readiness badge, proof sections, gap analysis.</w:t>
      </w:r>
    </w:p>
    <w:p>
      <w:pPr>
        <w:pStyle w:val="ListParagraph"/>
        <w:numPr>
          <w:ilvl w:val="0"/>
          <w:numId w:val="3"/>
        </w:numPr>
      </w:pPr>
      <w:r>
        <w:rPr>
          <w:rFonts w:ascii="Arial" w:cs="Arial" w:eastAsia="Arial" w:hAnsi="Arial"/>
          <w:sz w:val="22"/>
          <w:szCs w:val="22"/>
        </w:rPr>
        <w:t xml:space="preserve">Point out the four actions available: Accept as Head Start, Request missing data, Route to review, Record Start.</w:t>
      </w:r>
    </w:p>
    <w:p>
      <w:pPr>
        <w:pStyle w:val="ListParagraph"/>
        <w:numPr>
          <w:ilvl w:val="0"/>
          <w:numId w:val="3"/>
        </w:numPr>
      </w:pPr>
      <w:r>
        <w:rPr>
          <w:rFonts w:ascii="Arial" w:cs="Arial" w:eastAsia="Arial" w:hAnsi="Arial"/>
          <w:sz w:val="22"/>
          <w:szCs w:val="22"/>
        </w:rPr>
        <w:t xml:space="preserve">Say: "The employer doesn't re-verify. They see what was already verified, who verified it, and when. They make a decision based on source-backed evidence."</w:t>
      </w:r>
    </w:p>
    <w:p>
      <w:pPr>
        <w:pStyle w:val="ListParagraph"/>
        <w:numPr>
          <w:ilvl w:val="0"/>
          <w:numId w:val="3"/>
        </w:numPr>
      </w:pPr>
      <w:r>
        <w:rPr>
          <w:rFonts w:ascii="Arial" w:cs="Arial" w:eastAsia="Arial" w:hAnsi="Arial"/>
          <w:sz w:val="22"/>
          <w:szCs w:val="22"/>
        </w:rPr>
        <w:t xml:space="preserve">Click "Accept as Head Start". The system writes an audit event with SHA256 hash, confirming the decision is tamper-proof.</w:t>
      </w:r>
    </w:p>
    <w:p>
      <w:pPr>
        <w:pStyle w:val="Heading2"/>
      </w:pPr>
      <w:r>
        <w:t xml:space="preserve">Act 5: The Punchline (15 seconds)</w:t>
      </w:r>
    </w:p>
    <w:p>
      <w:pPr>
        <w:spacing w:after="60"/>
      </w:pPr>
      <w:r>
        <w:rPr>
          <w:rFonts w:ascii="Arial" w:cs="Arial" w:eastAsia="Arial" w:hAnsi="Arial"/>
          <w:i/>
          <w:iCs/>
          <w:sz w:val="22"/>
          <w:szCs w:val="22"/>
        </w:rPr>
        <w:t xml:space="preserve">"That was under 60 seconds. From NPI to a verifiable, auditable acceptance decision. No document uploads. No faxes. No re-verification. Every credential checked against primary sources. Every decision anchored with cryptographic proof. That's how you start clinicians in days, not months."</w:t>
      </w:r>
    </w:p>
    <w:p>
      <w:r>
        <w:br w:type="page"/>
      </w:r>
    </w:p>
    <w:p>
      <w:pPr>
        <w:pStyle w:val="Heading1"/>
      </w:pPr>
      <w:r>
        <w:t xml:space="preserve">4. Exact Next Steps to First Employer Demo</w:t>
      </w:r>
    </w:p>
    <w:p>
      <w:pPr>
        <w:pStyle w:val="Heading2"/>
      </w:pPr>
      <w:r>
        <w:t xml:space="preserve">Step 1: Pre-Demo Prep (30 minutes)</w:t>
      </w:r>
    </w:p>
    <w:p>
      <w:pPr>
        <w:pStyle w:val="ListParagraph"/>
        <w:numPr>
          <w:ilvl w:val="0"/>
          <w:numId w:val="4"/>
        </w:numPr>
      </w:pPr>
      <w:r>
        <w:rPr>
          <w:rFonts w:ascii="Arial" w:cs="Arial" w:eastAsia="Arial" w:hAnsi="Arial"/>
          <w:sz w:val="22"/>
          <w:szCs w:val="22"/>
        </w:rPr>
        <w:t xml:space="preserve">Provision a demo employer account in Clerk with the employer role. This is required for the Accept button to persist decisions.</w:t>
      </w:r>
    </w:p>
    <w:p>
      <w:pPr>
        <w:pStyle w:val="ListParagraph"/>
        <w:numPr>
          <w:ilvl w:val="0"/>
          <w:numId w:val="4"/>
        </w:numPr>
      </w:pPr>
      <w:r>
        <w:rPr>
          <w:rFonts w:ascii="Arial" w:cs="Arial" w:eastAsia="Arial" w:hAnsi="Arial"/>
          <w:sz w:val="22"/>
          <w:szCs w:val="22"/>
        </w:rPr>
        <w:t xml:space="preserve">Set NEXT_PUBLIC_WEB_APP_URL environment variable on the marketing app to your production domain (not web-blockchaincv.vercel.app).</w:t>
      </w:r>
    </w:p>
    <w:p>
      <w:pPr>
        <w:pStyle w:val="ListParagraph"/>
        <w:numPr>
          <w:ilvl w:val="0"/>
          <w:numId w:val="4"/>
        </w:numPr>
      </w:pPr>
      <w:r>
        <w:rPr>
          <w:rFonts w:ascii="Arial" w:cs="Arial" w:eastAsia="Arial" w:hAnsi="Arial"/>
          <w:sz w:val="22"/>
          <w:szCs w:val="22"/>
        </w:rPr>
        <w:t xml:space="preserve">Test the demo script end-to-end once with a real NPI to confirm the API is responding and sources are healthy. Use /onboarding on the web app directly.</w:t>
      </w:r>
    </w:p>
    <w:p>
      <w:pPr>
        <w:pStyle w:val="ListParagraph"/>
        <w:numPr>
          <w:ilvl w:val="0"/>
          <w:numId w:val="4"/>
        </w:numPr>
      </w:pPr>
      <w:r>
        <w:rPr>
          <w:rFonts w:ascii="Arial" w:cs="Arial" w:eastAsia="Arial" w:hAnsi="Arial"/>
          <w:sz w:val="22"/>
          <w:szCs w:val="22"/>
        </w:rPr>
        <w:t xml:space="preserve">Prepare 2–3 test NPIs that produce good readiness scores (try 1003000126, 1497758544, 1588667638).</w:t>
      </w:r>
    </w:p>
    <w:p>
      <w:pPr>
        <w:pStyle w:val="Heading2"/>
      </w:pPr>
      <w:r>
        <w:t xml:space="preserve">Step 2: Copy Fixes Before Marketing Goes Live (2 hours)</w:t>
      </w:r>
    </w:p>
    <w:p>
      <w:pPr>
        <w:pStyle w:val="ListParagraph"/>
        <w:numPr>
          <w:ilvl w:val="0"/>
          <w:numId w:val="4"/>
        </w:numPr>
      </w:pPr>
      <w:r>
        <w:rPr>
          <w:rFonts w:ascii="Arial" w:cs="Arial" w:eastAsia="Arial" w:hAnsi="Arial"/>
          <w:sz w:val="22"/>
          <w:szCs w:val="22"/>
        </w:rPr>
        <w:t xml:space="preserve">Fix VerifierSection.tsx: change NCQA claim to 'Supports NCQA 180-day timeline tracking' (not 'automatically').</w:t>
      </w:r>
    </w:p>
    <w:p>
      <w:pPr>
        <w:pStyle w:val="ListParagraph"/>
        <w:numPr>
          <w:ilvl w:val="0"/>
          <w:numId w:val="4"/>
        </w:numPr>
      </w:pPr>
      <w:r>
        <w:rPr>
          <w:rFonts w:ascii="Arial" w:cs="Arial" w:eastAsia="Arial" w:hAnsi="Arial"/>
          <w:sz w:val="22"/>
          <w:szCs w:val="22"/>
        </w:rPr>
        <w:t xml:space="preserve">Fix SecurityGuarantees.tsx: replace 'Zero-trust token binding' with 'DPoP token binding'.</w:t>
      </w:r>
    </w:p>
    <w:p>
      <w:pPr>
        <w:pStyle w:val="ListParagraph"/>
        <w:numPr>
          <w:ilvl w:val="0"/>
          <w:numId w:val="4"/>
        </w:numPr>
      </w:pPr>
      <w:r>
        <w:rPr>
          <w:rFonts w:ascii="Arial" w:cs="Arial" w:eastAsia="Arial" w:hAnsi="Arial"/>
          <w:sz w:val="22"/>
          <w:szCs w:val="22"/>
        </w:rPr>
        <w:t xml:space="preserve">Fix GraphPreview.tsx: remove DEA reference. Replace 'connected graph' with 'connected chain of clinician credentials'.</w:t>
      </w:r>
    </w:p>
    <w:p>
      <w:pPr>
        <w:pStyle w:val="ListParagraph"/>
        <w:numPr>
          <w:ilvl w:val="0"/>
          <w:numId w:val="4"/>
        </w:numPr>
      </w:pPr>
      <w:r>
        <w:rPr>
          <w:rFonts w:ascii="Arial" w:cs="Arial" w:eastAsia="Arial" w:hAnsi="Arial"/>
          <w:sz w:val="22"/>
          <w:szCs w:val="22"/>
        </w:rPr>
        <w:t xml:space="preserve">Re-audit Hero.tsx and HomeSections.tsx in apps/web/components/marketing/ for remaining Wave 17 violations.</w:t>
      </w:r>
    </w:p>
    <w:p>
      <w:pPr>
        <w:pStyle w:val="ListParagraph"/>
        <w:numPr>
          <w:ilvl w:val="0"/>
          <w:numId w:val="4"/>
        </w:numPr>
      </w:pPr>
      <w:r>
        <w:rPr>
          <w:rFonts w:ascii="Arial" w:cs="Arial" w:eastAsia="Arial" w:hAnsi="Arial"/>
          <w:sz w:val="22"/>
          <w:szCs w:val="22"/>
        </w:rPr>
        <w:t xml:space="preserve">Replace marketing NPI mock with a call to the real API, or add a 'powered by mock data' disclaimer.</w:t>
      </w:r>
    </w:p>
    <w:p>
      <w:pPr>
        <w:pStyle w:val="Heading2"/>
      </w:pPr>
      <w:r>
        <w:t xml:space="preserve">Step 3: First Demo Execution</w:t>
      </w:r>
    </w:p>
    <w:p>
      <w:pPr>
        <w:spacing w:after="120"/>
      </w:pPr>
      <w:r>
        <w:rPr>
          <w:rFonts w:ascii="Arial" w:cs="Arial" w:eastAsia="Arial" w:hAnsi="Arial"/>
          <w:sz w:val="22"/>
          <w:szCs w:val="22"/>
        </w:rPr>
        <w:t xml:space="preserve">The demo runs entirely on the web app (/onboarding → /passport → /review). Do not use the marketing site for the employer walkthrough. The web app flow is production-grade with real source verification, real CRS computation, and real audit events. The marketing site is for lead capture only.</w:t>
      </w:r>
    </w:p>
    <w:p>
      <w:pPr>
        <w:pBdr>
          <w:top w:val="single" w:color="1A5276" w:sz="2"/>
        </w:pBdr>
        <w:spacing w:before="300"/>
      </w:pPr>
    </w:p>
    <w:p>
      <w:pPr>
        <w:spacing w:before="120"/>
      </w:pPr>
      <w:r>
        <w:rPr>
          <w:rFonts w:ascii="Arial" w:cs="Arial" w:eastAsia="Arial" w:hAnsi="Arial"/>
          <w:b/>
          <w:bCs/>
          <w:color w:val="1A5276"/>
          <w:sz w:val="22"/>
          <w:szCs w:val="22"/>
        </w:rPr>
        <w:t xml:space="preserve">Bottom line: </w:t>
      </w:r>
      <w:r>
        <w:rPr>
          <w:rFonts w:ascii="Arial" w:cs="Arial" w:eastAsia="Arial" w:hAnsi="Arial"/>
          <w:sz w:val="22"/>
          <w:szCs w:val="22"/>
        </w:rPr>
        <w:t xml:space="preserve">The system works. The architecture is sound. The backend is production-grade. You can run a live employer demo today using the web app directly with a pre-provisioned Clerk account. The only things between you and a clean first demo are 30 minutes of setup and a rehearsal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360"/>
      </w:tabs>
      <w:spacing w:after="120"/>
    </w:pPr>
    <w:r>
      <w:rPr>
        <w:rFonts w:ascii="Arial" w:cs="Arial" w:eastAsia="Arial" w:hAnsi="Arial"/>
        <w:color w:val="7F8C8D"/>
        <w:sz w:val="18"/>
        <w:szCs w:val="18"/>
      </w:rPr>
      <w:t xml:space="preserve">VitalCV Demo Readiness Report</w:t>
    </w:r>
    <w:r>
      <w:rPr>
        <w:rFonts w:ascii="Arial" w:cs="Arial" w:eastAsia="Arial" w:hAnsi="Arial"/>
        <w:color w:val="7F8C8D"/>
        <w:sz w:val="18"/>
        <w:szCs w:val="18"/>
      </w:rPr>
      <w:t xml:space="preserve">	2026-04-03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2026-04-04T05:46:48.496Z</dcterms:created>
  <dcterms:modified xsi:type="dcterms:W3CDTF">2026-04-04T05:46:48.508Z</dcterms:modified>
</cp:coreProperties>
</file>

<file path=docProps/custom.xml><?xml version="1.0" encoding="utf-8"?>
<Properties xmlns="http://schemas.openxmlformats.org/officeDocument/2006/custom-properties" xmlns:vt="http://schemas.openxmlformats.org/officeDocument/2006/docPropsVTypes"/>
</file>