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Arial" w:cs="Arial" w:eastAsia="Arial" w:hAnsi="Arial"/>
          <w:b/>
          <w:bCs/>
          <w:caps/>
          <w:color w:val="C0392B"/>
          <w:sz w:val="20"/>
          <w:szCs w:val="20"/>
        </w:rPr>
        <w:t xml:space="preserve">PRODUCT TRUTH AUDIT</w:t>
      </w:r>
    </w:p>
    <w:p>
      <w:pPr>
        <w:spacing w:after="40"/>
      </w:pPr>
      <w:r>
        <w:rPr>
          <w:rFonts w:ascii="Arial" w:cs="Arial" w:eastAsia="Arial" w:hAnsi="Arial"/>
          <w:b/>
          <w:bCs/>
          <w:color w:val="1B4F72"/>
          <w:sz w:val="44"/>
          <w:szCs w:val="44"/>
        </w:rPr>
        <w:t xml:space="preserve">Macie Miller, PA-C — NPI 1346053246</w:t>
      </w:r>
    </w:p>
    <w:p>
      <w:pPr>
        <w:spacing w:after="200"/>
      </w:pPr>
      <w:r>
        <w:rPr>
          <w:rFonts w:ascii="Arial" w:cs="Arial" w:eastAsia="Arial" w:hAnsi="Arial"/>
          <w:color w:val="666666"/>
          <w:sz w:val="22"/>
          <w:szCs w:val="22"/>
        </w:rPr>
        <w:t xml:space="preserve">NPIdb vs VitalCV side-by-side comparison — April 9,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0392B" w:sz="6"/>
              <w:left w:val="single" w:color="CCCCCC" w:sz="1"/>
              <w:bottom w:val="single" w:color="CCCCCC" w:sz="1"/>
              <w:right w:val="single" w:color="CCCCCC" w:sz="1"/>
            </w:tcBorders>
            <w:shd w:fill="FDF2F2" w:val="clear"/>
            <w:tcMar>
              <w:top w:type="dxa" w:w="160"/>
              <w:left w:type="dxa" w:w="200"/>
              <w:bottom w:type="dxa" w:w="160"/>
              <w:right w:type="dxa" w:w="200"/>
            </w:tcMar>
          </w:tcPr>
          <w:p>
            <w:pPr>
              <w:spacing w:after="80"/>
            </w:pPr>
            <w:r>
              <w:rPr>
                <w:rFonts w:ascii="Arial" w:cs="Arial" w:eastAsia="Arial" w:hAnsi="Arial"/>
                <w:b/>
                <w:bCs/>
                <w:caps/>
                <w:color w:val="C0392B"/>
                <w:sz w:val="18"/>
                <w:szCs w:val="18"/>
              </w:rPr>
              <w:t xml:space="preserve">WAVE DOCTRINE</w:t>
            </w:r>
          </w:p>
          <w:p>
            <w:pPr>
              <w:spacing w:after="0"/>
            </w:pPr>
            <w:r>
              <w:rPr>
                <w:rFonts w:ascii="Arial" w:cs="Arial" w:eastAsia="Arial" w:hAnsi="Arial"/>
                <w:b/>
                <w:bCs/>
                <w:color w:val="333333"/>
                <w:sz w:val="24"/>
                <w:szCs w:val="24"/>
              </w:rPr>
              <w:t xml:space="preserve">If VitalCV shows less than a free directory mirror while claiming to be a trust surface, it is worse than nothing — it is a trust liability.</w:t>
            </w:r>
          </w:p>
        </w:tc>
      </w:tr>
    </w:tbl>
    <w:p>
      <w:pPr>
        <w:spacing w:after="200"/>
      </w:pPr>
    </w:p>
    <w:p>
      <w:pPr>
        <w:pStyle w:val="Heading1"/>
      </w:pPr>
      <w:r>
        <w:t xml:space="preserve">1. What Each Surface Showed</w:t>
      </w:r>
    </w:p>
    <w:p>
      <w:pPr>
        <w:pStyle w:val="Heading2"/>
      </w:pPr>
      <w:r>
        <w:t xml:space="preserve">NPIdb (free directory mirror)</w:t>
      </w:r>
    </w:p>
    <w:p>
      <w:pPr>
        <w:spacing w:after="120"/>
      </w:pPr>
      <w:r>
        <w:rPr>
          <w:rFonts w:ascii="Arial" w:cs="Arial" w:eastAsia="Arial" w:hAnsi="Arial"/>
          <w:color w:val="333333"/>
          <w:sz w:val="22"/>
          <w:szCs w:val="22"/>
        </w:rPr>
        <w:t xml:space="preserve">For Macie Miller (NPI 1346053246), NPIdb rendered complete identity hydration in under 1 second:</w:t>
      </w:r>
    </w:p>
    <w:p>
      <w:pPr>
        <w:pStyle w:val="ListParagraph"/>
        <w:numPr>
          <w:ilvl w:val="0"/>
          <w:numId w:val="2"/>
        </w:numPr>
        <w:spacing w:after="60"/>
      </w:pPr>
      <w:r>
        <w:rPr>
          <w:rFonts w:ascii="Arial" w:cs="Arial" w:eastAsia="Arial" w:hAnsi="Arial"/>
          <w:sz w:val="22"/>
          <w:szCs w:val="22"/>
        </w:rPr>
        <w:t xml:space="preserve">Full name, credentials (PA-C), gender (Female), entity type (Individual)</w:t>
      </w:r>
    </w:p>
    <w:p>
      <w:pPr>
        <w:pStyle w:val="ListParagraph"/>
        <w:numPr>
          <w:ilvl w:val="0"/>
          <w:numId w:val="2"/>
        </w:numPr>
        <w:spacing w:after="60"/>
      </w:pPr>
      <w:r>
        <w:rPr>
          <w:rFonts w:ascii="Arial" w:cs="Arial" w:eastAsia="Arial" w:hAnsi="Arial"/>
          <w:sz w:val="22"/>
          <w:szCs w:val="22"/>
        </w:rPr>
        <w:t xml:space="preserve">Practice address: 9401 Jeronimo Rd, Irvine, CA 92618-1908</w:t>
      </w:r>
    </w:p>
    <w:p>
      <w:pPr>
        <w:pStyle w:val="ListParagraph"/>
        <w:numPr>
          <w:ilvl w:val="0"/>
          <w:numId w:val="2"/>
        </w:numPr>
        <w:spacing w:after="60"/>
      </w:pPr>
      <w:r>
        <w:rPr>
          <w:rFonts w:ascii="Arial" w:cs="Arial" w:eastAsia="Arial" w:hAnsi="Arial"/>
          <w:sz w:val="22"/>
          <w:szCs w:val="22"/>
        </w:rPr>
        <w:t xml:space="preserve">Phone: 714-997-6815</w:t>
      </w:r>
    </w:p>
    <w:p>
      <w:pPr>
        <w:pStyle w:val="ListParagraph"/>
        <w:numPr>
          <w:ilvl w:val="0"/>
          <w:numId w:val="2"/>
        </w:numPr>
        <w:spacing w:after="60"/>
      </w:pPr>
      <w:r>
        <w:rPr>
          <w:rFonts w:ascii="Arial" w:cs="Arial" w:eastAsia="Arial" w:hAnsi="Arial"/>
          <w:sz w:val="22"/>
          <w:szCs w:val="22"/>
        </w:rPr>
        <w:t xml:space="preserve">Specialty: Physician Assistant (363A00000X)</w:t>
      </w:r>
    </w:p>
    <w:p>
      <w:pPr>
        <w:pStyle w:val="ListParagraph"/>
        <w:numPr>
          <w:ilvl w:val="0"/>
          <w:numId w:val="2"/>
        </w:numPr>
        <w:spacing w:after="60"/>
      </w:pPr>
      <w:r>
        <w:rPr>
          <w:rFonts w:ascii="Arial" w:cs="Arial" w:eastAsia="Arial" w:hAnsi="Arial"/>
          <w:sz w:val="22"/>
          <w:szCs w:val="22"/>
        </w:rPr>
        <w:t xml:space="preserve">NPI Status: Active, enumeration date 01/27/2025</w:t>
      </w:r>
    </w:p>
    <w:p>
      <w:pPr>
        <w:pStyle w:val="ListParagraph"/>
        <w:numPr>
          <w:ilvl w:val="0"/>
          <w:numId w:val="2"/>
        </w:numPr>
        <w:spacing w:after="120"/>
      </w:pPr>
      <w:r>
        <w:rPr>
          <w:rFonts w:ascii="Arial" w:cs="Arial" w:eastAsia="Arial" w:hAnsi="Arial"/>
          <w:sz w:val="22"/>
          <w:szCs w:val="22"/>
        </w:rPr>
        <w:t xml:space="preserve">Sole proprietor: No | Hospital affiliations: Not Available</w:t>
      </w:r>
    </w:p>
    <w:p>
      <w:pPr>
        <w:spacing w:after="120"/>
      </w:pPr>
      <w:r>
        <w:rPr>
          <w:rFonts w:ascii="Arial" w:cs="Arial" w:eastAsia="Arial" w:hAnsi="Arial"/>
          <w:color w:val="333333"/>
          <w:sz w:val="22"/>
          <w:szCs w:val="22"/>
        </w:rPr>
        <w:t xml:space="preserve">No interpretation. No trust claims. Just factual NPPES data, correctly displayed.</w:t>
      </w:r>
    </w:p>
    <w:p>
      <w:pPr>
        <w:pStyle w:val="Heading2"/>
      </w:pPr>
      <w:r>
        <w:t xml:space="preserve">VitalCV (source-backed trust surface)</w:t>
      </w:r>
    </w:p>
    <w:p>
      <w:pPr>
        <w:spacing w:after="120"/>
      </w:pPr>
      <w:r>
        <w:rPr>
          <w:rFonts w:ascii="Arial" w:cs="Arial" w:eastAsia="Arial" w:hAnsi="Arial"/>
          <w:color w:val="333333"/>
          <w:sz w:val="22"/>
          <w:szCs w:val="22"/>
        </w:rPr>
        <w:t xml:space="preserve">For the same NPI, VitalCV rendered:</w:t>
      </w:r>
    </w:p>
    <w:p>
      <w:pPr>
        <w:pStyle w:val="ListParagraph"/>
        <w:numPr>
          <w:ilvl w:val="0"/>
          <w:numId w:val="2"/>
        </w:numPr>
        <w:spacing w:after="60"/>
      </w:pPr>
      <w:r>
        <w:rPr>
          <w:rFonts w:ascii="Arial" w:cs="Arial" w:eastAsia="Arial" w:hAnsi="Arial"/>
          <w:sz w:val="22"/>
          <w:szCs w:val="22"/>
        </w:rPr>
        <w:t xml:space="preserve">Name and credential only (MACIE MILLER, PA-C / Physician Assistant)</w:t>
      </w:r>
    </w:p>
    <w:p>
      <w:pPr>
        <w:pStyle w:val="ListParagraph"/>
        <w:numPr>
          <w:ilvl w:val="0"/>
          <w:numId w:val="2"/>
        </w:numPr>
        <w:spacing w:after="60"/>
      </w:pPr>
      <w:r>
        <w:rPr>
          <w:rFonts w:ascii="Arial" w:cs="Arial" w:eastAsia="Arial" w:hAnsi="Arial"/>
          <w:b/>
          <w:bCs/>
          <w:sz w:val="22"/>
          <w:szCs w:val="22"/>
        </w:rPr>
        <w:t xml:space="preserve">Readiness Score: 20/100</w:t>
      </w:r>
      <w:r>
        <w:rPr>
          <w:rFonts w:ascii="Arial" w:cs="Arial" w:eastAsia="Arial" w:hAnsi="Arial"/>
          <w:sz w:val="22"/>
          <w:szCs w:val="22"/>
        </w:rPr>
        <w:t xml:space="preserve"> — with 0 of 4 sources verified</w:t>
      </w:r>
    </w:p>
    <w:p>
      <w:pPr>
        <w:pStyle w:val="ListParagraph"/>
        <w:numPr>
          <w:ilvl w:val="0"/>
          <w:numId w:val="2"/>
        </w:numPr>
        <w:spacing w:after="60"/>
      </w:pPr>
      <w:r>
        <w:rPr>
          <w:rFonts w:ascii="Arial" w:cs="Arial" w:eastAsia="Arial" w:hAnsi="Arial"/>
          <w:sz w:val="22"/>
          <w:szCs w:val="22"/>
        </w:rPr>
        <w:t xml:space="preserve">NPPES: ✘ Unavailable — "Waiting for the public NPI registry"</w:t>
      </w:r>
    </w:p>
    <w:p>
      <w:pPr>
        <w:pStyle w:val="ListParagraph"/>
        <w:numPr>
          <w:ilvl w:val="0"/>
          <w:numId w:val="2"/>
        </w:numPr>
        <w:spacing w:after="60"/>
      </w:pPr>
      <w:r>
        <w:rPr>
          <w:rFonts w:ascii="Arial" w:cs="Arial" w:eastAsia="Arial" w:hAnsi="Arial"/>
          <w:sz w:val="22"/>
          <w:szCs w:val="22"/>
        </w:rPr>
        <w:t xml:space="preserve">OIG/LEIE: ✘ Unavailable — "Waiting for the OIG / LEIE result"</w:t>
      </w:r>
    </w:p>
    <w:p>
      <w:pPr>
        <w:pStyle w:val="ListParagraph"/>
        <w:numPr>
          <w:ilvl w:val="0"/>
          <w:numId w:val="2"/>
        </w:numPr>
        <w:spacing w:after="60"/>
      </w:pPr>
      <w:r>
        <w:rPr>
          <w:rFonts w:ascii="Arial" w:cs="Arial" w:eastAsia="Arial" w:hAnsi="Arial"/>
          <w:sz w:val="22"/>
          <w:szCs w:val="22"/>
        </w:rPr>
        <w:t xml:space="preserve">CMS PECOS: ✘ Unavailable — "Waiting for the CMS PECOS result"</w:t>
      </w:r>
    </w:p>
    <w:p>
      <w:pPr>
        <w:pStyle w:val="ListParagraph"/>
        <w:numPr>
          <w:ilvl w:val="0"/>
          <w:numId w:val="2"/>
        </w:numPr>
        <w:spacing w:after="60"/>
      </w:pPr>
      <w:r>
        <w:rPr>
          <w:rFonts w:ascii="Arial" w:cs="Arial" w:eastAsia="Arial" w:hAnsi="Arial"/>
          <w:sz w:val="22"/>
          <w:szCs w:val="22"/>
        </w:rPr>
        <w:t xml:space="preserve">State Board: ⚠ Access Required — "Institutional source access still required"</w:t>
      </w:r>
    </w:p>
    <w:p>
      <w:pPr>
        <w:pStyle w:val="ListParagraph"/>
        <w:numPr>
          <w:ilvl w:val="0"/>
          <w:numId w:val="2"/>
        </w:numPr>
        <w:spacing w:after="60"/>
      </w:pPr>
      <w:r>
        <w:rPr>
          <w:rFonts w:ascii="Arial" w:cs="Arial" w:eastAsia="Arial" w:hAnsi="Arial"/>
          <w:sz w:val="22"/>
          <w:szCs w:val="22"/>
        </w:rPr>
        <w:t xml:space="preserve">Status: BLOCKED — L0 — "5 blockers still unresolved in this live run"</w:t>
      </w:r>
    </w:p>
    <w:p>
      <w:pPr>
        <w:pStyle w:val="ListParagraph"/>
        <w:numPr>
          <w:ilvl w:val="0"/>
          <w:numId w:val="2"/>
        </w:numPr>
        <w:spacing w:after="60"/>
      </w:pPr>
      <w:r>
        <w:rPr>
          <w:rFonts w:ascii="Arial" w:cs="Arial" w:eastAsia="Arial" w:hAnsi="Arial"/>
          <w:sz w:val="22"/>
          <w:szCs w:val="22"/>
        </w:rPr>
        <w:t xml:space="preserve">Claims: 0</w:t>
      </w:r>
    </w:p>
    <w:p>
      <w:pPr>
        <w:pStyle w:val="ListParagraph"/>
        <w:numPr>
          <w:ilvl w:val="0"/>
          <w:numId w:val="2"/>
        </w:numPr>
        <w:spacing w:after="120"/>
      </w:pPr>
      <w:r>
        <w:rPr>
          <w:rFonts w:ascii="Arial" w:cs="Arial" w:eastAsia="Arial" w:hAnsi="Arial"/>
          <w:b/>
          <w:bCs/>
          <w:sz w:val="22"/>
          <w:szCs w:val="22"/>
        </w:rPr>
        <w:t xml:space="preserve">Active affordances: "Download Proof" button + "Continue to full passport"</w:t>
      </w:r>
    </w:p>
    <w:p>
      <w:pPr>
        <w:spacing w:after="120"/>
      </w:pPr>
      <w:r>
        <w:rPr>
          <w:rFonts w:ascii="Arial" w:cs="Arial" w:eastAsia="Arial" w:hAnsi="Arial"/>
          <w:color w:val="333333"/>
          <w:sz w:val="22"/>
          <w:szCs w:val="22"/>
        </w:rPr>
        <w:t xml:space="preserve">No address, no phone, no specialty code, no enumeration date, no entity type. The NPPES data that NPIdb renders in milliseconds was marked UNAVAILABLE.</w:t>
      </w:r>
    </w:p>
    <w:p>
      <w:r>
        <w:br w:type="page"/>
      </w:r>
    </w:p>
    <w:p>
      <w:pPr>
        <w:pStyle w:val="Heading1"/>
      </w:pPr>
      <w:r>
        <w:t xml:space="preserve">2. Severity-Ranked Issue 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00"/>
        <w:gridCol w:w="3200"/>
        <w:gridCol w:w="3360"/>
        <w:gridCol w:w="1400"/>
      </w:tblGrid>
      <w:tr>
        <w:tc>
          <w:tcPr>
            <w:tcW w:type="dxa" w:w="6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w:t>
            </w:r>
          </w:p>
        </w:tc>
        <w:tc>
          <w:tcPr>
            <w:tcW w:type="dxa" w:w="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SEV</w:t>
            </w:r>
          </w:p>
        </w:tc>
        <w:tc>
          <w:tcPr>
            <w:tcW w:type="dxa" w:w="3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ISSUE</w:t>
            </w:r>
          </w:p>
        </w:tc>
        <w:tc>
          <w:tcPr>
            <w:tcW w:type="dxa" w:w="33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IMPACT</w:t>
            </w:r>
          </w:p>
        </w:tc>
        <w:tc>
          <w:tcPr>
            <w:tcW w:type="dxa" w:w="14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FILE</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120"/>
            </w:pPr>
            <w:r>
              <w:rPr>
                <w:rFonts w:ascii="Arial" w:cs="Arial" w:eastAsia="Arial" w:hAnsi="Arial"/>
                <w:b/>
                <w:bCs/>
                <w:color w:val="1B4F72"/>
                <w:sz w:val="20"/>
                <w:szCs w:val="20"/>
              </w:rPr>
              <w:t xml:space="preserve">1</w:t>
            </w:r>
          </w:p>
        </w:tc>
        <w:tc>
          <w:tcPr>
            <w:tcW w:type="dxa" w:w="8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vAlign w:val="center"/>
          </w:tcPr>
          <w:p>
            <w:pPr>
              <w:spacing w:after="120"/>
            </w:pPr>
            <w:r>
              <w:rPr>
                <w:rFonts w:ascii="Arial" w:cs="Arial" w:eastAsia="Arial" w:hAnsi="Arial"/>
                <w:b/>
                <w:bCs/>
                <w:color w:val="C0392B"/>
                <w:sz w:val="20"/>
                <w:szCs w:val="20"/>
              </w:rPr>
              <w:t xml:space="preserve">P0</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120"/>
            </w:pPr>
            <w:r>
              <w:rPr>
                <w:rFonts w:ascii="Arial" w:cs="Arial" w:eastAsia="Arial" w:hAnsi="Arial"/>
                <w:b/>
                <w:bCs/>
                <w:color w:val="333333"/>
                <w:sz w:val="20"/>
                <w:szCs w:val="20"/>
              </w:rPr>
              <w:t xml:space="preserve">"Download Proof" with zero claims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120"/>
            </w:pPr>
            <w:r>
              <w:rPr>
                <w:rFonts w:ascii="Arial" w:cs="Arial" w:eastAsia="Arial" w:hAnsi="Arial"/>
                <w:color w:val="333333"/>
                <w:sz w:val="18"/>
                <w:szCs w:val="18"/>
              </w:rPr>
              <w:t xml:space="preserve">Button is enabled and clickable when claims=0 and all sources are UNAVAILABLE. Both "Download Proof" and "Continue to full passport" call the same handleContinue() which just navigates — no proof is generated. A clinician or employer clicking "Download Proof" gets nothing they can use. This is an empty promise that directly damages trust.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120"/>
            </w:pPr>
            <w:r>
              <w:rPr>
                <w:rFonts w:ascii="Arial" w:cs="Arial" w:eastAsia="Arial" w:hAnsi="Arial"/>
                <w:i/>
                <w:iCs/>
                <w:color w:val="666666"/>
                <w:sz w:val="16"/>
                <w:szCs w:val="16"/>
              </w:rPr>
              <w:t xml:space="preserve">LiveTrustConsole.tsx:701–716</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120"/>
            </w:pPr>
            <w:r>
              <w:rPr>
                <w:rFonts w:ascii="Arial" w:cs="Arial" w:eastAsia="Arial" w:hAnsi="Arial"/>
                <w:b/>
                <w:bCs/>
                <w:color w:val="1B4F72"/>
                <w:sz w:val="20"/>
                <w:szCs w:val="20"/>
              </w:rPr>
              <w:t xml:space="preserve">2</w:t>
            </w:r>
          </w:p>
        </w:tc>
        <w:tc>
          <w:tcPr>
            <w:tcW w:type="dxa" w:w="8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vAlign w:val="center"/>
          </w:tcPr>
          <w:p>
            <w:pPr>
              <w:spacing w:after="120"/>
            </w:pPr>
            <w:r>
              <w:rPr>
                <w:rFonts w:ascii="Arial" w:cs="Arial" w:eastAsia="Arial" w:hAnsi="Arial"/>
                <w:b/>
                <w:bCs/>
                <w:color w:val="C0392B"/>
                <w:sz w:val="20"/>
                <w:szCs w:val="20"/>
              </w:rPr>
              <w:t xml:space="preserve">P0</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120"/>
            </w:pPr>
            <w:r>
              <w:rPr>
                <w:rFonts w:ascii="Arial" w:cs="Arial" w:eastAsia="Arial" w:hAnsi="Arial"/>
                <w:b/>
                <w:bCs/>
                <w:color w:val="333333"/>
                <w:sz w:val="20"/>
                <w:szCs w:val="20"/>
              </w:rPr>
              <w:t xml:space="preserve">Score of 20 with 0 sources verified</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120"/>
            </w:pPr>
            <w:r>
              <w:rPr>
                <w:rFonts w:ascii="Arial" w:cs="Arial" w:eastAsia="Arial" w:hAnsi="Arial"/>
                <w:color w:val="333333"/>
                <w:sz w:val="18"/>
                <w:szCs w:val="18"/>
              </w:rPr>
              <w:t xml:space="preserve">The readiness score shows 20/100 while the UI simultaneously states "0 of 4 sources verified." From trustCore.ts, dimensionContribution() returns 0 for any dimension with status ≠ MET. A score of 20 when 0 sources resolved means the score and the source display are computed from different state — or the ingest stream is crediting a source the UI labels UNAVAILABLE. Either way, the number is not explainable.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120"/>
            </w:pPr>
            <w:r>
              <w:rPr>
                <w:rFonts w:ascii="Arial" w:cs="Arial" w:eastAsia="Arial" w:hAnsi="Arial"/>
                <w:i/>
                <w:iCs/>
                <w:color w:val="666666"/>
                <w:sz w:val="16"/>
                <w:szCs w:val="16"/>
              </w:rPr>
              <w:t xml:space="preserve">trustCore.ts:203–250; LiveTrustConsole.tsx:259</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120"/>
            </w:pPr>
            <w:r>
              <w:rPr>
                <w:rFonts w:ascii="Arial" w:cs="Arial" w:eastAsia="Arial" w:hAnsi="Arial"/>
                <w:b/>
                <w:bCs/>
                <w:color w:val="1B4F72"/>
                <w:sz w:val="20"/>
                <w:szCs w:val="20"/>
              </w:rPr>
              <w:t xml:space="preserve">3</w:t>
            </w:r>
          </w:p>
        </w:tc>
        <w:tc>
          <w:tcPr>
            <w:tcW w:type="dxa" w:w="8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vAlign w:val="center"/>
          </w:tcPr>
          <w:p>
            <w:pPr>
              <w:spacing w:after="120"/>
            </w:pPr>
            <w:r>
              <w:rPr>
                <w:rFonts w:ascii="Arial" w:cs="Arial" w:eastAsia="Arial" w:hAnsi="Arial"/>
                <w:b/>
                <w:bCs/>
                <w:color w:val="C0392B"/>
                <w:sz w:val="20"/>
                <w:szCs w:val="20"/>
              </w:rPr>
              <w:t xml:space="preserve">P0</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120"/>
            </w:pPr>
            <w:r>
              <w:rPr>
                <w:rFonts w:ascii="Arial" w:cs="Arial" w:eastAsia="Arial" w:hAnsi="Arial"/>
                <w:b/>
                <w:bCs/>
                <w:color w:val="333333"/>
                <w:sz w:val="20"/>
                <w:szCs w:val="20"/>
              </w:rPr>
              <w:t xml:space="preserve">NPPES hydration failure</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120"/>
            </w:pPr>
            <w:r>
              <w:rPr>
                <w:rFonts w:ascii="Arial" w:cs="Arial" w:eastAsia="Arial" w:hAnsi="Arial"/>
                <w:color w:val="333333"/>
                <w:sz w:val="18"/>
                <w:szCs w:val="18"/>
              </w:rPr>
              <w:t xml:space="preserve">NPIdb shows full NPPES data (address, phone, taxonomy, enumeration date) for NPI 1346053246. VitalCV marks NPPES as UNAVAILABLE. The most basic public source that a free mirror resolves instantly failed in the trust surface that claims to improve on it. This is the single most damaging visual: VitalCV knows less than a directory.</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120"/>
            </w:pPr>
            <w:r>
              <w:rPr>
                <w:rFonts w:ascii="Arial" w:cs="Arial" w:eastAsia="Arial" w:hAnsi="Arial"/>
                <w:i/>
                <w:iCs/>
                <w:color w:val="666666"/>
                <w:sz w:val="16"/>
                <w:szCs w:val="16"/>
              </w:rPr>
              <w:t xml:space="preserve">useIngestStream / NPPES adapter</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120"/>
            </w:pPr>
            <w:r>
              <w:rPr>
                <w:rFonts w:ascii="Arial" w:cs="Arial" w:eastAsia="Arial" w:hAnsi="Arial"/>
                <w:b/>
                <w:bCs/>
                <w:color w:val="1B4F72"/>
                <w:sz w:val="20"/>
                <w:szCs w:val="20"/>
              </w:rPr>
              <w:t xml:space="preserve">4</w:t>
            </w:r>
          </w:p>
        </w:tc>
        <w:tc>
          <w:tcPr>
            <w:tcW w:type="dxa" w:w="8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vAlign w:val="center"/>
          </w:tcPr>
          <w:p>
            <w:pPr>
              <w:spacing w:after="120"/>
            </w:pPr>
            <w:r>
              <w:rPr>
                <w:rFonts w:ascii="Arial" w:cs="Arial" w:eastAsia="Arial" w:hAnsi="Arial"/>
                <w:b/>
                <w:bCs/>
                <w:color w:val="C0392B"/>
                <w:sz w:val="20"/>
                <w:szCs w:val="20"/>
              </w:rPr>
              <w:t xml:space="preserve">P0</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120"/>
            </w:pPr>
            <w:r>
              <w:rPr>
                <w:rFonts w:ascii="Arial" w:cs="Arial" w:eastAsia="Arial" w:hAnsi="Arial"/>
                <w:b/>
                <w:bCs/>
                <w:color w:val="333333"/>
                <w:sz w:val="20"/>
                <w:szCs w:val="20"/>
              </w:rPr>
              <w:t xml:space="preserve">"BLOCKED" status semantics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120"/>
            </w:pPr>
            <w:r>
              <w:rPr>
                <w:rFonts w:ascii="Arial" w:cs="Arial" w:eastAsia="Arial" w:hAnsi="Arial"/>
                <w:color w:val="333333"/>
                <w:sz w:val="18"/>
                <w:szCs w:val="18"/>
              </w:rPr>
              <w:t xml:space="preserve">The UI says BLOCKED, which implies an active block was found (exclusion, expired license, revocation). In reality, nothing was checked. The system failed to run — it didn’t find a problem. BLOCKED should mean "we checked and found a stop condition." What happened here is INCOMPLETE or INCONCLUSIVE. Using BLOCKED for a check-failure is a false alarm.</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120"/>
            </w:pPr>
            <w:r>
              <w:rPr>
                <w:rFonts w:ascii="Arial" w:cs="Arial" w:eastAsia="Arial" w:hAnsi="Arial"/>
                <w:i/>
                <w:iCs/>
                <w:color w:val="666666"/>
                <w:sz w:val="16"/>
                <w:szCs w:val="16"/>
              </w:rPr>
              <w:t xml:space="preserve">ReadinessPreview.tsx; trustCore.ts:256–263</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120"/>
            </w:pPr>
            <w:r>
              <w:rPr>
                <w:rFonts w:ascii="Arial" w:cs="Arial" w:eastAsia="Arial" w:hAnsi="Arial"/>
                <w:b/>
                <w:bCs/>
                <w:color w:val="1B4F72"/>
                <w:sz w:val="20"/>
                <w:szCs w:val="20"/>
              </w:rPr>
              <w:t xml:space="preserve">5</w:t>
            </w:r>
          </w:p>
        </w:tc>
        <w:tc>
          <w:tcPr>
            <w:tcW w:type="dxa" w:w="8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vAlign w:val="center"/>
          </w:tcPr>
          <w:p>
            <w:pPr>
              <w:spacing w:after="120"/>
            </w:pPr>
            <w:r>
              <w:rPr>
                <w:rFonts w:ascii="Arial" w:cs="Arial" w:eastAsia="Arial" w:hAnsi="Arial"/>
                <w:b/>
                <w:bCs/>
                <w:color w:val="D4A017"/>
                <w:sz w:val="20"/>
                <w:szCs w:val="20"/>
              </w:rPr>
              <w:t xml:space="preserve">P1</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120"/>
            </w:pPr>
            <w:r>
              <w:rPr>
                <w:rFonts w:ascii="Arial" w:cs="Arial" w:eastAsia="Arial" w:hAnsi="Arial"/>
                <w:b/>
                <w:bCs/>
                <w:color w:val="333333"/>
                <w:sz w:val="20"/>
                <w:szCs w:val="20"/>
              </w:rPr>
              <w:t xml:space="preserve">5 blockers, 4 source lanes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120"/>
            </w:pPr>
            <w:r>
              <w:rPr>
                <w:rFonts w:ascii="Arial" w:cs="Arial" w:eastAsia="Arial" w:hAnsi="Arial"/>
                <w:color w:val="333333"/>
                <w:sz w:val="18"/>
                <w:szCs w:val="18"/>
              </w:rPr>
              <w:t xml:space="preserve">The UI reports "5 blockers still unresolved" but only 4 source lanes are displayed (NPPES, OIG, PECOS, State Board). The blocker count comes from the readinessEngine blockers + gaps arrays which can include items like "NPPES identity artifact missing" AND "Identity not verified" for the same dimension. The math doesn’t reconcile visually. A user cannot map 5 blockers to 4 lanes.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120"/>
            </w:pPr>
            <w:r>
              <w:rPr>
                <w:rFonts w:ascii="Arial" w:cs="Arial" w:eastAsia="Arial" w:hAnsi="Arial"/>
                <w:i/>
                <w:iCs/>
                <w:color w:val="666666"/>
                <w:sz w:val="16"/>
                <w:szCs w:val="16"/>
              </w:rPr>
              <w:t xml:space="preserve">trustCore.ts:231–236</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120"/>
            </w:pPr>
            <w:r>
              <w:rPr>
                <w:rFonts w:ascii="Arial" w:cs="Arial" w:eastAsia="Arial" w:hAnsi="Arial"/>
                <w:b/>
                <w:bCs/>
                <w:color w:val="1B4F72"/>
                <w:sz w:val="20"/>
                <w:szCs w:val="20"/>
              </w:rPr>
              <w:t xml:space="preserve">6</w:t>
            </w:r>
          </w:p>
        </w:tc>
        <w:tc>
          <w:tcPr>
            <w:tcW w:type="dxa" w:w="8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vAlign w:val="center"/>
          </w:tcPr>
          <w:p>
            <w:pPr>
              <w:spacing w:after="120"/>
            </w:pPr>
            <w:r>
              <w:rPr>
                <w:rFonts w:ascii="Arial" w:cs="Arial" w:eastAsia="Arial" w:hAnsi="Arial"/>
                <w:b/>
                <w:bCs/>
                <w:color w:val="D4A017"/>
                <w:sz w:val="20"/>
                <w:szCs w:val="20"/>
              </w:rPr>
              <w:t xml:space="preserve">P1</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120"/>
            </w:pPr>
            <w:r>
              <w:rPr>
                <w:rFonts w:ascii="Arial" w:cs="Arial" w:eastAsia="Arial" w:hAnsi="Arial"/>
                <w:b/>
                <w:bCs/>
                <w:color w:val="333333"/>
                <w:sz w:val="20"/>
                <w:szCs w:val="20"/>
              </w:rPr>
              <w:t xml:space="preserve">Premature readiness score display</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120"/>
            </w:pPr>
            <w:r>
              <w:rPr>
                <w:rFonts w:ascii="Arial" w:cs="Arial" w:eastAsia="Arial" w:hAnsi="Arial"/>
                <w:color w:val="333333"/>
                <w:sz w:val="18"/>
                <w:szCs w:val="18"/>
              </w:rPr>
              <w:t xml:space="preserve">Showing any numeric score (even 20) while all sources are still loading/errored implies the system has completed an assessment. It hasn’t. The score should not render until at least one source resolves cleanly. During loading/error states, show "Checking..." or hide the score entirely.</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120"/>
            </w:pPr>
            <w:r>
              <w:rPr>
                <w:rFonts w:ascii="Arial" w:cs="Arial" w:eastAsia="Arial" w:hAnsi="Arial"/>
                <w:i/>
                <w:iCs/>
                <w:color w:val="666666"/>
                <w:sz w:val="16"/>
                <w:szCs w:val="16"/>
              </w:rPr>
              <w:t xml:space="preserve">LiveTrustConsole.tsx:594–611</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120"/>
            </w:pPr>
            <w:r>
              <w:rPr>
                <w:rFonts w:ascii="Arial" w:cs="Arial" w:eastAsia="Arial" w:hAnsi="Arial"/>
                <w:b/>
                <w:bCs/>
                <w:color w:val="1B4F72"/>
                <w:sz w:val="20"/>
                <w:szCs w:val="20"/>
              </w:rPr>
              <w:t xml:space="preserve">7</w:t>
            </w:r>
          </w:p>
        </w:tc>
        <w:tc>
          <w:tcPr>
            <w:tcW w:type="dxa" w:w="8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vAlign w:val="center"/>
          </w:tcPr>
          <w:p>
            <w:pPr>
              <w:spacing w:after="120"/>
            </w:pPr>
            <w:r>
              <w:rPr>
                <w:rFonts w:ascii="Arial" w:cs="Arial" w:eastAsia="Arial" w:hAnsi="Arial"/>
                <w:b/>
                <w:bCs/>
                <w:color w:val="D4A017"/>
                <w:sz w:val="20"/>
                <w:szCs w:val="20"/>
              </w:rPr>
              <w:t xml:space="preserve">P1</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120"/>
            </w:pPr>
            <w:r>
              <w:rPr>
                <w:rFonts w:ascii="Arial" w:cs="Arial" w:eastAsia="Arial" w:hAnsi="Arial"/>
                <w:b/>
                <w:bCs/>
                <w:color w:val="333333"/>
                <w:sz w:val="20"/>
                <w:szCs w:val="20"/>
              </w:rPr>
              <w:t xml:space="preserve">Weak authority lane for California PA</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120"/>
            </w:pPr>
            <w:r>
              <w:rPr>
                <w:rFonts w:ascii="Arial" w:cs="Arial" w:eastAsia="Arial" w:hAnsi="Arial"/>
                <w:color w:val="333333"/>
                <w:sz w:val="18"/>
                <w:szCs w:val="18"/>
              </w:rPr>
              <w:t xml:space="preserve">"Configured state board lane" with "Access required" is correct mechanically (STATE_BOARD_ENABLED=false), but is meaningless to a California PA. No state board adapter is configured for California. Showing this lane at all without naming the actual board (Medical Board of CA / PA Committee) or explaining what "institutional access" means in this context is confusing. It reads as a broken check, not a known limitation.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120"/>
            </w:pPr>
            <w:r>
              <w:rPr>
                <w:rFonts w:ascii="Arial" w:cs="Arial" w:eastAsia="Arial" w:hAnsi="Arial"/>
                <w:i/>
                <w:iCs/>
                <w:color w:val="666666"/>
                <w:sz w:val="16"/>
                <w:szCs w:val="16"/>
              </w:rPr>
              <w:t xml:space="preserve">LiveTrustConsole.tsx:66–91</w:t>
            </w:r>
          </w:p>
        </w:tc>
      </w:tr>
    </w:tbl>
    <w:p>
      <w:pPr>
        <w:spacing w:after="200"/>
      </w:pPr>
    </w:p>
    <w:p>
      <w:pPr>
        <w:pStyle w:val="Heading1"/>
      </w:pPr>
      <w:r>
        <w:t xml:space="preserve">3. Trust Verdicts</w:t>
      </w:r>
    </w:p>
    <w:p>
      <w:pPr>
        <w:pStyle w:val="Heading2"/>
      </w:pPr>
      <w:r>
        <w:t xml:space="preserve">Clinician Perspective (Macie Miller)</w:t>
      </w:r>
    </w:p>
    <w:p>
      <w:pPr>
        <w:pStyle w:val="Heading3"/>
      </w:pPr>
      <w:r>
        <w:t xml:space="preserve">What would I trust here?</w:t>
      </w:r>
    </w:p>
    <w:p>
      <w:pPr>
        <w:spacing w:after="120"/>
      </w:pPr>
      <w:r>
        <w:rPr>
          <w:rFonts w:ascii="Arial" w:cs="Arial" w:eastAsia="Arial" w:hAnsi="Arial"/>
          <w:color w:val="333333"/>
          <w:sz w:val="22"/>
          <w:szCs w:val="22"/>
        </w:rPr>
        <w:t xml:space="preserve">Almost nothing. My name and credential display correctly, confirming VitalCV at least received the NPI. The source lane labels (NPPES, OIG, PECOS, State Board) communicate what the system intends to check, which is directionally useful.</w:t>
      </w:r>
    </w:p>
    <w:p>
      <w:pPr>
        <w:pStyle w:val="Heading3"/>
      </w:pPr>
      <w:r>
        <w:t xml:space="preserve">What would make me hesitate?</w:t>
      </w:r>
    </w:p>
    <w:p>
      <w:pPr>
        <w:spacing w:after="120"/>
      </w:pPr>
      <w:r>
        <w:rPr>
          <w:rFonts w:ascii="Arial" w:cs="Arial" w:eastAsia="Arial" w:hAnsi="Arial"/>
          <w:color w:val="333333"/>
          <w:sz w:val="22"/>
          <w:szCs w:val="22"/>
        </w:rPr>
        <w:t xml:space="preserve">The score of 20/100 with everything marked UNAVAILABLE. If I Google my NPI, NPIdb shows my full profile instantly. VitalCV shows less while claiming to evaluate my readiness. The score implies I’ve been assessed and found wanting (20/100) when actually nothing ran. I didn’t fail. The system failed.</w:t>
      </w:r>
    </w:p>
    <w:p>
      <w:pPr>
        <w:pStyle w:val="Heading3"/>
      </w:pPr>
      <w:r>
        <w:t xml:space="preserve">What feels broken?</w:t>
      </w:r>
    </w:p>
    <w:p>
      <w:pPr>
        <w:spacing w:after="120"/>
      </w:pPr>
      <w:r>
        <w:rPr>
          <w:rFonts w:ascii="Arial" w:cs="Arial" w:eastAsia="Arial" w:hAnsi="Arial"/>
          <w:color w:val="333333"/>
          <w:sz w:val="22"/>
          <w:szCs w:val="22"/>
        </w:rPr>
        <w:t xml:space="preserve">"Download Proof" does nothing useful. I have 0 claims and 0 verified sources. What proof? Clicking it navigates me to a passport page that is equally empty. The "BLOCKED" label feels accusatory — like I did something wrong. I didn’t. The system couldn’t reach its own sources.</w:t>
      </w:r>
    </w:p>
    <w:p>
      <w:pPr>
        <w:pStyle w:val="Heading3"/>
      </w:pPr>
      <w:r>
        <w:t xml:space="preserve">What feels dangerous?</w:t>
      </w:r>
    </w:p>
    <w:p>
      <w:pPr>
        <w:spacing w:after="120"/>
      </w:pPr>
      <w:r>
        <w:rPr>
          <w:rFonts w:ascii="Arial" w:cs="Arial" w:eastAsia="Arial" w:hAnsi="Arial"/>
          <w:color w:val="333333"/>
          <w:sz w:val="22"/>
          <w:szCs w:val="22"/>
        </w:rPr>
        <w:t xml:space="preserve">If I share this with an employer, I’m handing them a page that says BLOCKED • 20/100 • 0 verified. That makes me look like a risk when I’m just a PA in Irvine with an active NPI. This surface could actively harm my job search. I would not use this product again after this experience.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0392B" w:sz="4"/>
              <w:left w:val="single" w:color="CCCCCC" w:sz="1"/>
              <w:bottom w:val="single" w:color="CCCCCC" w:sz="1"/>
              <w:right w:val="single" w:color="CCCCCC" w:sz="1"/>
            </w:tcBorders>
            <w:shd w:fill="FADBD8" w:val="clear"/>
            <w:tcMar>
              <w:top w:type="dxa" w:w="120"/>
              <w:left w:type="dxa" w:w="200"/>
              <w:bottom w:type="dxa" w:w="120"/>
              <w:right w:type="dxa" w:w="200"/>
            </w:tcMar>
          </w:tcPr>
          <w:p>
            <w:pPr>
              <w:spacing w:after="60"/>
            </w:pPr>
            <w:r>
              <w:rPr>
                <w:rFonts w:ascii="Arial" w:cs="Arial" w:eastAsia="Arial" w:hAnsi="Arial"/>
                <w:b/>
                <w:bCs/>
                <w:color w:val="C0392B"/>
                <w:sz w:val="22"/>
                <w:szCs w:val="22"/>
              </w:rPr>
              <w:t xml:space="preserve">CLINICIAN TRUST VERDICT: FAIL</w:t>
            </w:r>
          </w:p>
          <w:p>
            <w:pPr>
              <w:spacing w:after="0"/>
            </w:pPr>
            <w:r>
              <w:rPr>
                <w:rFonts w:ascii="Arial" w:cs="Arial" w:eastAsia="Arial" w:hAnsi="Arial"/>
                <w:color w:val="333333"/>
                <w:sz w:val="20"/>
                <w:szCs w:val="20"/>
              </w:rPr>
              <w:t xml:space="preserve">VitalCV showed Macie Miller less about herself than a free directory, scored her without checking, offered empty proof, and labeled her BLOCKED. A clinician would reasonably conclude this product is broken or adversarial.</w:t>
            </w:r>
          </w:p>
        </w:tc>
      </w:tr>
    </w:tbl>
    <w:p>
      <w:pPr>
        <w:spacing w:after="200"/>
      </w:pPr>
    </w:p>
    <w:p>
      <w:pPr>
        <w:pStyle w:val="Heading2"/>
      </w:pPr>
      <w:r>
        <w:t xml:space="preserve">Employer Perspective</w:t>
      </w:r>
    </w:p>
    <w:p>
      <w:pPr>
        <w:pStyle w:val="Heading3"/>
      </w:pPr>
      <w:r>
        <w:t xml:space="preserve">What would I trust here?</w:t>
      </w:r>
    </w:p>
    <w:p>
      <w:pPr>
        <w:spacing w:after="120"/>
      </w:pPr>
      <w:r>
        <w:rPr>
          <w:rFonts w:ascii="Arial" w:cs="Arial" w:eastAsia="Arial" w:hAnsi="Arial"/>
          <w:color w:val="333333"/>
          <w:sz w:val="22"/>
          <w:szCs w:val="22"/>
        </w:rPr>
        <w:t xml:space="preserve">Nothing actionable. The source lane structure is promising — seeing NPPES, OIG, PECOS, and State Board as distinct check categories is more than I get from a CV. But every single lane failed, so the structure is empty scaffolding.</w:t>
      </w:r>
    </w:p>
    <w:p>
      <w:pPr>
        <w:pStyle w:val="Heading3"/>
      </w:pPr>
      <w:r>
        <w:t xml:space="preserve">What would make me hesitate?</w:t>
      </w:r>
    </w:p>
    <w:p>
      <w:pPr>
        <w:spacing w:after="120"/>
      </w:pPr>
      <w:r>
        <w:rPr>
          <w:rFonts w:ascii="Arial" w:cs="Arial" w:eastAsia="Arial" w:hAnsi="Arial"/>
          <w:color w:val="333333"/>
          <w:sz w:val="22"/>
          <w:szCs w:val="22"/>
        </w:rPr>
        <w:t xml:space="preserve">The 20/100 score with BLOCKED status. As an employer, I can’t distinguish between "this clinician has a problem" and "this system had a problem." BLOCKED reads as a clinical risk signal. If I’m reviewing candidates and one shows 20/100 BLOCKED, I’m putting them at the bottom of the pile — not because they’re a bad clinician, but because VitalCV created a false negative.</w:t>
      </w:r>
    </w:p>
    <w:p>
      <w:pPr>
        <w:pStyle w:val="Heading3"/>
      </w:pPr>
      <w:r>
        <w:t xml:space="preserve">What feels broken?</w:t>
      </w:r>
    </w:p>
    <w:p>
      <w:pPr>
        <w:spacing w:after="120"/>
      </w:pPr>
      <w:r>
        <w:rPr>
          <w:rFonts w:ascii="Arial" w:cs="Arial" w:eastAsia="Arial" w:hAnsi="Arial"/>
          <w:color w:val="333333"/>
          <w:sz w:val="22"/>
          <w:szCs w:val="22"/>
        </w:rPr>
        <w:t xml:space="preserve">The "5 blockers" count that doesn’t map to the 4 visible lanes. The proof download button that produces nothing. The "Continue to full passport" that leads to an equally empty state. Every affordance promises resolution that doesn’t exist.</w:t>
      </w:r>
    </w:p>
    <w:p>
      <w:pPr>
        <w:pStyle w:val="Heading3"/>
      </w:pPr>
      <w:r>
        <w:t xml:space="preserve">What feels dangerous?</w:t>
      </w:r>
    </w:p>
    <w:p>
      <w:pPr>
        <w:spacing w:after="120"/>
      </w:pPr>
      <w:r>
        <w:rPr>
          <w:rFonts w:ascii="Arial" w:cs="Arial" w:eastAsia="Arial" w:hAnsi="Arial"/>
          <w:color w:val="333333"/>
          <w:sz w:val="22"/>
          <w:szCs w:val="22"/>
        </w:rPr>
        <w:t xml:space="preserve">Making a hiring decision based on this surface. If I reject Macie because VitalCV says BLOCKED 20/100, I’ve discriminated against a qualified clinician based on a system failure. If I accept her despite the BLOCKED label, I’m ignoring the very system I’m paying for. Either path undermines VitalCV’s value proposition.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0392B" w:sz="4"/>
              <w:left w:val="single" w:color="CCCCCC" w:sz="1"/>
              <w:bottom w:val="single" w:color="CCCCCC" w:sz="1"/>
              <w:right w:val="single" w:color="CCCCCC" w:sz="1"/>
            </w:tcBorders>
            <w:shd w:fill="FADBD8" w:val="clear"/>
            <w:tcMar>
              <w:top w:type="dxa" w:w="120"/>
              <w:left w:type="dxa" w:w="200"/>
              <w:bottom w:type="dxa" w:w="120"/>
              <w:right w:type="dxa" w:w="200"/>
            </w:tcMar>
          </w:tcPr>
          <w:p>
            <w:pPr>
              <w:spacing w:after="60"/>
            </w:pPr>
            <w:r>
              <w:rPr>
                <w:rFonts w:ascii="Arial" w:cs="Arial" w:eastAsia="Arial" w:hAnsi="Arial"/>
                <w:b/>
                <w:bCs/>
                <w:color w:val="C0392B"/>
                <w:sz w:val="22"/>
                <w:szCs w:val="22"/>
              </w:rPr>
              <w:t xml:space="preserve">EMPLOYER TRUST VERDICT: FAIL</w:t>
            </w:r>
          </w:p>
          <w:p>
            <w:pPr>
              <w:spacing w:after="0"/>
            </w:pPr>
            <w:r>
              <w:rPr>
                <w:rFonts w:ascii="Arial" w:cs="Arial" w:eastAsia="Arial" w:hAnsi="Arial"/>
                <w:color w:val="333333"/>
                <w:sz w:val="20"/>
                <w:szCs w:val="20"/>
              </w:rPr>
              <w:t xml:space="preserve">An employer cannot distinguish system failure from clinician risk. The BLOCKED + 20/100 output looks like a disqualifying finding when it is actually an infrastructure outage. This surface would damage hiring throughput, not improve it.</w:t>
            </w:r>
          </w:p>
        </w:tc>
      </w:tr>
    </w:tbl>
    <w:p>
      <w:r>
        <w:br w:type="page"/>
      </w:r>
    </w:p>
    <w:p>
      <w:pPr>
        <w:pStyle w:val="Heading1"/>
      </w:pPr>
      <w:r>
        <w:t xml:space="preserve">4. Code Forensics</w:t>
      </w:r>
    </w:p>
    <w:p>
      <w:pPr>
        <w:pStyle w:val="Heading2"/>
      </w:pPr>
      <w:r>
        <w:t xml:space="preserve">Score computation path</w:t>
      </w:r>
    </w:p>
    <w:p>
      <w:pPr>
        <w:spacing w:after="120"/>
      </w:pPr>
      <w:r>
        <w:rPr>
          <w:rFonts w:ascii="Arial" w:cs="Arial" w:eastAsia="Arial" w:hAnsi="Arial"/>
          <w:color w:val="333333"/>
          <w:sz w:val="22"/>
          <w:szCs w:val="22"/>
        </w:rPr>
        <w:t xml:space="preserve">The readinessEngine (readinessEngine.ts) calls computeDeterministicTrustReadiness() from trustCore.ts. The scoring formula is:</w:t>
      </w:r>
    </w:p>
    <w:p>
      <w:pPr>
        <w:spacing w:after="120"/>
      </w:pPr>
      <w:r>
        <w:rPr>
          <w:rFonts w:ascii="Arial" w:cs="Arial" w:eastAsia="Arial" w:hAnsi="Arial"/>
          <w:i/>
          <w:iCs/>
          <w:color w:val="666666"/>
          <w:sz w:val="22"/>
          <w:szCs w:val="22"/>
        </w:rPr>
        <w:t xml:space="preserve">score = Σ (dimensionContribution(d, weight)) for d in {identity:20, exclusion:30, licensure:30, enrollment:20}</w:t>
      </w:r>
    </w:p>
    <w:p>
      <w:pPr>
        <w:spacing w:after="120"/>
      </w:pPr>
      <w:r>
        <w:rPr>
          <w:rFonts w:ascii="Arial" w:cs="Arial" w:eastAsia="Arial" w:hAnsi="Arial"/>
          <w:color w:val="333333"/>
          <w:sz w:val="22"/>
          <w:szCs w:val="22"/>
        </w:rPr>
        <w:t xml:space="preserve">dimensionContribution() returns weight × confidence ONLY when status === MET. For any other status (UNMET, BLOCKED, REVIEW_REQUIRED), it returns 0. With all four sources UNAVAILABLE, all dimensions should be UNMET, yielding a deterministic score of 0 — not 20.</w:t>
      </w:r>
    </w:p>
    <w:p>
      <w:pPr>
        <w:spacing w:after="120"/>
      </w:pPr>
      <w:r>
        <w:rPr>
          <w:rFonts w:ascii="Arial" w:cs="Arial" w:eastAsia="Arial" w:hAnsi="Arial"/>
          <w:color w:val="333333"/>
          <w:sz w:val="22"/>
          <w:szCs w:val="22"/>
        </w:rPr>
        <w:t xml:space="preserve">The displayed score of 20 comes from state.readiness.score in the ingest stream (LiveTrustConsole.tsx:259), which may follow a different computation path than readinessEngine. This means the frontend readiness score and the backend readiness engine are not aligned, or the ingest stream partially resolved identity (contributing 20 points for the identity weight) while the UI still labeled NPPES as UNAVAILABLE. Either scenario is a score-display divergence that must be resolved.</w:t>
      </w:r>
    </w:p>
    <w:p>
      <w:pPr>
        <w:pStyle w:val="Heading2"/>
      </w:pPr>
      <w:r>
        <w:t xml:space="preserve">"Download Proof" is a navigation, not a download</w:t>
      </w:r>
    </w:p>
    <w:p>
      <w:pPr>
        <w:spacing w:after="120"/>
      </w:pPr>
      <w:r>
        <w:rPr>
          <w:rFonts w:ascii="Arial" w:cs="Arial" w:eastAsia="Arial" w:hAnsi="Arial"/>
          <w:color w:val="333333"/>
          <w:sz w:val="22"/>
          <w:szCs w:val="22"/>
        </w:rPr>
        <w:t xml:space="preserve">Both "Download Proof" and "Continue to full passport" call the same handleContinue() function (LiveTrustConsole.tsx:450–470), which calls router.push(dest) to navigate to the passport lookup page. No PDF is generated. No proof artifact is created. No file is downloaded. The button label is a lie.</w:t>
      </w:r>
    </w:p>
    <w:p>
      <w:pPr>
        <w:spacing w:after="120"/>
      </w:pPr>
      <w:r>
        <w:rPr>
          <w:rFonts w:ascii="Arial" w:cs="Arial" w:eastAsia="Arial" w:hAnsi="Arial"/>
          <w:color w:val="333333"/>
          <w:sz w:val="22"/>
          <w:szCs w:val="22"/>
        </w:rPr>
        <w:t xml:space="preserve">There is no guard checking claims &gt; 0 or sourcesCheckedCount &gt; 0 before enabling the button. The only disable condition is continueDisabled, which is true only during active loading. Once loading finishes (even with all errors), the button enables.</w:t>
      </w:r>
    </w:p>
    <w:p>
      <w:pPr>
        <w:pStyle w:val="Heading2"/>
      </w:pPr>
      <w:r>
        <w:t xml:space="preserve">BLOCKED vs MISSING_CREDENTIALS vs system failure</w:t>
      </w:r>
    </w:p>
    <w:p>
      <w:pPr>
        <w:spacing w:after="120"/>
      </w:pPr>
      <w:r>
        <w:rPr>
          <w:rFonts w:ascii="Arial" w:cs="Arial" w:eastAsia="Arial" w:hAnsi="Arial"/>
          <w:color w:val="333333"/>
          <w:sz w:val="22"/>
          <w:szCs w:val="22"/>
        </w:rPr>
        <w:t xml:space="preserve">trustCore.ts:256–263 resolves overallStatus as: BLOCKED (if any dimension has hard-block status), PENDING_VERIFICATION (if any dimension is REVIEW_REQUIRED), MISSING_CREDENTIALS (if any is UNMET), or CLEAR_TO_START. With all sources errored, dimensions should be UNMET, yielding MISSING_CREDENTIALS — not BLOCKED. If the UI displays "BLOCKED" it is either using a different status mapping, or the ingest stream’s error path incorrectly classifies source failures as hard blocks.</w:t>
      </w:r>
    </w:p>
    <w:p>
      <w:pPr>
        <w:spacing w:after="200"/>
      </w:pPr>
    </w:p>
    <w:p>
      <w:pPr>
        <w:pStyle w:val="Heading1"/>
      </w:pPr>
      <w:r>
        <w:t xml:space="preserve">5. What VitalCV Has and Should Not</w:t>
      </w:r>
    </w:p>
    <w:p>
      <w:pPr>
        <w:pStyle w:val="ListParagraph"/>
        <w:numPr>
          <w:ilvl w:val="0"/>
          <w:numId w:val="3"/>
        </w:numPr>
        <w:spacing w:after="80"/>
      </w:pPr>
      <w:r>
        <w:rPr>
          <w:rFonts w:ascii="Arial" w:cs="Arial" w:eastAsia="Arial" w:hAnsi="Arial"/>
          <w:b/>
          <w:bCs/>
          <w:sz w:val="22"/>
          <w:szCs w:val="22"/>
        </w:rPr>
        <w:t xml:space="preserve">A numeric score (20/100) rendered before any source resolves. </w:t>
      </w:r>
      <w:r>
        <w:rPr>
          <w:rFonts w:ascii="Arial" w:cs="Arial" w:eastAsia="Arial" w:hAnsi="Arial"/>
          <w:sz w:val="22"/>
          <w:szCs w:val="22"/>
        </w:rPr>
        <w:t xml:space="preserve">A premature score is worse than no score. It claims authority it hasn’t earned.</w:t>
      </w:r>
    </w:p>
    <w:p>
      <w:pPr>
        <w:pStyle w:val="ListParagraph"/>
        <w:numPr>
          <w:ilvl w:val="0"/>
          <w:numId w:val="3"/>
        </w:numPr>
        <w:spacing w:after="80"/>
      </w:pPr>
      <w:r>
        <w:rPr>
          <w:rFonts w:ascii="Arial" w:cs="Arial" w:eastAsia="Arial" w:hAnsi="Arial"/>
          <w:b/>
          <w:bCs/>
          <w:sz w:val="22"/>
          <w:szCs w:val="22"/>
        </w:rPr>
        <w:t xml:space="preserve">"Download Proof" affordance with zero proof to download. </w:t>
      </w:r>
      <w:r>
        <w:rPr>
          <w:rFonts w:ascii="Arial" w:cs="Arial" w:eastAsia="Arial" w:hAnsi="Arial"/>
          <w:sz w:val="22"/>
          <w:szCs w:val="22"/>
        </w:rPr>
        <w:t xml:space="preserve">An action that promises a deliverable and delivers nothing is trust-destructive.</w:t>
      </w:r>
    </w:p>
    <w:p>
      <w:pPr>
        <w:pStyle w:val="ListParagraph"/>
        <w:numPr>
          <w:ilvl w:val="0"/>
          <w:numId w:val="3"/>
        </w:numPr>
        <w:spacing w:after="80"/>
      </w:pPr>
      <w:r>
        <w:rPr>
          <w:rFonts w:ascii="Arial" w:cs="Arial" w:eastAsia="Arial" w:hAnsi="Arial"/>
          <w:b/>
          <w:bCs/>
          <w:sz w:val="22"/>
          <w:szCs w:val="22"/>
        </w:rPr>
        <w:t xml:space="preserve">The word BLOCKED for a system failure. </w:t>
      </w:r>
      <w:r>
        <w:rPr>
          <w:rFonts w:ascii="Arial" w:cs="Arial" w:eastAsia="Arial" w:hAnsi="Arial"/>
          <w:sz w:val="22"/>
          <w:szCs w:val="22"/>
        </w:rPr>
        <w:t xml:space="preserve">BLOCKED implies the clinician has a problem. The clinician has no problem. VitalCV has a problem.</w:t>
      </w:r>
    </w:p>
    <w:p>
      <w:pPr>
        <w:pStyle w:val="ListParagraph"/>
        <w:numPr>
          <w:ilvl w:val="0"/>
          <w:numId w:val="3"/>
        </w:numPr>
        <w:spacing w:after="80"/>
      </w:pPr>
      <w:r>
        <w:rPr>
          <w:rFonts w:ascii="Arial" w:cs="Arial" w:eastAsia="Arial" w:hAnsi="Arial"/>
          <w:b/>
          <w:bCs/>
          <w:sz w:val="22"/>
          <w:szCs w:val="22"/>
        </w:rPr>
        <w:t xml:space="preserve">A blocker count (5) that exceeds the visible lane count (4). </w:t>
      </w:r>
      <w:r>
        <w:rPr>
          <w:rFonts w:ascii="Arial" w:cs="Arial" w:eastAsia="Arial" w:hAnsi="Arial"/>
          <w:sz w:val="22"/>
          <w:szCs w:val="22"/>
        </w:rPr>
        <w:t xml:space="preserve">Unexplainable numbers erode trust in the system’s own math.</w:t>
      </w:r>
    </w:p>
    <w:p>
      <w:pPr>
        <w:pStyle w:val="Heading1"/>
      </w:pPr>
      <w:r>
        <w:t xml:space="preserve">6. What VitalCV Lacks and Must Have</w:t>
      </w:r>
    </w:p>
    <w:p>
      <w:pPr>
        <w:pStyle w:val="ListParagraph"/>
        <w:numPr>
          <w:ilvl w:val="0"/>
          <w:numId w:val="3"/>
        </w:numPr>
        <w:spacing w:after="80"/>
      </w:pPr>
      <w:r>
        <w:rPr>
          <w:rFonts w:ascii="Arial" w:cs="Arial" w:eastAsia="Arial" w:hAnsi="Arial"/>
          <w:b/>
          <w:bCs/>
          <w:sz w:val="22"/>
          <w:szCs w:val="22"/>
        </w:rPr>
        <w:t xml:space="preserve">Basic NPPES identity hydration that matches a free mirror. </w:t>
      </w:r>
      <w:r>
        <w:rPr>
          <w:rFonts w:ascii="Arial" w:cs="Arial" w:eastAsia="Arial" w:hAnsi="Arial"/>
          <w:sz w:val="22"/>
          <w:szCs w:val="22"/>
        </w:rPr>
        <w:t xml:space="preserve">Address, phone, taxonomy, enumeration date, entity type. If NPIdb shows it, VitalCV must show it or explain why it can’t.</w:t>
      </w:r>
    </w:p>
    <w:p>
      <w:pPr>
        <w:pStyle w:val="ListParagraph"/>
        <w:numPr>
          <w:ilvl w:val="0"/>
          <w:numId w:val="3"/>
        </w:numPr>
        <w:spacing w:after="80"/>
      </w:pPr>
      <w:r>
        <w:rPr>
          <w:rFonts w:ascii="Arial" w:cs="Arial" w:eastAsia="Arial" w:hAnsi="Arial"/>
          <w:b/>
          <w:bCs/>
          <w:sz w:val="22"/>
          <w:szCs w:val="22"/>
        </w:rPr>
        <w:t xml:space="preserve">A "system failure" vs "clinician problem" status distinction. </w:t>
      </w:r>
      <w:r>
        <w:rPr>
          <w:rFonts w:ascii="Arial" w:cs="Arial" w:eastAsia="Arial" w:hAnsi="Arial"/>
          <w:sz w:val="22"/>
          <w:szCs w:val="22"/>
        </w:rPr>
        <w:t xml:space="preserve">When sources error, the surface must say INCOMPLETE or INCONCLUSIVE, not BLOCKED.</w:t>
      </w:r>
    </w:p>
    <w:p>
      <w:pPr>
        <w:pStyle w:val="ListParagraph"/>
        <w:numPr>
          <w:ilvl w:val="0"/>
          <w:numId w:val="3"/>
        </w:numPr>
        <w:spacing w:after="80"/>
      </w:pPr>
      <w:r>
        <w:rPr>
          <w:rFonts w:ascii="Arial" w:cs="Arial" w:eastAsia="Arial" w:hAnsi="Arial"/>
          <w:b/>
          <w:bCs/>
          <w:sz w:val="22"/>
          <w:szCs w:val="22"/>
        </w:rPr>
        <w:t xml:space="preserve">Score suppression during incomplete checks. </w:t>
      </w:r>
      <w:r>
        <w:rPr>
          <w:rFonts w:ascii="Arial" w:cs="Arial" w:eastAsia="Arial" w:hAnsi="Arial"/>
          <w:sz w:val="22"/>
          <w:szCs w:val="22"/>
        </w:rPr>
        <w:t xml:space="preserve">No score should render until at least one source resolves to a decision-grade state.</w:t>
      </w:r>
    </w:p>
    <w:p>
      <w:pPr>
        <w:pStyle w:val="ListParagraph"/>
        <w:numPr>
          <w:ilvl w:val="0"/>
          <w:numId w:val="3"/>
        </w:numPr>
        <w:spacing w:after="80"/>
      </w:pPr>
      <w:r>
        <w:rPr>
          <w:rFonts w:ascii="Arial" w:cs="Arial" w:eastAsia="Arial" w:hAnsi="Arial"/>
          <w:b/>
          <w:bCs/>
          <w:sz w:val="22"/>
          <w:szCs w:val="22"/>
        </w:rPr>
        <w:t xml:space="preserve">Guard rails on proof/passport affordances. </w:t>
      </w:r>
      <w:r>
        <w:rPr>
          <w:rFonts w:ascii="Arial" w:cs="Arial" w:eastAsia="Arial" w:hAnsi="Arial"/>
          <w:sz w:val="22"/>
          <w:szCs w:val="22"/>
        </w:rPr>
        <w:t xml:space="preserve">Disable or hide "Download Proof" when claims === 0 and no sources are verified.</w:t>
      </w:r>
    </w:p>
    <w:p>
      <w:pPr>
        <w:pStyle w:val="ListParagraph"/>
        <w:numPr>
          <w:ilvl w:val="0"/>
          <w:numId w:val="3"/>
        </w:numPr>
        <w:spacing w:after="80"/>
      </w:pPr>
      <w:r>
        <w:rPr>
          <w:rFonts w:ascii="Arial" w:cs="Arial" w:eastAsia="Arial" w:hAnsi="Arial"/>
          <w:b/>
          <w:bCs/>
          <w:sz w:val="22"/>
          <w:szCs w:val="22"/>
        </w:rPr>
        <w:t xml:space="preserve">1:1 blocker-to-lane accounting. </w:t>
      </w:r>
      <w:r>
        <w:rPr>
          <w:rFonts w:ascii="Arial" w:cs="Arial" w:eastAsia="Arial" w:hAnsi="Arial"/>
          <w:sz w:val="22"/>
          <w:szCs w:val="22"/>
        </w:rPr>
        <w:t xml:space="preserve">Every blocker the user sees must trace to a visible source lane. Deduplicate before display.</w:t>
      </w:r>
    </w:p>
    <w:p>
      <w:r>
        <w:br w:type="page"/>
      </w:r>
    </w:p>
    <w:p>
      <w:pPr>
        <w:pStyle w:val="Heading1"/>
      </w:pPr>
      <w:r>
        <w:t xml:space="preserve">7. P0 Must-Fix List (Before Next Live Test)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00"/>
        <w:gridCol w:w="4200"/>
        <w:gridCol w:w="3080"/>
        <w:gridCol w:w="2200"/>
      </w:tblGrid>
      <w:tr>
        <w:tc>
          <w:tcPr>
            <w:tcW w:type="dxa" w:w="6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w:t>
            </w:r>
          </w:p>
        </w:tc>
        <w:tc>
          <w:tcPr>
            <w:tcW w:type="dxa" w:w="4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FIX</w:t>
            </w:r>
          </w:p>
        </w:tc>
        <w:tc>
          <w:tcPr>
            <w:tcW w:type="dxa" w:w="308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FILE / AREA</w:t>
            </w:r>
          </w:p>
        </w:tc>
        <w:tc>
          <w:tcPr>
            <w:tcW w:type="dxa" w:w="2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EFFORT</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120"/>
            </w:pPr>
            <w:r>
              <w:rPr>
                <w:rFonts w:ascii="Arial" w:cs="Arial" w:eastAsia="Arial" w:hAnsi="Arial"/>
                <w:b/>
                <w:bCs/>
                <w:color w:val="333333"/>
                <w:sz w:val="20"/>
                <w:szCs w:val="20"/>
              </w:rPr>
              <w:t xml:space="preserve">1</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120"/>
            </w:pPr>
            <w:r>
              <w:rPr>
                <w:rFonts w:ascii="Arial" w:cs="Arial" w:eastAsia="Arial" w:hAnsi="Arial"/>
                <w:color w:val="333333"/>
                <w:sz w:val="20"/>
                <w:szCs w:val="20"/>
              </w:rPr>
              <w:t xml:space="preserve">Hide or disable "Download Proof" when sourcesCheckedCount === 0 and claims === 0. Show "Waiting for results..." instead.</w:t>
            </w:r>
          </w:p>
        </w:tc>
        <w:tc>
          <w:tcPr>
            <w:tcW w:type="dxa" w:w="30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120"/>
            </w:pPr>
            <w:r>
              <w:rPr>
                <w:rFonts w:ascii="Arial" w:cs="Arial" w:eastAsia="Arial" w:hAnsi="Arial"/>
                <w:i/>
                <w:iCs/>
                <w:color w:val="666666"/>
                <w:sz w:val="18"/>
                <w:szCs w:val="18"/>
              </w:rPr>
              <w:t xml:space="preserve">LiveTrustConsole.tsx:701–716</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120"/>
            </w:pPr>
            <w:r>
              <w:rPr>
                <w:rFonts w:ascii="Arial" w:cs="Arial" w:eastAsia="Arial" w:hAnsi="Arial"/>
                <w:color w:val="27AE60"/>
                <w:sz w:val="20"/>
                <w:szCs w:val="20"/>
              </w:rPr>
              <w:t xml:space="preserve">S (&lt; 30 min)</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120"/>
            </w:pPr>
            <w:r>
              <w:rPr>
                <w:rFonts w:ascii="Arial" w:cs="Arial" w:eastAsia="Arial" w:hAnsi="Arial"/>
                <w:b/>
                <w:bCs/>
                <w:color w:val="333333"/>
                <w:sz w:val="20"/>
                <w:szCs w:val="20"/>
              </w:rPr>
              <w:t xml:space="preserve">2</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120"/>
            </w:pPr>
            <w:r>
              <w:rPr>
                <w:rFonts w:ascii="Arial" w:cs="Arial" w:eastAsia="Arial" w:hAnsi="Arial"/>
                <w:color w:val="333333"/>
                <w:sz w:val="20"/>
                <w:szCs w:val="20"/>
              </w:rPr>
              <w:t xml:space="preserve">Suppress readiness score display when 0 sources are verified. Show "Checking sources..." or blank. Score should only render when &gt;= 1 source resolves to checked state.</w:t>
            </w:r>
          </w:p>
        </w:tc>
        <w:tc>
          <w:tcPr>
            <w:tcW w:type="dxa" w:w="30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120"/>
            </w:pPr>
            <w:r>
              <w:rPr>
                <w:rFonts w:ascii="Arial" w:cs="Arial" w:eastAsia="Arial" w:hAnsi="Arial"/>
                <w:i/>
                <w:iCs/>
                <w:color w:val="666666"/>
                <w:sz w:val="18"/>
                <w:szCs w:val="18"/>
              </w:rPr>
              <w:t xml:space="preserve">LiveTrustConsole.tsx:594–611</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120"/>
            </w:pPr>
            <w:r>
              <w:rPr>
                <w:rFonts w:ascii="Arial" w:cs="Arial" w:eastAsia="Arial" w:hAnsi="Arial"/>
                <w:color w:val="27AE60"/>
                <w:sz w:val="20"/>
                <w:szCs w:val="20"/>
              </w:rPr>
              <w:t xml:space="preserve">S (&lt; 30 min)</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120"/>
            </w:pPr>
            <w:r>
              <w:rPr>
                <w:rFonts w:ascii="Arial" w:cs="Arial" w:eastAsia="Arial" w:hAnsi="Arial"/>
                <w:b/>
                <w:bCs/>
                <w:color w:val="333333"/>
                <w:sz w:val="20"/>
                <w:szCs w:val="20"/>
              </w:rPr>
              <w:t xml:space="preserve">3</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120"/>
            </w:pPr>
            <w:r>
              <w:rPr>
                <w:rFonts w:ascii="Arial" w:cs="Arial" w:eastAsia="Arial" w:hAnsi="Arial"/>
                <w:color w:val="333333"/>
                <w:sz w:val="20"/>
                <w:szCs w:val="20"/>
              </w:rPr>
              <w:t xml:space="preserve">Replace "BLOCKED" with "INCOMPLETE" or "Sources Unavailable" when the root cause is source failure, not a clinical finding. The BLOCKED label must only appear when a check found a disqualifying result (exclusion, expired license, revocation).</w:t>
            </w:r>
          </w:p>
        </w:tc>
        <w:tc>
          <w:tcPr>
            <w:tcW w:type="dxa" w:w="30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120"/>
            </w:pPr>
            <w:r>
              <w:rPr>
                <w:rFonts w:ascii="Arial" w:cs="Arial" w:eastAsia="Arial" w:hAnsi="Arial"/>
                <w:i/>
                <w:iCs/>
                <w:color w:val="666666"/>
                <w:sz w:val="18"/>
                <w:szCs w:val="18"/>
              </w:rPr>
              <w:t xml:space="preserve">ReadinessPreview.tsx; trustCore.ts overallStatus mapping</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120"/>
            </w:pPr>
            <w:r>
              <w:rPr>
                <w:rFonts w:ascii="Arial" w:cs="Arial" w:eastAsia="Arial" w:hAnsi="Arial"/>
                <w:color w:val="D4A017"/>
                <w:sz w:val="20"/>
                <w:szCs w:val="20"/>
              </w:rPr>
              <w:t xml:space="preserve">M (1–2 hours)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120"/>
            </w:pPr>
            <w:r>
              <w:rPr>
                <w:rFonts w:ascii="Arial" w:cs="Arial" w:eastAsia="Arial" w:hAnsi="Arial"/>
                <w:b/>
                <w:bCs/>
                <w:color w:val="333333"/>
                <w:sz w:val="20"/>
                <w:szCs w:val="20"/>
              </w:rPr>
              <w:t xml:space="preserve">4</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120"/>
            </w:pPr>
            <w:r>
              <w:rPr>
                <w:rFonts w:ascii="Arial" w:cs="Arial" w:eastAsia="Arial" w:hAnsi="Arial"/>
                <w:color w:val="333333"/>
                <w:sz w:val="20"/>
                <w:szCs w:val="20"/>
              </w:rPr>
              <w:t xml:space="preserve">Diagnose and fix NPPES hydration failure. The NPPES adapter must successfully fetch and render basic identity data (name, address, phone, taxonomy, enumeration date) for any active NPI. If NPIdb can show it, VitalCV must show it.</w:t>
            </w:r>
          </w:p>
        </w:tc>
        <w:tc>
          <w:tcPr>
            <w:tcW w:type="dxa" w:w="30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120"/>
            </w:pPr>
            <w:r>
              <w:rPr>
                <w:rFonts w:ascii="Arial" w:cs="Arial" w:eastAsia="Arial" w:hAnsi="Arial"/>
                <w:i/>
                <w:iCs/>
                <w:color w:val="666666"/>
                <w:sz w:val="18"/>
                <w:szCs w:val="18"/>
              </w:rPr>
              <w:t xml:space="preserve">NPPES adapter / useIngestStream</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120"/>
            </w:pPr>
            <w:r>
              <w:rPr>
                <w:rFonts w:ascii="Arial" w:cs="Arial" w:eastAsia="Arial" w:hAnsi="Arial"/>
                <w:color w:val="D4A017"/>
                <w:sz w:val="20"/>
                <w:szCs w:val="20"/>
              </w:rPr>
              <w:t xml:space="preserve">M (1–2 hours)</w:t>
            </w:r>
          </w:p>
        </w:tc>
      </w:tr>
    </w:tbl>
    <w:p>
      <w:pPr>
        <w:spacing w:after="200"/>
      </w:pPr>
    </w:p>
    <w:p>
      <w:pPr>
        <w:pStyle w:val="Heading1"/>
      </w:pPr>
      <w:r>
        <w:t xml:space="preserve">8. P1 Follow-Up List (Next Wave)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00"/>
        <w:gridCol w:w="4200"/>
        <w:gridCol w:w="3080"/>
        <w:gridCol w:w="2200"/>
      </w:tblGrid>
      <w:tr>
        <w:tc>
          <w:tcPr>
            <w:tcW w:type="dxa" w:w="6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w:t>
            </w:r>
          </w:p>
        </w:tc>
        <w:tc>
          <w:tcPr>
            <w:tcW w:type="dxa" w:w="4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FIX</w:t>
            </w:r>
          </w:p>
        </w:tc>
        <w:tc>
          <w:tcPr>
            <w:tcW w:type="dxa" w:w="308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FILE / AREA</w:t>
            </w:r>
          </w:p>
        </w:tc>
        <w:tc>
          <w:tcPr>
            <w:tcW w:type="dxa" w:w="2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EFFORT</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120"/>
            </w:pPr>
            <w:r>
              <w:rPr>
                <w:rFonts w:ascii="Arial" w:cs="Arial" w:eastAsia="Arial" w:hAnsi="Arial"/>
                <w:b/>
                <w:bCs/>
                <w:color w:val="333333"/>
                <w:sz w:val="20"/>
                <w:szCs w:val="20"/>
              </w:rPr>
              <w:t xml:space="preserve">5</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120"/>
            </w:pPr>
            <w:r>
              <w:rPr>
                <w:rFonts w:ascii="Arial" w:cs="Arial" w:eastAsia="Arial" w:hAnsi="Arial"/>
                <w:color w:val="333333"/>
                <w:sz w:val="20"/>
                <w:szCs w:val="20"/>
              </w:rPr>
              <w:t xml:space="preserve">Deduplicate blockers before display count. Ensure blocker count ≤ visible source lane count. Every blocker the user sees must trace to exactly one visible lane.</w:t>
            </w:r>
          </w:p>
        </w:tc>
        <w:tc>
          <w:tcPr>
            <w:tcW w:type="dxa" w:w="30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120"/>
            </w:pPr>
            <w:r>
              <w:rPr>
                <w:rFonts w:ascii="Arial" w:cs="Arial" w:eastAsia="Arial" w:hAnsi="Arial"/>
                <w:i/>
                <w:iCs/>
                <w:color w:val="666666"/>
                <w:sz w:val="18"/>
                <w:szCs w:val="18"/>
              </w:rPr>
              <w:t xml:space="preserve">trustCore.ts:231–236; ReadinessPreview.tsx</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120"/>
            </w:pPr>
            <w:r>
              <w:rPr>
                <w:rFonts w:ascii="Arial" w:cs="Arial" w:eastAsia="Arial" w:hAnsi="Arial"/>
                <w:color w:val="27AE60"/>
                <w:sz w:val="20"/>
                <w:szCs w:val="20"/>
              </w:rPr>
              <w:t xml:space="preserve">S (&lt; 1 hour)</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120"/>
            </w:pPr>
            <w:r>
              <w:rPr>
                <w:rFonts w:ascii="Arial" w:cs="Arial" w:eastAsia="Arial" w:hAnsi="Arial"/>
                <w:b/>
                <w:bCs/>
                <w:color w:val="333333"/>
                <w:sz w:val="20"/>
                <w:szCs w:val="20"/>
              </w:rPr>
              <w:t xml:space="preserve">6</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120"/>
            </w:pPr>
            <w:r>
              <w:rPr>
                <w:rFonts w:ascii="Arial" w:cs="Arial" w:eastAsia="Arial" w:hAnsi="Arial"/>
                <w:color w:val="333333"/>
                <w:sz w:val="20"/>
                <w:szCs w:val="20"/>
              </w:rPr>
              <w:t xml:space="preserve">Align ingest stream readiness score with readinessEngine. The score rendered in LiveTrustConsole (from state.readiness.score) must match what computeDeterministicTrustReadiness would produce for the same source state. No divergence.</w:t>
            </w:r>
          </w:p>
        </w:tc>
        <w:tc>
          <w:tcPr>
            <w:tcW w:type="dxa" w:w="30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120"/>
            </w:pPr>
            <w:r>
              <w:rPr>
                <w:rFonts w:ascii="Arial" w:cs="Arial" w:eastAsia="Arial" w:hAnsi="Arial"/>
                <w:i/>
                <w:iCs/>
                <w:color w:val="666666"/>
                <w:sz w:val="18"/>
                <w:szCs w:val="18"/>
              </w:rPr>
              <w:t xml:space="preserve">useIngestStream; readinessEngine.ts; trustCore.ts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120"/>
            </w:pPr>
            <w:r>
              <w:rPr>
                <w:rFonts w:ascii="Arial" w:cs="Arial" w:eastAsia="Arial" w:hAnsi="Arial"/>
                <w:color w:val="D4A017"/>
                <w:sz w:val="20"/>
                <w:szCs w:val="20"/>
              </w:rPr>
              <w:t xml:space="preserve">M (2–4 hours)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120"/>
            </w:pPr>
            <w:r>
              <w:rPr>
                <w:rFonts w:ascii="Arial" w:cs="Arial" w:eastAsia="Arial" w:hAnsi="Arial"/>
                <w:b/>
                <w:bCs/>
                <w:color w:val="333333"/>
                <w:sz w:val="20"/>
                <w:szCs w:val="20"/>
              </w:rPr>
              <w:t xml:space="preserve">7</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120"/>
            </w:pPr>
            <w:r>
              <w:rPr>
                <w:rFonts w:ascii="Arial" w:cs="Arial" w:eastAsia="Arial" w:hAnsi="Arial"/>
                <w:color w:val="333333"/>
                <w:sz w:val="20"/>
                <w:szCs w:val="20"/>
              </w:rPr>
              <w:t xml:space="preserve">Replace generic "Configured state board lane" with state-specific language. For California PAs, display "Medical Board of California — PA Committee." Explain what "institutional access required" means in plain terms.</w:t>
            </w:r>
          </w:p>
        </w:tc>
        <w:tc>
          <w:tcPr>
            <w:tcW w:type="dxa" w:w="30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120"/>
            </w:pPr>
            <w:r>
              <w:rPr>
                <w:rFonts w:ascii="Arial" w:cs="Arial" w:eastAsia="Arial" w:hAnsi="Arial"/>
                <w:i/>
                <w:iCs/>
                <w:color w:val="666666"/>
                <w:sz w:val="18"/>
                <w:szCs w:val="18"/>
              </w:rPr>
              <w:t xml:space="preserve">LiveTrustConsole.tsx:66–91</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120"/>
            </w:pPr>
            <w:r>
              <w:rPr>
                <w:rFonts w:ascii="Arial" w:cs="Arial" w:eastAsia="Arial" w:hAnsi="Arial"/>
                <w:color w:val="27AE60"/>
                <w:sz w:val="20"/>
                <w:szCs w:val="20"/>
              </w:rPr>
              <w:t xml:space="preserve">S (&lt; 1 hour)</w:t>
            </w:r>
          </w:p>
        </w:tc>
      </w:tr>
    </w:tbl>
    <w:p>
      <w:pPr>
        <w:spacing w:after="30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1B4F72" w:sz="6"/>
              <w:left w:val="single" w:color="CCCCCC" w:sz="1"/>
              <w:bottom w:val="single" w:color="CCCCCC" w:sz="1"/>
              <w:right w:val="single" w:color="CCCCCC" w:sz="1"/>
            </w:tcBorders>
            <w:shd w:fill="EBF5FB" w:val="clear"/>
            <w:tcMar>
              <w:top w:type="dxa" w:w="200"/>
              <w:left w:type="dxa" w:w="200"/>
              <w:bottom w:type="dxa" w:w="200"/>
              <w:right w:type="dxa" w:w="200"/>
            </w:tcMar>
          </w:tcPr>
          <w:p>
            <w:pPr>
              <w:spacing w:after="80"/>
            </w:pPr>
            <w:r>
              <w:rPr>
                <w:rFonts w:ascii="Arial" w:cs="Arial" w:eastAsia="Arial" w:hAnsi="Arial"/>
                <w:b/>
                <w:bCs/>
                <w:caps/>
                <w:color w:val="1B4F72"/>
                <w:sz w:val="18"/>
                <w:szCs w:val="18"/>
              </w:rPr>
              <w:t xml:space="preserve">PRODUCT DOCTRINE FOR THIS WAVE</w:t>
            </w:r>
          </w:p>
          <w:p>
            <w:pPr>
              <w:spacing w:after="0"/>
            </w:pPr>
            <w:r>
              <w:rPr>
                <w:rFonts w:ascii="Arial" w:cs="Arial" w:eastAsia="Arial" w:hAnsi="Arial"/>
                <w:b/>
                <w:bCs/>
                <w:color w:val="1A1A1A"/>
                <w:sz w:val="26"/>
                <w:szCs w:val="26"/>
              </w:rPr>
              <w:t xml:space="preserve">A trust surface that displays less than a free directory, scores without checking, and offers proof of nothing is not a trust surface — it is a trust hazard. Fix the floor before building higher.</w:t>
            </w:r>
          </w:p>
        </w:tc>
      </w:tr>
    </w:tbl>
    <w:p>
      <w:pPr>
        <w:spacing w:after="200"/>
      </w:pPr>
    </w:p>
    <w:p>
      <w:pPr>
        <w:spacing w:after="120"/>
      </w:pPr>
      <w:r>
        <w:rPr>
          <w:rFonts w:ascii="Arial" w:cs="Arial" w:eastAsia="Arial" w:hAnsi="Arial"/>
          <w:i/>
          <w:iCs/>
          <w:color w:val="666666"/>
          <w:sz w:val="18"/>
          <w:szCs w:val="18"/>
        </w:rPr>
        <w:t xml:space="preserve">— Generated by VitalCV Product Truth Auditor, 2026-04-09</w:t>
      </w:r>
    </w:p>
    <w:p>
      <w:pPr>
        <w:spacing w:after="120"/>
      </w:pPr>
      <w:r>
        <w:rPr>
          <w:rFonts w:ascii="Arial" w:cs="Arial" w:eastAsia="Arial" w:hAnsi="Arial"/>
          <w:i/>
          <w:iCs/>
          <w:color w:val="666666"/>
          <w:sz w:val="18"/>
          <w:szCs w:val="18"/>
        </w:rPr>
        <w:t xml:space="preserve">Sources: NPI 1346053246 NPIdb screenshot, VitalCV readiness page screenshot, repo code audit of trustCore.ts, readinessEngine.ts, LiveTrustConsole.tsx, ReadinessPreview.tsx, ClinicianReadinessSurface.tsx.</w:t>
      </w:r>
    </w:p>
    <w:sectPr>
      <w:headerReference w:type="default" r:id="rId7"/>
      <w:footerReference w:type="default" r:id="rId8"/>
      <w:pgSz w:w="12240" w:h="15840"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4"/>
      </w:pBdr>
      <w:spacing w:before="0"/>
      <w:jc w:val="center"/>
    </w:pPr>
    <w:r>
      <w:rPr>
        <w:rFonts w:ascii="Arial" w:cs="Arial" w:eastAsia="Arial" w:hAnsi="Arial"/>
        <w:color w:val="666666"/>
        <w:sz w:val="16"/>
        <w:szCs w:val="16"/>
      </w:rPr>
      <w:t xml:space="preserve">Page </w:t>
    </w:r>
    <w:r>
      <w:rPr>
        <w:rFonts w:ascii="Arial" w:cs="Arial" w:eastAsia="Arial" w:hAnsi="Arial"/>
        <w:color w:val="666666"/>
        <w:sz w:val="16"/>
        <w:szCs w:val="16"/>
      </w:rPr>
      <w:fldChar w:fldCharType="begin"/>
      <w:instrText xml:space="preserve">PAGE</w:instrText>
      <w:fldChar w:fldCharType="separate"/>
      <w:fldChar w:fldCharType="end"/>
    </w:r>
    <w:r>
      <w:rPr>
        <w:rFonts w:ascii="Arial" w:cs="Arial" w:eastAsia="Arial" w:hAnsi="Arial"/>
        <w:color w:val="666666"/>
        <w:sz w:val="16"/>
        <w:szCs w:val="16"/>
      </w:rPr>
      <w:t xml:space="preserve">  —  Macie Miller NPI Case Audit  —  2026-04-09</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4F72" w:sz="4" w:space="4"/>
      </w:pBdr>
      <w:tabs>
        <w:tab w:val="right" w:pos="9026"/>
      </w:tabs>
      <w:spacing w:after="0"/>
    </w:pPr>
    <w:r>
      <w:rPr>
        <w:rFonts w:ascii="Arial" w:cs="Arial" w:eastAsia="Arial" w:hAnsi="Arial"/>
        <w:b/>
        <w:bCs/>
        <w:color w:val="1B4F72"/>
        <w:sz w:val="16"/>
        <w:szCs w:val="16"/>
      </w:rPr>
      <w:t xml:space="preserve">VitalCV Product Truth Audit</w:t>
    </w:r>
    <w:r>
      <w:rPr>
        <w:rFonts w:ascii="Arial" w:cs="Arial" w:eastAsia="Arial" w:hAnsi="Arial"/>
        <w:color w:val="666666"/>
        <w:sz w:val="16"/>
        <w:szCs w:val="16"/>
      </w:rPr>
      <w:t xml:space="preserve">	Confidential — Internal Only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4F72"/>
      <w:sz w:val="36"/>
      <w:szCs w:val="36"/>
    </w:rPr>
  </w:style>
  <w:style w:type="paragraph" w:styleId="Heading2">
    <w:name w:val="Heading 2"/>
    <w:basedOn w:val="Normal"/>
    <w:next w:val="Normal"/>
    <w:qFormat/>
    <w:pPr>
      <w:spacing w:after="160" w:before="240"/>
      <w:outlineLvl w:val="1"/>
    </w:pPr>
    <w:rPr>
      <w:rFonts w:ascii="Arial" w:cs="Arial" w:eastAsia="Arial" w:hAnsi="Arial"/>
      <w:b/>
      <w:bCs/>
      <w:color w:val="1B4F72"/>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44444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2026-04-09T19:47:40.326Z</dcterms:created>
  <dcterms:modified xsi:type="dcterms:W3CDTF">2026-04-09T19:47:40.327Z</dcterms:modified>
</cp:coreProperties>
</file>

<file path=docProps/custom.xml><?xml version="1.0" encoding="utf-8"?>
<Properties xmlns="http://schemas.openxmlformats.org/officeDocument/2006/custom-properties" xmlns:vt="http://schemas.openxmlformats.org/officeDocument/2006/docPropsVTypes"/>
</file>