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Tendiniti</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9" w:name="la-bibbia-delle-tendiniti"/>
    <w:p>
      <w:pPr>
        <w:pStyle w:val="Heading1"/>
      </w:pPr>
      <w:r>
        <w:t xml:space="preserve">La Bibbia delle Tendiniti</w:t>
      </w:r>
    </w:p>
    <w:p>
      <w:pPr>
        <w:pStyle w:val="FirstParagraph"/>
      </w:pPr>
      <w:r>
        <w:rPr>
          <w:b/>
          <w:bCs/>
        </w:rPr>
        <w:t xml:space="preserve">Condizione:</w:t>
      </w:r>
      <w:r>
        <w:t xml:space="preserve"> </w:t>
      </w:r>
      <w:r>
        <w:t xml:space="preserve">tendiniti — il dolore del tendine sotto carico, in qualunque sede: gomito, spalla, achilleo, rotuleo, gluteo, polso</w:t>
      </w:r>
      <w:r>
        <w:t xml:space="preserve"> </w:t>
      </w:r>
      <w:r>
        <w:rPr>
          <w:b/>
          <w:bCs/>
        </w:rPr>
        <w:t xml:space="preserve">Ancora clinica:</w:t>
      </w:r>
      <w:r>
        <w:t xml:space="preserve"> </w:t>
      </w:r>
      <w:r>
        <w:t xml:space="preserve">Bill Vicenzino, University of Queensland — l’unico gruppo che ha misurato, sulla stessa condizione e con lo stesso disegno, il gesto manuale, l’esercizio e l’infiltrazione</w:t>
      </w:r>
      <w:r>
        <w:t xml:space="preserve"> </w:t>
      </w:r>
      <w:r>
        <w:rPr>
          <w:b/>
          <w:bCs/>
        </w:rPr>
        <w:t xml:space="preserve">Ancora fisiologica:</w:t>
      </w:r>
      <w:r>
        <w:t xml:space="preserve"> </w:t>
      </w:r>
      <w:r>
        <w:t xml:space="preserve">il gruppo dell’Institute of Sports Medicine di Bispebjerg, Copenaghen — S. Peter Magnusson, Michael Kjær, Katja Heinemeier: il ricambio e l’adattamento del tendine umano, misurati nell’uomo vivo</w:t>
      </w:r>
      <w:r>
        <w:t xml:space="preserve"> </w:t>
      </w:r>
      <w:r>
        <w:rPr>
          <w:b/>
          <w:bCs/>
        </w:rPr>
        <w:t xml:space="preserve">Versione:</w:t>
      </w:r>
      <w:r>
        <w:t xml:space="preserve"> </w:t>
      </w:r>
      <w:r>
        <w:t xml:space="preserve">v7 — finale, dopo la revisione di lingua (6º livello) ·</w:t>
      </w:r>
      <w:r>
        <w:t xml:space="preserve"> </w:t>
      </w:r>
      <w:r>
        <w:rPr>
          <w:b/>
          <w:bCs/>
        </w:rPr>
        <w:t xml:space="preserve">Data:</w:t>
      </w:r>
      <w:r>
        <w:t xml:space="preserve"> </w:t>
      </w:r>
      <w:r>
        <w:t xml:space="preserve">31 agosto 2026</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sul dolore del tendine per decidere cosa fare in stanza; il come si fa sta nella Procedura.</w:t>
      </w:r>
    </w:p>
    <w:p>
      <w:pPr>
        <w:pStyle w:val="FirstParagraph"/>
      </w:pPr>
      <w:r>
        <w:rPr>
          <w:b/>
          <w:bCs/>
        </w:rPr>
        <w:t xml:space="preserve">A chi parla.</w:t>
      </w:r>
      <w:r>
        <w:t xml:space="preserve"> </w:t>
      </w:r>
      <w:r>
        <w:t xml:space="preserve">All’osteopata del team. Do per scontata l’anatomia del tendine e dell’unità muscolo-tendinea. Qui trovi cosa fa ciascuna struttura</w:t>
      </w:r>
      <w:r>
        <w:t xml:space="preserve"> </w:t>
      </w:r>
      <w:r>
        <w:rPr>
          <w:i/>
          <w:iCs/>
        </w:rPr>
        <w:t xml:space="preserve">in questa condizione</w:t>
      </w:r>
      <w:r>
        <w:t xml:space="preserve">. E trovi cosa cambia quando il paziente ti chiede perché il riposo non è servito.</w:t>
      </w:r>
    </w:p>
    <w:p>
      <w:pPr>
        <w:pStyle w:val="BodyText"/>
      </w:pPr>
      <w:r>
        <w:rPr>
          <w:b/>
          <w:bCs/>
        </w:rPr>
        <w:t xml:space="preserve">Cosa c’è qui e cosa no.</w:t>
      </w:r>
      <w:r>
        <w:t xml:space="preserve"> </w:t>
      </w:r>
      <w:r>
        <w:t xml:space="preserve">Qui c’è che cos’è una tendinopatia, perché succede e quali meccanismi la tengono in piedi. Ci sono i pattern da riconoscere, il punto dove finisce il nostro campo e la solidità di ogni leva. Tecniche, dosi, sequenza e piano delle sedute stanno nella Procedura: due pagine, documento separato.</w:t>
      </w:r>
    </w:p>
    <w:p>
      <w:pPr>
        <w:pStyle w:val="BodyText"/>
      </w:pPr>
      <w:r>
        <w:rPr>
          <w:b/>
          <w:bCs/>
        </w:rPr>
        <w:t xml:space="preserve">Una parola sul nome.</w:t>
      </w:r>
      <w:r>
        <w:t xml:space="preserve"> </w:t>
      </w:r>
      <w:r>
        <w:t xml:space="preserve">Il paziente arriva con la parola «tendinite», e il titolo la tiene perché è la parola con cui lui ti cerca. Nel testo troverai</w:t>
      </w:r>
      <w:r>
        <w:t xml:space="preserve"> </w:t>
      </w:r>
      <w:r>
        <w:rPr>
          <w:b/>
          <w:bCs/>
        </w:rPr>
        <w:t xml:space="preserve">tendinopatia</w:t>
      </w:r>
      <w:r>
        <w:t xml:space="preserve">, il nome che la letteratura usa da vent’anni. Descrive meglio quello che hai davanti. La differenza non è formale: il capitolo «Che cos’è davvero» spiega perché cambia quello che dici e quello che fai.</w:t>
      </w:r>
    </w:p>
    <w:bookmarkStart w:id="9" w:name="come-si-leggono-le-etichette"/>
    <w:p>
      <w:pPr>
        <w:pStyle w:val="Heading3"/>
      </w:pPr>
      <w:r>
        <w:t xml:space="preserve">Come si leggono le etichette</w:t>
      </w:r>
    </w:p>
    <w:p>
      <w:pPr>
        <w:pStyle w:val="FirstParagraph"/>
      </w:pPr>
      <w:r>
        <w:t xml:space="preserve">Ogni affermazione importante porta un’etichetta di solidità. La prosa afferma; l’etichetta dice quanto puoi appoggiarti a quell’affermazione.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Tre regole d’uso. Le dichiaro qui perché le incontrerai trenta volte.</w:t>
      </w:r>
    </w:p>
    <w:p>
      <w:pPr>
        <w:pStyle w:val="Compact"/>
        <w:numPr>
          <w:ilvl w:val="0"/>
          <w:numId w:val="1001"/>
        </w:numPr>
      </w:pPr>
      <w:r>
        <w:rPr>
          <w:b/>
          <w:bCs/>
        </w:rPr>
        <w:t xml:space="preserve">L’etichetta non si declina.</w:t>
      </w:r>
      <w:r>
        <w:t xml:space="preserve"> </w:t>
      </w:r>
      <w:r>
        <w:t xml:space="preserve">Se qualcuno ha misurato una cosa e non l’ha trovata, l’etichetta resta IPOTESI con la sua glossa. La prova contraria si scrive</w:t>
      </w:r>
      <w:r>
        <w:t xml:space="preserve"> </w:t>
      </w:r>
      <w:r>
        <w:rPr>
          <w:b/>
          <w:bCs/>
        </w:rPr>
        <w:t xml:space="preserve">nella stessa riga</w:t>
      </w:r>
      <w:r>
        <w:t xml:space="preserve">, nominata e citata.</w:t>
      </w:r>
    </w:p>
    <w:p>
      <w:pPr>
        <w:pStyle w:val="Compact"/>
        <w:numPr>
          <w:ilvl w:val="0"/>
          <w:numId w:val="1001"/>
        </w:numPr>
      </w:pPr>
      <w:r>
        <w:rPr>
          <w:b/>
          <w:bCs/>
        </w:rPr>
        <w:t xml:space="preserve">L’etichetta si spezza</w:t>
      </w:r>
      <w:r>
        <w:t xml:space="preserve"> </w:t>
      </w:r>
      <w:r>
        <w:t xml:space="preserve">quando un meccanismo è fatto di pezzi con forza diversa. Un’etichetta per pezzo, dentro lo stesso box.</w:t>
      </w:r>
    </w:p>
    <w:p>
      <w:pPr>
        <w:pStyle w:val="Compact"/>
        <w:numPr>
          <w:ilvl w:val="0"/>
          <w:numId w:val="1001"/>
        </w:numPr>
      </w:pPr>
      <w:r>
        <w:rPr>
          <w:b/>
          <w:bCs/>
        </w:rPr>
        <w:t xml:space="preserve">DIMOSTRATO copre anche</w:t>
      </w:r>
      <w:r>
        <w:t xml:space="preserve"> </w:t>
      </w:r>
      <w:r>
        <w:t xml:space="preserve">le coorti ampie con relazione dose-risposta e la misura sperimentale diretta nell’uomo. Dove la uso in quel senso, lo scrivo.</w:t>
      </w:r>
    </w:p>
    <w:p>
      <w:pPr>
        <w:pStyle w:val="FirstParagraph"/>
      </w:pPr>
      <w:r>
        <w:rPr>
          <w:b/>
          <w:bCs/>
        </w:rPr>
        <w:t xml:space="preserve">Le parole del metodo.</w:t>
      </w:r>
      <w:r>
        <w:t xml:space="preserve"> </w:t>
      </w:r>
      <w:r>
        <w:t xml:space="preserve">Sette parole ricorrono in tutte le Bibbie con un significato fisso:</w:t>
      </w:r>
      <w:r>
        <w:t xml:space="preserve"> </w:t>
      </w:r>
      <w:r>
        <w:rPr>
          <w:i/>
          <w:iCs/>
        </w:rPr>
        <w:t xml:space="preserve">marker</w:t>
      </w:r>
      <w:r>
        <w:t xml:space="preserve">,</w:t>
      </w:r>
      <w:r>
        <w:t xml:space="preserve"> </w:t>
      </w:r>
      <w:r>
        <w:rPr>
          <w:i/>
          <w:iCs/>
        </w:rPr>
        <w:t xml:space="preserve">reperto disfunzionale</w:t>
      </w:r>
      <w:r>
        <w:t xml:space="preserve">,</w:t>
      </w:r>
      <w:r>
        <w:t xml:space="preserve"> </w:t>
      </w:r>
      <w:r>
        <w:rPr>
          <w:i/>
          <w:iCs/>
        </w:rPr>
        <w:t xml:space="preserve">disfunzione somatica</w:t>
      </w:r>
      <w:r>
        <w:t xml:space="preserve">,</w:t>
      </w:r>
      <w:r>
        <w:t xml:space="preserve"> </w:t>
      </w:r>
      <w:r>
        <w:rPr>
          <w:i/>
          <w:iCs/>
        </w:rPr>
        <w:t xml:space="preserve">compenso</w:t>
      </w:r>
      <w:r>
        <w:t xml:space="preserve">,</w:t>
      </w:r>
      <w:r>
        <w:t xml:space="preserve"> </w:t>
      </w:r>
      <w:r>
        <w:rPr>
          <w:i/>
          <w:iCs/>
        </w:rPr>
        <w:t xml:space="preserve">catena</w:t>
      </w:r>
      <w:r>
        <w:t xml:space="preserve">,</w:t>
      </w:r>
      <w:r>
        <w:t xml:space="preserve"> </w:t>
      </w:r>
      <w:r>
        <w:rPr>
          <w:i/>
          <w:iCs/>
        </w:rPr>
        <w:t xml:space="preserve">sistema dominante</w:t>
      </w:r>
      <w:r>
        <w:t xml:space="preserve">,</w:t>
      </w:r>
      <w:r>
        <w:t xml:space="preserve"> </w:t>
      </w:r>
      <w:r>
        <w:rPr>
          <w:i/>
          <w:iCs/>
        </w:rPr>
        <w:t xml:space="preserve">lesione primaria</w:t>
      </w:r>
      <w:r>
        <w:t xml:space="preserve">. Ognuna compare per esteso in un box</w:t>
      </w:r>
      <w:r>
        <w:t xml:space="preserve"> </w:t>
      </w:r>
      <w:r>
        <w:rPr>
          <w:rStyle w:val="VerbatimChar"/>
        </w:rPr>
        <w:t xml:space="preserve">Definizione</w:t>
      </w:r>
      <w:r>
        <w:t xml:space="preserve"> </w:t>
      </w:r>
      <w:r>
        <w:t xml:space="preserve">alla prima comparsa</w:t>
      </w:r>
      <w:r>
        <w:t xml:space="preserve"> </w:t>
      </w:r>
      <w:r>
        <w:rPr>
          <w:b/>
          <w:bCs/>
        </w:rPr>
        <w:t xml:space="preserve">operativa</w:t>
      </w:r>
      <w:r>
        <w:t xml:space="preserve">, quella in cui regge una regola di condotta. Tutte stanno per intero nel Glossario.</w:t>
      </w:r>
    </w:p>
    <w:bookmarkEnd w:id="9"/>
    <w:bookmarkStart w:id="10" w:name="come-si-studia-questa-bibbia"/>
    <w:p>
      <w:pPr>
        <w:pStyle w:val="Heading3"/>
      </w:pPr>
      <w:r>
        <w:t xml:space="preserve">Come si studia questa Bibbia</w:t>
      </w:r>
    </w:p>
    <w:p>
      <w:pPr>
        <w:pStyle w:val="FirstParagraph"/>
      </w:pPr>
      <w:r>
        <w:t xml:space="preserve">Questa Bibbia si studia contro i pazienti, non contro l’orologio. Due passi contano più degli altri.</w:t>
      </w:r>
    </w:p>
    <w:p>
      <w:pPr>
        <w:pStyle w:val="Compact"/>
        <w:numPr>
          <w:ilvl w:val="0"/>
          <w:numId w:val="1002"/>
        </w:numPr>
      </w:pPr>
      <w:r>
        <w:rPr>
          <w:b/>
          <w:bCs/>
        </w:rPr>
        <w:t xml:space="preserve">La prova che conta: chiudi il documento e parla.</w:t>
      </w:r>
      <w:r>
        <w:t xml:space="preserve"> </w:t>
      </w:r>
      <w:r>
        <w:t xml:space="preserve">Non elencare i cinque meccanismi. Di’ quale osservazione separa il reattivo su degenerativo dal persistente da carico non gestito, e cosa cambia nella tua condotta. Quello che non sai dire non l’hai imparato, e torni solo lì.</w:t>
      </w:r>
    </w:p>
    <w:p>
      <w:pPr>
        <w:pStyle w:val="Compact"/>
        <w:numPr>
          <w:ilvl w:val="0"/>
          <w:numId w:val="1002"/>
        </w:numPr>
      </w:pPr>
      <w:r>
        <w:rPr>
          <w:b/>
          <w:bCs/>
        </w:rPr>
        <w:t xml:space="preserve">Prima del primo paziente: la Mappa concettuale, due minuti.</w:t>
      </w:r>
      <w:r>
        <w:t xml:space="preserve"> </w:t>
      </w:r>
      <w:r>
        <w:t xml:space="preserve">Non la Bibbia.</w:t>
      </w:r>
    </w:p>
    <w:p>
      <w:pPr>
        <w:pStyle w:val="FirstParagraph"/>
      </w:pPr>
      <w:r>
        <w:rPr>
          <w:b/>
          <w:bCs/>
        </w:rPr>
        <w:t xml:space="preserve">Le tre cose da ricordare, più una</w:t>
      </w:r>
    </w:p>
    <w:p>
      <w:pPr>
        <w:pStyle w:val="Compact"/>
        <w:numPr>
          <w:ilvl w:val="0"/>
          <w:numId w:val="1003"/>
        </w:numPr>
      </w:pPr>
      <w:r>
        <w:t xml:space="preserve">Il paziente ti arriva con una parola sbagliata e una strategia sbagliata: «tendinite» e «riposo». Cambiarle è metà del lavoro.</w:t>
      </w:r>
    </w:p>
    <w:p>
      <w:pPr>
        <w:pStyle w:val="Compact"/>
        <w:numPr>
          <w:ilvl w:val="0"/>
          <w:numId w:val="1003"/>
        </w:numPr>
      </w:pPr>
      <w:r>
        <w:t xml:space="preserve">Su questa condizione la leva con le prove migliori non è il tocco: è il carico. E il carico è tuo da insegnare.</w:t>
      </w:r>
    </w:p>
    <w:p>
      <w:pPr>
        <w:pStyle w:val="Compact"/>
        <w:numPr>
          <w:ilvl w:val="0"/>
          <w:numId w:val="1003"/>
        </w:numPr>
      </w:pPr>
      <w:r>
        <w:t xml:space="preserve">Il documento che ti dice cosa fare con le mani è un altro. Questo ti dice perché.</w:t>
      </w:r>
    </w:p>
    <w:p>
      <w:pPr>
        <w:pStyle w:val="Compact"/>
        <w:numPr>
          <w:ilvl w:val="0"/>
          <w:numId w:val="1003"/>
        </w:numPr>
      </w:pPr>
      <w:r>
        <w:rPr>
          <w:b/>
          <w:bCs/>
        </w:rPr>
        <w:t xml:space="preserve">Perché ci sei tu.</w:t>
      </w:r>
      <w:r>
        <w:t xml:space="preserve"> </w:t>
      </w:r>
      <w:r>
        <w:t xml:space="preserve">Le tendinopatie sono circa tre invii su dieci fra quelli che arrivano a chi si occupa di muscolo-scheletrico (Millar, 2017, PMID 28119539). Questo ti autorizza a trattarle come una condizione centrale del tuo studio, non come un caso occasionale. Non ti autorizza a trattarle come una condizione sola: sotto quel numero ci sono sedi, fasi e pattern che chiedono cose diverse.</w:t>
      </w:r>
    </w:p>
    <w:p>
      <w:pPr>
        <w:pStyle w:val="FirstParagraph"/>
      </w:pPr>
      <w:r>
        <w:t xml:space="preserve">Buon nutrimento!</w:t>
      </w:r>
    </w:p>
    <w:p>
      <w:r>
        <w:pict>
          <v:rect style="width:0;height:1.5pt" o:hralign="center" o:hrstd="t" o:hr="t"/>
        </w:pict>
      </w:r>
    </w:p>
    <w:bookmarkEnd w:id="10"/>
    <w:bookmarkEnd w:id="11"/>
    <w:bookmarkStart w:id="16"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che ha fatto esattamente quello che gli hanno detto — si è fermato — e che sta peggio di prima proprio per questo.</w:t>
      </w:r>
    </w:p>
    <w:bookmarkStart w:id="12" w:name="come-lo-racconta-lui"/>
    <w:p>
      <w:pPr>
        <w:pStyle w:val="Heading3"/>
      </w:pPr>
      <w:r>
        <w:t xml:space="preserve">Come lo racconta lui</w:t>
      </w:r>
    </w:p>
    <w:p>
      <w:pPr>
        <w:pStyle w:val="FirstParagraph"/>
      </w:pPr>
      <w:r>
        <w:t xml:space="preserve">Non dice «ho una tendinopatia inserzionale». Dice:</w:t>
      </w:r>
    </w:p>
    <w:p>
      <w:pPr>
        <w:pStyle w:val="Compact"/>
        <w:numPr>
          <w:ilvl w:val="0"/>
          <w:numId w:val="1004"/>
        </w:numPr>
      </w:pPr>
      <w:r>
        <w:rPr>
          <w:i/>
          <w:iCs/>
        </w:rPr>
        <w:t xml:space="preserve">«C’è un punto preciso. Se lo premo con un dito, è lì.»</w:t>
      </w:r>
      <w:r>
        <w:t xml:space="preserve"> </w:t>
      </w:r>
      <w:r>
        <w:t xml:space="preserve">Sa indicarlo senza cercare.</w:t>
      </w:r>
    </w:p>
    <w:p>
      <w:pPr>
        <w:pStyle w:val="Compact"/>
        <w:numPr>
          <w:ilvl w:val="0"/>
          <w:numId w:val="1004"/>
        </w:numPr>
      </w:pPr>
      <w:r>
        <w:rPr>
          <w:i/>
          <w:iCs/>
        </w:rPr>
        <w:t xml:space="preserve">«Mi fa male quando lo uso.»</w:t>
      </w:r>
      <w:r>
        <w:t xml:space="preserve"> </w:t>
      </w:r>
      <w:r>
        <w:t xml:space="preserve">Il gesto specifico, non il movimento in generale.</w:t>
      </w:r>
    </w:p>
    <w:p>
      <w:pPr>
        <w:pStyle w:val="Compact"/>
        <w:numPr>
          <w:ilvl w:val="0"/>
          <w:numId w:val="1004"/>
        </w:numPr>
      </w:pPr>
      <w:r>
        <w:rPr>
          <w:i/>
          <w:iCs/>
        </w:rPr>
        <w:t xml:space="preserve">«La mattina è rigido, poi si scioglie.»</w:t>
      </w:r>
      <w:r>
        <w:t xml:space="preserve"> </w:t>
      </w:r>
      <w:r>
        <w:t xml:space="preserve">Cinque minuti, dieci, e va meglio. Poi la sera torna.</w:t>
      </w:r>
    </w:p>
    <w:p>
      <w:pPr>
        <w:pStyle w:val="Compact"/>
        <w:numPr>
          <w:ilvl w:val="0"/>
          <w:numId w:val="1004"/>
        </w:numPr>
      </w:pPr>
      <w:r>
        <w:rPr>
          <w:i/>
          <w:iCs/>
        </w:rPr>
        <w:t xml:space="preserve">«Più lo ripeto, più sale.»</w:t>
      </w:r>
      <w:r>
        <w:t xml:space="preserve"> </w:t>
      </w:r>
      <w:r>
        <w:t xml:space="preserve">Non un dolore che esplode: un dolore che si accumula nella giornata.</w:t>
      </w:r>
    </w:p>
    <w:p>
      <w:pPr>
        <w:pStyle w:val="Compact"/>
        <w:numPr>
          <w:ilvl w:val="0"/>
          <w:numId w:val="1004"/>
        </w:numPr>
      </w:pPr>
      <w:r>
        <w:rPr>
          <w:i/>
          <w:iCs/>
        </w:rPr>
        <w:t xml:space="preserve">«Ho perso forza.»</w:t>
      </w:r>
      <w:r>
        <w:t xml:space="preserve"> </w:t>
      </w:r>
      <w:r>
        <w:t xml:space="preserve">Il barattolo, la borsa, il cacciavite.</w:t>
      </w:r>
    </w:p>
    <w:p>
      <w:pPr>
        <w:pStyle w:val="Compact"/>
        <w:numPr>
          <w:ilvl w:val="0"/>
          <w:numId w:val="1004"/>
        </w:numPr>
      </w:pPr>
      <w:r>
        <w:rPr>
          <w:i/>
          <w:iCs/>
        </w:rPr>
        <w:t xml:space="preserve">«È gonfio, si sente più spesso dell’altro.»</w:t>
      </w:r>
    </w:p>
    <w:p>
      <w:pPr>
        <w:pStyle w:val="Compact"/>
        <w:numPr>
          <w:ilvl w:val="0"/>
          <w:numId w:val="1004"/>
        </w:numPr>
      </w:pPr>
      <w:r>
        <w:rPr>
          <w:i/>
          <w:iCs/>
        </w:rPr>
        <w:t xml:space="preserve">«Fa un rumore, come uno sfregamento.»</w:t>
      </w:r>
    </w:p>
    <w:p>
      <w:pPr>
        <w:pStyle w:val="Compact"/>
        <w:numPr>
          <w:ilvl w:val="0"/>
          <w:numId w:val="1004"/>
        </w:numPr>
      </w:pPr>
      <w:r>
        <w:rPr>
          <w:i/>
          <w:iCs/>
        </w:rPr>
        <w:t xml:space="preserve">«Adesso non è più un punto: prende tutta la zona, a volte scende, a volte formicola.»</w:t>
      </w:r>
    </w:p>
    <w:p>
      <w:pPr>
        <w:pStyle w:val="Compact"/>
        <w:numPr>
          <w:ilvl w:val="0"/>
          <w:numId w:val="1004"/>
        </w:numPr>
      </w:pPr>
      <w:r>
        <w:rPr>
          <w:i/>
          <w:iCs/>
        </w:rPr>
        <w:t xml:space="preserve">«Ha iniziato a farmi male anche da fermo, la sera sul divano.»</w:t>
      </w:r>
      <w:r>
        <w:t xml:space="preserve"> </w:t>
      </w:r>
      <w:r>
        <w:t xml:space="preserve">Questa frase la dice a voce più bassa, ed è quella che lo preoccupa davvero.</w:t>
      </w:r>
    </w:p>
    <w:p>
      <w:pPr>
        <w:pStyle w:val="Compact"/>
        <w:numPr>
          <w:ilvl w:val="0"/>
          <w:numId w:val="1004"/>
        </w:numPr>
      </w:pPr>
      <w:r>
        <w:rPr>
          <w:i/>
          <w:iCs/>
        </w:rPr>
        <w:t xml:space="preserve">«Non riesco più a dormire su quel fianco»</w:t>
      </w:r>
      <w:r>
        <w:t xml:space="preserve"> </w:t>
      </w:r>
      <w:r>
        <w:t xml:space="preserve">e</w:t>
      </w:r>
      <w:r>
        <w:t xml:space="preserve"> </w:t>
      </w:r>
      <w:r>
        <w:rPr>
          <w:i/>
          <w:iCs/>
        </w:rPr>
        <w:t xml:space="preserve">«non ho fatto niente di diverso»</w:t>
      </w:r>
      <w:r>
        <w:t xml:space="preserve">. Sono le due frasi della donna fra i 55 e i 65 anni con dolore laterale d’anca, una paziente che vedrai spesso. In quella popolazione il dato c’è: nella fascia 50-79 anni la sindrome dolorosa del grande trocantere unilaterale riguarda il 15,0% delle donne contro il 6,6% degli uomini (Segal,</w:t>
      </w:r>
      <w:r>
        <w:t xml:space="preserve"> </w:t>
      </w:r>
      <w:r>
        <w:rPr>
          <w:i/>
          <w:iCs/>
        </w:rPr>
        <w:t xml:space="preserve">Arch Phys Med Rehabil</w:t>
      </w:r>
      <w:r>
        <w:t xml:space="preserve">, 2007, PMID 17678660). Il «niente di diverso» non è un’anamnesi fallita. È un dato, e dice che qui il carico non è cambiato in quantità: è cambiato in</w:t>
      </w:r>
      <w:r>
        <w:t xml:space="preserve"> </w:t>
      </w:r>
      <w:r>
        <w:rPr>
          <w:b/>
          <w:bCs/>
        </w:rPr>
        <w:t xml:space="preserve">posizione</w:t>
      </w:r>
      <w:r>
        <w:t xml:space="preserve">.</w:t>
      </w:r>
    </w:p>
    <w:p>
      <w:pPr>
        <w:pStyle w:val="FirstParagraph"/>
      </w:pPr>
      <w:r>
        <w:t xml:space="preserve">E, quasi sempre, la frase che chiude il discorso:</w:t>
      </w:r>
      <w:r>
        <w:t xml:space="preserve"> </w:t>
      </w:r>
      <w:r>
        <w:rPr>
          <w:i/>
          <w:iCs/>
        </w:rPr>
        <w:t xml:space="preserve">«Sono stato fermo un mese. Sono tornato a fare le mie cose e dopo tre giorni era di nuovo lì, identico.»</w:t>
      </w:r>
    </w:p>
    <w:p>
      <w:pPr>
        <w:pStyle w:val="BodyText"/>
      </w:pPr>
      <w:r>
        <w:t xml:space="preserve">C’è una cosa che non ti dirà se non gliela chiedi:</w:t>
      </w:r>
      <w:r>
        <w:t xml:space="preserve"> </w:t>
      </w:r>
      <w:r>
        <w:rPr>
          <w:b/>
          <w:bCs/>
        </w:rPr>
        <w:t xml:space="preserve">il gesto che gli fa male è il suo lavoro.</w:t>
      </w:r>
      <w:r>
        <w:t xml:space="preserve"> </w:t>
      </w:r>
      <w:r>
        <w:t xml:space="preserve">Mouse, cacciavite, forbici, tastiera, martello. Non può smettere, quindi ogni giorno paga il conto la sera. Ha smesso di raccontarlo perché nessuno gli ha dato una risposta utile.</w:t>
      </w:r>
    </w:p>
    <w:bookmarkEnd w:id="12"/>
    <w:bookmarkStart w:id="13" w:name="cosa-ha-già-fatto"/>
    <w:p>
      <w:pPr>
        <w:pStyle w:val="Heading3"/>
      </w:pPr>
      <w:r>
        <w:t xml:space="preserve">Cosa ha già fatto</w:t>
      </w:r>
    </w:p>
    <w:p>
      <w:pPr>
        <w:pStyle w:val="FirstParagraph"/>
      </w:pPr>
      <w:r>
        <w:rPr>
          <w:b/>
          <w:bCs/>
        </w:rPr>
        <w:t xml:space="preserve">Riposo</w:t>
      </w:r>
      <w:r>
        <w:t xml:space="preserve">, il primo consiglio che riceve chiunque.</w:t>
      </w:r>
      <w:r>
        <w:t xml:space="preserve"> </w:t>
      </w:r>
      <w:r>
        <w:rPr>
          <w:b/>
          <w:bCs/>
        </w:rPr>
        <w:t xml:space="preserve">Antinfiammatori</w:t>
      </w:r>
      <w:r>
        <w:t xml:space="preserve"> </w:t>
      </w:r>
      <w:r>
        <w:t xml:space="preserve">orali e in gel, per settimane.</w:t>
      </w:r>
      <w:r>
        <w:t xml:space="preserve"> </w:t>
      </w:r>
      <w:r>
        <w:rPr>
          <w:b/>
          <w:bCs/>
        </w:rPr>
        <w:t xml:space="preserve">Ghiaccio</w:t>
      </w:r>
      <w:r>
        <w:t xml:space="preserve">, all’inizio.</w:t>
      </w:r>
      <w:r>
        <w:t xml:space="preserve"> </w:t>
      </w:r>
      <w:r>
        <w:rPr>
          <w:b/>
          <w:bCs/>
        </w:rPr>
        <w:t xml:space="preserve">Tutore o fascia</w:t>
      </w:r>
      <w:r>
        <w:t xml:space="preserve">, portato per mesi.</w:t>
      </w:r>
      <w:r>
        <w:t xml:space="preserve"> </w:t>
      </w:r>
      <w:r>
        <w:rPr>
          <w:b/>
          <w:bCs/>
        </w:rPr>
        <w:t xml:space="preserve">Fisioterapia con esercizi eccentrici</w:t>
      </w:r>
      <w:r>
        <w:t xml:space="preserve"> </w:t>
      </w:r>
      <w:r>
        <w:t xml:space="preserve">— la strada con le prove migliori, spesso fatta solo sul tendine.</w:t>
      </w:r>
      <w:r>
        <w:t xml:space="preserve"> </w:t>
      </w:r>
      <w:r>
        <w:rPr>
          <w:b/>
          <w:bCs/>
        </w:rPr>
        <w:t xml:space="preserve">Tecar, laser, onde d’urto.</w:t>
      </w:r>
      <w:r>
        <w:t xml:space="preserve"> </w:t>
      </w:r>
      <w:r>
        <w:rPr>
          <w:b/>
          <w:bCs/>
        </w:rPr>
        <w:t xml:space="preserve">Ecografia</w:t>
      </w:r>
      <w:r>
        <w:t xml:space="preserve">, a volte risonanza.</w:t>
      </w:r>
      <w:r>
        <w:t xml:space="preserve"> </w:t>
      </w:r>
      <w:r>
        <w:rPr>
          <w:b/>
          <w:bCs/>
        </w:rPr>
        <w:t xml:space="preserve">Infiltrazione di cortisone</w:t>
      </w:r>
      <w:r>
        <w:t xml:space="preserve">, con un sollievo importante per qualche settimana e poi tutto uguale; adesso gli hanno detto che non può ripeterla. E qualcuno gli ha suggerito di</w:t>
      </w:r>
      <w:r>
        <w:t xml:space="preserve"> </w:t>
      </w:r>
      <w:r>
        <w:rPr>
          <w:b/>
          <w:bCs/>
        </w:rPr>
        <w:t xml:space="preserve">cambiare attrezzo o gesto tecnico</w:t>
      </w:r>
      <w:r>
        <w:t xml:space="preserve">, senza dirgli quale schema andasse corretto.</w:t>
      </w:r>
    </w:p>
    <w:bookmarkEnd w:id="13"/>
    <w:bookmarkStart w:id="14" w:name="cosa-nessuno-ha-guardato"/>
    <w:p>
      <w:pPr>
        <w:pStyle w:val="Heading3"/>
      </w:pPr>
      <w:r>
        <w:t xml:space="preserve">Cosa nessuno ha guardato</w:t>
      </w:r>
    </w:p>
    <w:p>
      <w:pPr>
        <w:pStyle w:val="FirstParagraph"/>
      </w:pPr>
      <w:r>
        <w:t xml:space="preserve">Tre cose, e stanno tutte nei primi cinque minuti.</w:t>
      </w:r>
    </w:p>
    <w:p>
      <w:pPr>
        <w:pStyle w:val="Compact"/>
        <w:numPr>
          <w:ilvl w:val="0"/>
          <w:numId w:val="1005"/>
        </w:numPr>
      </w:pPr>
      <w:r>
        <w:rPr>
          <w:b/>
          <w:bCs/>
        </w:rPr>
        <w:t xml:space="preserve">Quanto carico fa oggi, e quanto ne faceva tre mesi prima che iniziasse.</w:t>
      </w:r>
      <w:r>
        <w:t xml:space="preserve"> </w:t>
      </w:r>
      <w:r>
        <w:t xml:space="preserve">Non «quanto lavora»: quante ore, con quale attrezzo, e cosa è cambiato nelle sei settimane prima dell’esordio. È il reperto con il razionale più forte del documento, e non richiede nessuno strumento. Non conta quanto spende ogni mese: conta la bolletta che gli è arrivata doppia.</w:t>
      </w:r>
    </w:p>
    <w:p>
      <w:pPr>
        <w:pStyle w:val="Compact"/>
        <w:numPr>
          <w:ilvl w:val="0"/>
          <w:numId w:val="1005"/>
        </w:numPr>
      </w:pPr>
      <w:r>
        <w:rPr>
          <w:b/>
          <w:bCs/>
        </w:rPr>
        <w:t xml:space="preserve">La corsa dell’articolazione sopra e sotto il tendine.</w:t>
      </w:r>
      <w:r>
        <w:t xml:space="preserve"> </w:t>
      </w:r>
      <w:r>
        <w:t xml:space="preserve">Dorsiflessione di caviglia in carico, rotazione di spalla, estensione del torace, escursione del polso. Misurata in gradi o in centimetri, non guardata.</w:t>
      </w:r>
    </w:p>
    <w:p>
      <w:pPr>
        <w:pStyle w:val="Compact"/>
        <w:numPr>
          <w:ilvl w:val="0"/>
          <w:numId w:val="1005"/>
        </w:numPr>
      </w:pPr>
      <w:r>
        <w:rPr>
          <w:b/>
          <w:bCs/>
        </w:rPr>
        <w:t xml:space="preserve">Che cosa prende, e che cosa ha avuto.</w:t>
      </w:r>
      <w:r>
        <w:t xml:space="preserve"> </w:t>
      </w:r>
      <w:r>
        <w:t xml:space="preserve">Chinoloni negli ultimi mesi, cortisone prolungato, diabete, ormonoterapia adiuvante per un tumore della mammella, statine. E una rottura o un’immobilizzazione pregresse su quell’arto. Sono sei domande, si fanno in due minuti, e cambiano l’uscita del triage.</w:t>
      </w:r>
    </w:p>
    <w:p>
      <w:pPr>
        <w:pStyle w:val="FirstParagraph"/>
      </w:pPr>
      <w:r>
        <w:t xml:space="preserve">Il percorso standard è organizzato per immagini e per farmaci. Il tendine è una struttura fotogenica: si vede bene in ecografia. È per questo che quasi tutti si fermano lì.</w:t>
      </w:r>
    </w:p>
    <w:bookmarkEnd w:id="14"/>
    <w:bookmarkStart w:id="15" w:name="le-tre-domande-che-ti-farà"/>
    <w:p>
      <w:pPr>
        <w:pStyle w:val="Heading3"/>
      </w:pPr>
      <w:r>
        <w:t xml:space="preserve">Le tre domande che ti farà</w:t>
      </w:r>
    </w:p>
    <w:p>
      <w:pPr>
        <w:pStyle w:val="Compact"/>
        <w:numPr>
          <w:ilvl w:val="0"/>
          <w:numId w:val="1006"/>
        </w:numPr>
      </w:pPr>
      <w:r>
        <w:rPr>
          <w:i/>
          <w:iCs/>
        </w:rPr>
        <w:t xml:space="preserve">«Se sono stato fermo un mese e non è passato, perché dovrebbe passare adesso?»</w:t>
      </w:r>
      <w:r>
        <w:t xml:space="preserve"> </w:t>
      </w:r>
      <w:r>
        <w:t xml:space="preserve">— in «Cosa si rompe», ed è la domanda a cui questo documento risponde meglio.</w:t>
      </w:r>
    </w:p>
    <w:p>
      <w:pPr>
        <w:pStyle w:val="Compact"/>
        <w:numPr>
          <w:ilvl w:val="0"/>
          <w:numId w:val="1006"/>
        </w:numPr>
      </w:pPr>
      <w:r>
        <w:rPr>
          <w:i/>
          <w:iCs/>
        </w:rPr>
        <w:t xml:space="preserve">«Il tendine è consumato? Si rigenera?»</w:t>
      </w:r>
      <w:r>
        <w:t xml:space="preserve"> </w:t>
      </w:r>
      <w:r>
        <w:t xml:space="preserve">— in «Che cos’è davvero», e la risposta contiene una brutta notizia e una buona.</w:t>
      </w:r>
    </w:p>
    <w:p>
      <w:pPr>
        <w:pStyle w:val="Compact"/>
        <w:numPr>
          <w:ilvl w:val="0"/>
          <w:numId w:val="1006"/>
        </w:numPr>
      </w:pPr>
      <w:r>
        <w:rPr>
          <w:i/>
          <w:iCs/>
        </w:rPr>
        <w:t xml:space="preserve">«Devo smettere di lavorare?»</w:t>
      </w:r>
      <w:r>
        <w:t xml:space="preserve"> </w:t>
      </w:r>
      <w:r>
        <w:t xml:space="preserve">— in «Cosa può fare il paziente da solo», e la risposta è no.</w:t>
      </w:r>
    </w:p>
    <w:p>
      <w:pPr>
        <w:pStyle w:val="FirstParagraph"/>
      </w:pPr>
      <w:r>
        <w:rPr>
          <w:b/>
          <w:bCs/>
        </w:rPr>
        <w:t xml:space="preserve">Le tre cose da ricordare, più una</w:t>
      </w:r>
    </w:p>
    <w:p>
      <w:pPr>
        <w:pStyle w:val="Compact"/>
        <w:numPr>
          <w:ilvl w:val="0"/>
          <w:numId w:val="1007"/>
        </w:numPr>
      </w:pPr>
      <w:r>
        <w:t xml:space="preserve">Arriva convinto che il problema sia il</w:t>
      </w:r>
      <w:r>
        <w:t xml:space="preserve"> </w:t>
      </w:r>
      <w:r>
        <w:rPr>
          <w:i/>
          <w:iCs/>
        </w:rPr>
        <w:t xml:space="preserve">quanto</w:t>
      </w:r>
      <w:r>
        <w:t xml:space="preserve">. Quasi sempre il problema è stato il</w:t>
      </w:r>
      <w:r>
        <w:t xml:space="preserve"> </w:t>
      </w:r>
      <w:r>
        <w:rPr>
          <w:i/>
          <w:iCs/>
        </w:rPr>
        <w:t xml:space="preserve">cambio</w:t>
      </w:r>
      <w:r>
        <w:t xml:space="preserve">, e nessuno gli ha chiesto cosa era cambiato. Quando risponde «non è cambiato niente» — come fa spesso la donna con il dolore laterale d’anca — non è un’anamnesi fallita: sposta la ricerca dalla quantità alla posizione.</w:t>
      </w:r>
    </w:p>
    <w:p>
      <w:pPr>
        <w:pStyle w:val="Compact"/>
        <w:numPr>
          <w:ilvl w:val="0"/>
          <w:numId w:val="1007"/>
        </w:numPr>
      </w:pPr>
      <w:r>
        <w:t xml:space="preserve">Il gesto che gli fa male è il suo lavoro: qualunque ragionamento che finisca con «smetti» è già stato provato e ha fallito.</w:t>
      </w:r>
    </w:p>
    <w:p>
      <w:pPr>
        <w:pStyle w:val="Compact"/>
        <w:numPr>
          <w:ilvl w:val="0"/>
          <w:numId w:val="1007"/>
        </w:numPr>
      </w:pPr>
      <w:r>
        <w:t xml:space="preserve">Due domande sull’antibiotico e sul diabete valgono, in quei primi cinque minuti, più di qualunque test palpatorio.</w:t>
      </w:r>
    </w:p>
    <w:p>
      <w:pPr>
        <w:pStyle w:val="Compact"/>
        <w:numPr>
          <w:ilvl w:val="0"/>
          <w:numId w:val="1007"/>
        </w:numPr>
      </w:pPr>
      <w:r>
        <w:rPr>
          <w:b/>
          <w:bCs/>
        </w:rPr>
        <w:t xml:space="preserve">Perché ci sei tu.</w:t>
      </w:r>
      <w:r>
        <w:t xml:space="preserve"> </w:t>
      </w:r>
      <w:r>
        <w:t xml:space="preserve">Fra i pazienti che il medico di base registra con una tendinopatia dell’achilleo, il legame con lo sport è annotato solo nel 35% dei casi (de Jonge, 2011, PMID 21926076). Questo ti autorizza a non aspettarti un atleta e a cercare il carico nella vita quotidiana e nel lavoro. Non ti autorizza a dedurre quale gesto sia il colpevole: dice dove guardare, non cosa troverai.</w:t>
      </w:r>
    </w:p>
    <w:p>
      <w:r>
        <w:pict>
          <v:rect style="width:0;height:1.5pt" o:hralign="center" o:hrstd="t" o:hr="t"/>
        </w:pict>
      </w:r>
    </w:p>
    <w:bookmarkEnd w:id="15"/>
    <w:bookmarkEnd w:id="16"/>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non è un’infiammazione da spegnere, è un tessuto che ha ricevuto più carico di quanto ne sapesse reggere — e la differenza fra le due frasi cambia tutta la strategia.</w:t>
      </w:r>
    </w:p>
    <w:bookmarkStart w:id="17" w:name="Xabdefe4a5b84b61d4ae10c25fa683aba4c3dcb7"/>
    <w:p>
      <w:pPr>
        <w:pStyle w:val="Heading3"/>
      </w:pPr>
      <w:r>
        <w:t xml:space="preserve">La definizione, e la parola che cambia tutto</w:t>
      </w:r>
    </w:p>
    <w:p>
      <w:pPr>
        <w:pStyle w:val="FirstParagraph"/>
      </w:pPr>
      <w:r>
        <w:t xml:space="preserve">La</w:t>
      </w:r>
      <w:r>
        <w:t xml:space="preserve"> </w:t>
      </w:r>
      <w:r>
        <w:rPr>
          <w:b/>
          <w:bCs/>
        </w:rPr>
        <w:t xml:space="preserve">tendinopatia</w:t>
      </w:r>
      <w:r>
        <w:t xml:space="preserve"> </w:t>
      </w:r>
      <w:r>
        <w:t xml:space="preserve">è un disturbo del tendine con tre segni:</w:t>
      </w:r>
      <w:r>
        <w:t xml:space="preserve"> </w:t>
      </w:r>
      <w:r>
        <w:rPr>
          <w:b/>
          <w:bCs/>
        </w:rPr>
        <w:t xml:space="preserve">dolore legato all’attività</w:t>
      </w:r>
      <w:r>
        <w:t xml:space="preserve">, calo di funzione e ridotta tolleranza all’esercizio. Le sedi più frequenti sono la cuffia dei rotatori, gli epicondili del gomito, il tendine rotuleo, i tendini glutei e l’achilleo. Sotto il microscopio si trovano quattro cose: collagene disorganizzato, un aumento dei piccoli vasi e delle fibre nervose sensitive, un ricambio alterato della matrice, cellule immunitarie (Millar,</w:t>
      </w:r>
      <w:r>
        <w:t xml:space="preserve"> </w:t>
      </w:r>
      <w:r>
        <w:rPr>
          <w:i/>
          <w:iCs/>
        </w:rPr>
        <w:t xml:space="preserve">Nature Reviews Disease Primers</w:t>
      </w:r>
      <w:r>
        <w:t xml:space="preserve">, 2021, PMID 33414454).</w:t>
      </w:r>
    </w:p>
    <w:p>
      <w:pPr>
        <w:pStyle w:val="BodyText"/>
      </w:pPr>
      <w:r>
        <w:t xml:space="preserve">Per vent’anni si è insegnato che «tendinite» fosse sbagliato perché</w:t>
      </w:r>
      <w:r>
        <w:t xml:space="preserve"> </w:t>
      </w:r>
      <w:r>
        <w:rPr>
          <w:b/>
          <w:bCs/>
        </w:rPr>
        <w:t xml:space="preserve">l’infiammazione non c’è</w:t>
      </w:r>
      <w:r>
        <w:t xml:space="preserve"> </w:t>
      </w:r>
      <w:r>
        <w:t xml:space="preserve">(Khan,</w:t>
      </w:r>
      <w:r>
        <w:t xml:space="preserve"> </w:t>
      </w:r>
      <w:r>
        <w:rPr>
          <w:i/>
          <w:iCs/>
        </w:rPr>
        <w:t xml:space="preserve">BMJ</w:t>
      </w:r>
      <w:r>
        <w:t xml:space="preserve">, 2002, PMID 11895810). Quella correzione ha fatto un lavoro utile: ha tolto il riposo e il farmaco dal centro della scena. Oggi va precisata. Con le tecniche molecolari moderne le cellule immunitarie e i mediatori infiammatori si trovano, lungo tutto lo spettro della malattia (Millar,</w:t>
      </w:r>
      <w:r>
        <w:t xml:space="preserve"> </w:t>
      </w:r>
      <w:r>
        <w:rPr>
          <w:i/>
          <w:iCs/>
        </w:rPr>
        <w:t xml:space="preserve">Nature Reviews Rheumatology</w:t>
      </w:r>
      <w:r>
        <w:t xml:space="preserve">, 2017, PMID 28119539).</w:t>
      </w:r>
    </w:p>
    <w:p>
      <w:pPr>
        <w:pStyle w:val="BodyText"/>
      </w:pPr>
      <w:r>
        <w:t xml:space="preserve">Per te la formulazione corretta è questa:</w:t>
      </w:r>
      <w:r>
        <w:t xml:space="preserve"> </w:t>
      </w:r>
      <w:r>
        <w:rPr>
          <w:b/>
          <w:bCs/>
        </w:rPr>
        <w:t xml:space="preserve">c’è una componente immunitaria, e non è la flogosi acuta che un antinfiammatorio spegne.</w:t>
      </w:r>
      <w:r>
        <w:t xml:space="preserve"> </w:t>
      </w:r>
      <w:r>
        <w:t xml:space="preserve">Il tessuto non è infiammato. È disorganizzato, e i mediatori fanno parte di quel disordine.</w:t>
      </w:r>
    </w:p>
    <w:p>
      <w:pPr>
        <w:pStyle w:val="BodyText"/>
      </w:pPr>
      <w:r>
        <w:rPr>
          <w:b/>
          <w:bCs/>
        </w:rPr>
        <w:t xml:space="preserve">Con il paziente la stessa cosa si dice in forma descrittiva, mai esclusiva.</w:t>
      </w:r>
      <w:r>
        <w:t xml:space="preserve"> </w:t>
      </w:r>
      <w:r>
        <w:t xml:space="preserve">La frase è questa:</w:t>
      </w:r>
      <w:r>
        <w:t xml:space="preserve"> </w:t>
      </w:r>
      <w:r>
        <w:rPr>
          <w:i/>
          <w:iCs/>
        </w:rPr>
        <w:t xml:space="preserve">«in una tendinopatia da carico il tessuto è disorganizzato più che infiammato, e l’antinfiammatorio agisce sul dolore, non sulla causa»</w:t>
      </w:r>
      <w:r>
        <w:t xml:space="preserve">. E si dice</w:t>
      </w:r>
      <w:r>
        <w:t xml:space="preserve"> </w:t>
      </w:r>
      <w:r>
        <w:rPr>
          <w:b/>
          <w:bCs/>
        </w:rPr>
        <w:t xml:space="preserve">dopo</w:t>
      </w:r>
      <w:r>
        <w:t xml:space="preserve"> </w:t>
      </w:r>
      <w:r>
        <w:t xml:space="preserve">aver passato in rassegna la riga dell’entesite del capitolo «Dove finisce il nostro campo». Se quella riga è presente, la frase non si dice affatto.</w:t>
      </w:r>
    </w:p>
    <w:p>
      <w:pPr>
        <w:pStyle w:val="BodyText"/>
      </w:pPr>
      <w:r>
        <w:t xml:space="preserve">La forma</w:t>
      </w:r>
      <w:r>
        <w:t xml:space="preserve"> </w:t>
      </w:r>
      <w:r>
        <w:rPr>
          <w:i/>
          <w:iCs/>
        </w:rPr>
        <w:t xml:space="preserve">«il tuo non è un problema infiammatorio»</w:t>
      </w:r>
      <w:r>
        <w:t xml:space="preserve"> </w:t>
      </w:r>
      <w:r>
        <w:t xml:space="preserve">non si usa mai. È un’esclusione diagnostica, non è tua, e il capitolo dei limiti spiega perché è la frase più pericolosa del documento.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il quadro istologico e molecolare è descritto su tessuto umano in due sintesi che hanno lo stesso primo autore (Millar, PMID 33414454 e PMID 28119539) e non sono quindi fonti indipendenti fra loro. Quello che</w:t>
      </w:r>
      <w:r>
        <w:t xml:space="preserve"> </w:t>
      </w:r>
      <w:r>
        <w:rPr>
          <w:b/>
          <w:bCs/>
        </w:rPr>
        <w:t xml:space="preserve">non</w:t>
      </w:r>
      <w:r>
        <w:t xml:space="preserve"> </w:t>
      </w:r>
      <w:r>
        <w:t xml:space="preserve">è dimostrato è che quei mediatori siano un bersaglio farmacologico utile: gli autori scrivono che i trattamenti mirati non esistono ancora.</w:t>
      </w:r>
    </w:p>
    <w:p>
      <w:pPr>
        <w:pStyle w:val="BlockText"/>
      </w:pPr>
      <w:r>
        <w:rPr>
          <w:b/>
          <w:bCs/>
        </w:rPr>
        <w:t xml:space="preserve">Cosa cambia per te.</w:t>
      </w:r>
      <w:r>
        <w:t xml:space="preserve"> </w:t>
      </w:r>
      <w:r>
        <w:t xml:space="preserve">La frase da non dire più è</w:t>
      </w:r>
      <w:r>
        <w:t xml:space="preserve"> </w:t>
      </w:r>
      <w:r>
        <w:rPr>
          <w:i/>
          <w:iCs/>
        </w:rPr>
        <w:t xml:space="preserve">«hai un’infiammazione»</w:t>
      </w:r>
      <w:r>
        <w:t xml:space="preserve">: autorizza il paziente a fermarsi e ad aspettare che passi. La frase da dire è</w:t>
      </w:r>
      <w:r>
        <w:t xml:space="preserve"> </w:t>
      </w:r>
      <w:r>
        <w:rPr>
          <w:i/>
          <w:iCs/>
        </w:rPr>
        <w:t xml:space="preserve">«il tessuto ha cambiato struttura sotto un carico che era troppo per lui»</w:t>
      </w:r>
      <w:r>
        <w:t xml:space="preserve">, perché apre alla sola strategia che funziona. Attenzione al confine: descrivere quello che una tendinopatia da carico è non ti autorizza a dichiarare quello che quel paziente</w:t>
      </w:r>
      <w:r>
        <w:t xml:space="preserve"> </w:t>
      </w:r>
      <w:r>
        <w:rPr>
          <w:b/>
          <w:bCs/>
        </w:rPr>
        <w:t xml:space="preserve">non</w:t>
      </w:r>
      <w:r>
        <w:t xml:space="preserve"> </w:t>
      </w:r>
      <w:r>
        <w:t xml:space="preserve">ha.</w:t>
      </w:r>
    </w:p>
    <w:bookmarkEnd w:id="17"/>
    <w:bookmarkStart w:id="18" w:name="quanto-è-diffusa-e-come-evolve-da-sola"/>
    <w:p>
      <w:pPr>
        <w:pStyle w:val="Heading3"/>
      </w:pPr>
      <w:r>
        <w:t xml:space="preserve">Quanto è diffusa, e come evolve da sola</w:t>
      </w:r>
    </w:p>
    <w:p>
      <w:pPr>
        <w:pStyle w:val="FirstParagraph"/>
      </w:pPr>
      <w:r>
        <w:t xml:space="preserve">La tendinopatia è circa</w:t>
      </w:r>
      <w:r>
        <w:t xml:space="preserve"> </w:t>
      </w:r>
      <w:r>
        <w:rPr>
          <w:b/>
          <w:bCs/>
        </w:rPr>
        <w:t xml:space="preserve">il 30% degli invii</w:t>
      </w:r>
      <w:r>
        <w:t xml:space="preserve"> </w:t>
      </w:r>
      <w:r>
        <w:t xml:space="preserve">che arrivano a chi si occupa di muscolo-scheletrico (Millar, 2017, PMID 28119539). All’achilleo, nella medicina generale olandese, l’incidenza è di</w:t>
      </w:r>
      <w:r>
        <w:t xml:space="preserve"> </w:t>
      </w:r>
      <w:r>
        <w:rPr>
          <w:b/>
          <w:bCs/>
        </w:rPr>
        <w:t xml:space="preserve">1,85 casi ogni mille assistiti l’anno</w:t>
      </w:r>
      <w:r>
        <w:t xml:space="preserve">. Salgono a 2,35 nella fascia 21-60 anni (de Jonge, 2011, PMID 21926076).</w:t>
      </w:r>
    </w:p>
    <w:p>
      <w:pPr>
        <w:pStyle w:val="BodyText"/>
      </w:pPr>
      <w:r>
        <w:t xml:space="preserve">La storia naturale ti impedisce di prenderti meriti che non sono tuoi, e va letta</w:t>
      </w:r>
      <w:r>
        <w:t xml:space="preserve"> </w:t>
      </w:r>
      <w:r>
        <w:rPr>
          <w:b/>
          <w:bCs/>
        </w:rPr>
        <w:t xml:space="preserve">sede per sede</w:t>
      </w:r>
      <w:r>
        <w:t xml:space="preserve">.</w:t>
      </w:r>
    </w:p>
    <w:p>
      <w:pPr>
        <w:pStyle w:val="BodyText"/>
      </w:pPr>
      <w:r>
        <w:t xml:space="preserve">Sul gomito il dato viene da uno studio randomizzato su 185 pazienti con epicondilalgia di almeno sei settimane. Il braccio lasciato in attesa non era «senza trattamento»: riceveva informazione, consigli ergonomici e analgesici al bisogno. A un anno il successo si contava in</w:t>
      </w:r>
      <w:r>
        <w:t xml:space="preserve"> </w:t>
      </w:r>
      <w:r>
        <w:rPr>
          <w:b/>
          <w:bCs/>
        </w:rPr>
        <w:t xml:space="preserve">49 casi su 59, cioè l’83%</w:t>
      </w:r>
      <w:r>
        <w:t xml:space="preserve">. La fisioterapia stava al 91%, e la differenza non ha raggiunto la soglia statistica. L’infiltrazione stava al 69% (Smidt,</w:t>
      </w:r>
      <w:r>
        <w:t xml:space="preserve"> </w:t>
      </w:r>
      <w:r>
        <w:rPr>
          <w:i/>
          <w:iCs/>
        </w:rPr>
        <w:t xml:space="preserve">Lancet</w:t>
      </w:r>
      <w:r>
        <w:t xml:space="preserve">, 2002, PMID 11879861).</w:t>
      </w:r>
    </w:p>
    <w:p>
      <w:pPr>
        <w:pStyle w:val="BodyText"/>
      </w:pPr>
      <w:r>
        <w:rPr>
          <w:b/>
          <w:bCs/>
        </w:rPr>
        <w:t xml:space="preserve">Sulle altre sedi il quadro è meno generoso.</w:t>
      </w:r>
      <w:r>
        <w:t xml:space="preserve"> </w:t>
      </w:r>
      <w:r>
        <w:t xml:space="preserve">La revisione dedicata raccoglie sei randomizzati con braccio di attesa, per 518 soggetti, e trova un miglioramento reale ma parziale. Nella cuffia i non trattati</w:t>
      </w:r>
      <w:r>
        <w:t xml:space="preserve"> </w:t>
      </w:r>
      <w:r>
        <w:rPr>
          <w:b/>
          <w:bCs/>
        </w:rPr>
        <w:t xml:space="preserve">non recuperano pienamente a un anno</w:t>
      </w:r>
      <w:r>
        <w:t xml:space="preserve">. Su gomito, rotula e achilleo non risolvono entro dodici-sedici settimane (Garzón,</w:t>
      </w:r>
      <w:r>
        <w:t xml:space="preserve"> </w:t>
      </w:r>
      <w:r>
        <w:rPr>
          <w:i/>
          <w:iCs/>
        </w:rPr>
        <w:t xml:space="preserve">Musculoskelet Sci Pract</w:t>
      </w:r>
      <w:r>
        <w:t xml:space="preserve">, 2024, PMID 38879981).</w:t>
      </w:r>
    </w:p>
    <w:p>
      <w:pPr>
        <w:pStyle w:val="BodyText"/>
      </w:pPr>
      <w:r>
        <w:t xml:space="preserve">E il lungo termine non è l’assenza di dolore. A cinque anni dal programma eccentrico classico per l’achilleo, solo il</w:t>
      </w:r>
      <w:r>
        <w:t xml:space="preserve"> </w:t>
      </w:r>
      <w:r>
        <w:rPr>
          <w:b/>
          <w:bCs/>
        </w:rPr>
        <w:t xml:space="preserve">39,7%</w:t>
      </w:r>
      <w:r>
        <w:t xml:space="preserve"> </w:t>
      </w:r>
      <w:r>
        <w:t xml:space="preserve">era completamente senza dolore. La funzione, però, era molto migliorata (van der Plas,</w:t>
      </w:r>
      <w:r>
        <w:t xml:space="preserve"> </w:t>
      </w:r>
      <w:r>
        <w:rPr>
          <w:i/>
          <w:iCs/>
        </w:rPr>
        <w:t xml:space="preserve">Br J Sports Med</w:t>
      </w:r>
      <w:r>
        <w:t xml:space="preserve">, 2012, PMID 22075719).</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il decorso del braccio di attesa nell’epicondilalgia, che viene da un randomizzato;</w:t>
      </w:r>
      <w:r>
        <w:t xml:space="preserve"> </w:t>
      </w:r>
      <w:r>
        <w:rPr>
          <w:b/>
          <w:bCs/>
        </w:rPr>
        <w:t xml:space="preserve">PROBABILE</w:t>
      </w:r>
      <w:r>
        <w:t xml:space="preserve"> </w:t>
      </w:r>
      <w:r>
        <w:rPr>
          <w:i/>
          <w:iCs/>
        </w:rPr>
        <w:t xml:space="preserve">(razionale forte, prove parziali)</w:t>
      </w:r>
      <w:r>
        <w:t xml:space="preserve"> </w:t>
      </w:r>
      <w:r>
        <w:t xml:space="preserve">il quadro sulle altre sedi, dove gli autori stessi dichiarano la portata limitata perché mancano bracci di vera non-intervenzione.</w:t>
      </w:r>
    </w:p>
    <w:p>
      <w:pPr>
        <w:pStyle w:val="FirstParagraph"/>
      </w:pPr>
      <w:r>
        <w:rPr>
          <w:b/>
          <w:bCs/>
        </w:rPr>
        <w:t xml:space="preserve">Per te:</w:t>
      </w:r>
      <w:r>
        <w:t xml:space="preserve"> </w:t>
      </w:r>
      <w:r>
        <w:t xml:space="preserve">più di otto pazienti su dieci</w:t>
      </w:r>
      <w:r>
        <w:t xml:space="preserve"> </w:t>
      </w:r>
      <w:r>
        <w:rPr>
          <w:b/>
          <w:bCs/>
        </w:rPr>
        <w:t xml:space="preserve">con un gomito doloroso</w:t>
      </w:r>
      <w:r>
        <w:t xml:space="preserve"> </w:t>
      </w:r>
      <w:r>
        <w:t xml:space="preserve">migliorano entro un anno anche senza di te. Il tuo mestiere non è portarlo all’83%. È portarcelo</w:t>
      </w:r>
      <w:r>
        <w:t xml:space="preserve"> </w:t>
      </w:r>
      <w:r>
        <w:rPr>
          <w:b/>
          <w:bCs/>
        </w:rPr>
        <w:t xml:space="preserve">prima</w:t>
      </w:r>
      <w:r>
        <w:t xml:space="preserve">, e occuparti dei due su dieci che non ci arrivano. Ne discendono due regole. La prima: se il paziente migliora, non attribuirtelo automaticamente. La seconda:</w:t>
      </w:r>
      <w:r>
        <w:t xml:space="preserve"> </w:t>
      </w:r>
      <w:r>
        <w:rPr>
          <w:b/>
          <w:bCs/>
        </w:rPr>
        <w:t xml:space="preserve">il criterio di successo che annunci alla prima seduta è quanto carico tollera, non l’assenza di dolore.</w:t>
      </w:r>
      <w:r>
        <w:t xml:space="preserve"> </w:t>
      </w:r>
      <w:r>
        <w:t xml:space="preserve">A zero, a cinque anni, ci arriva la minoranza. E chi sta molto meglio ma non è a zero si sente un fallito proprio nel mese in cui abbandonerebbe il carico.</w:t>
      </w:r>
    </w:p>
    <w:bookmarkEnd w:id="18"/>
    <w:bookmarkStart w:id="19" w:name="X6820c7f04c7379b5930bec9ad9aa3ee0e127e21"/>
    <w:p>
      <w:pPr>
        <w:pStyle w:val="Heading3"/>
      </w:pPr>
      <w:r>
        <w:t xml:space="preserve">Cosa dicono le etichette che porta, e cosa non dicono</w:t>
      </w:r>
    </w:p>
    <w:p>
      <w:pPr>
        <w:pStyle w:val="FirstParagraph"/>
      </w:pPr>
      <w:r>
        <w:t xml:space="preserve">Il paziente arriva con un’ecografia.</w:t>
      </w:r>
      <w:r>
        <w:t xml:space="preserve"> </w:t>
      </w:r>
      <w:r>
        <w:rPr>
          <w:b/>
          <w:bCs/>
        </w:rPr>
        <w:t xml:space="preserve">Dice</w:t>
      </w:r>
      <w:r>
        <w:t xml:space="preserve"> </w:t>
      </w:r>
      <w:r>
        <w:t xml:space="preserve">spessore, disorganizzazione delle fibre, neovasi al Doppler, calcificazioni, integrità o lesione parziale. Sono informazioni reali, e a volte decisive per il medico.</w:t>
      </w:r>
      <w:r>
        <w:t xml:space="preserve"> </w:t>
      </w:r>
      <w:r>
        <w:rPr>
          <w:b/>
          <w:bCs/>
        </w:rPr>
        <w:t xml:space="preserve">Non dice perché quel tendine si è sovraccaricato</w:t>
      </w:r>
      <w:r>
        <w:t xml:space="preserve">, e non dice quanto fa male. È la fotografia di una crepa nel muro: dice che c’è, non chi l’ha fatta.</w:t>
      </w:r>
    </w:p>
    <w:p>
      <w:pPr>
        <w:pStyle w:val="BodyText"/>
      </w:pPr>
      <w:r>
        <w:t xml:space="preserve">Il numero viene da sedici studi prospettici, con 810 tendini achillei e 1.156 rotulei di atleti</w:t>
      </w:r>
      <w:r>
        <w:t xml:space="preserve"> </w:t>
      </w:r>
      <w:r>
        <w:rPr>
          <w:b/>
          <w:bCs/>
        </w:rPr>
        <w:t xml:space="preserve">senza dolore</w:t>
      </w:r>
      <w:r>
        <w:t xml:space="preserve"> </w:t>
      </w:r>
      <w:r>
        <w:t xml:space="preserve">all’inizio. Un’ecografia anormale prediceva il dolore futuro con un valore predittivo positivo del</w:t>
      </w:r>
      <w:r>
        <w:t xml:space="preserve"> </w:t>
      </w:r>
      <w:r>
        <w:rPr>
          <w:b/>
          <w:bCs/>
        </w:rPr>
        <w:t xml:space="preserve">27,2%</w:t>
      </w:r>
      <w:r>
        <w:t xml:space="preserve">, contro un valore predittivo negativo sopra il 92% (Cushman,</w:t>
      </w:r>
      <w:r>
        <w:t xml:space="preserve"> </w:t>
      </w:r>
      <w:r>
        <w:rPr>
          <w:i/>
          <w:iCs/>
        </w:rPr>
        <w:t xml:space="preserve">Clin J Sport Med</w:t>
      </w:r>
      <w:r>
        <w:t xml:space="preserve">, 2025, PMID 38864880).</w:t>
      </w:r>
    </w:p>
    <w:p>
      <w:pPr>
        <w:pStyle w:val="BodyText"/>
      </w:pPr>
      <w:r>
        <w:rPr>
          <w:b/>
          <w:bCs/>
        </w:rPr>
        <w:t xml:space="preserve">Per te:</w:t>
      </w:r>
      <w:r>
        <w:t xml:space="preserve"> </w:t>
      </w:r>
      <w:r>
        <w:t xml:space="preserve">quasi tre tendini «malandati all’ecografia» su quattro non svilupperanno mai dolore. Quando il paziente ti chiede se è grave, la risposta onesta è che quell’immagine da sola non prevede il suo futuro. Quando invece l’immagine è pulita, l’informazione è più forte: raramente compare dolore in un tendine che l’ecografia vede intatto.</w:t>
      </w:r>
    </w:p>
    <w:bookmarkEnd w:id="19"/>
    <w:bookmarkStart w:id="20" w:name="cosa-non-è"/>
    <w:p>
      <w:pPr>
        <w:pStyle w:val="Heading3"/>
      </w:pPr>
      <w:r>
        <w:t xml:space="preserve">Cosa non è</w:t>
      </w:r>
    </w:p>
    <w:p>
      <w:pPr>
        <w:pStyle w:val="Compact"/>
        <w:numPr>
          <w:ilvl w:val="0"/>
          <w:numId w:val="1008"/>
        </w:numPr>
      </w:pPr>
      <w:r>
        <w:rPr>
          <w:b/>
          <w:bCs/>
        </w:rPr>
        <w:t xml:space="preserve">Non è un’entesite infiammatoria.</w:t>
      </w:r>
      <w:r>
        <w:t xml:space="preserve"> </w:t>
      </w:r>
      <w:r>
        <w:t xml:space="preserve">È un’uscita del triage, non un sottotipo: la riconosci in «Non è una condizione sola» e la mandi fuori con i tempi di «Dove finisce il nostro campo».</w:t>
      </w:r>
    </w:p>
    <w:p>
      <w:pPr>
        <w:pStyle w:val="Compact"/>
        <w:numPr>
          <w:ilvl w:val="0"/>
          <w:numId w:val="1008"/>
        </w:numPr>
      </w:pPr>
      <w:r>
        <w:rPr>
          <w:b/>
          <w:bCs/>
        </w:rPr>
        <w:t xml:space="preserve">Non è una lesione da stress ossea.</w:t>
      </w:r>
      <w:r>
        <w:t xml:space="preserve"> </w:t>
      </w:r>
      <w:r>
        <w:t xml:space="preserve">È la differenziale che ti riguarda più di tutte, perché il tuo intervento principale — aumentare il carico — è il meccanismo del danno. Le discriminanti e i tempi di invio stanno in «Dove finisce il nostro campo», dove decidono un’uscita.</w:t>
      </w:r>
    </w:p>
    <w:p>
      <w:pPr>
        <w:pStyle w:val="Compact"/>
        <w:numPr>
          <w:ilvl w:val="0"/>
          <w:numId w:val="1008"/>
        </w:numPr>
      </w:pPr>
      <w:r>
        <w:rPr>
          <w:b/>
          <w:bCs/>
        </w:rPr>
        <w:t xml:space="preserve">Non è una tendinopatia calcifica.</w:t>
      </w:r>
      <w:r>
        <w:t xml:space="preserve"> </w:t>
      </w:r>
      <w:r>
        <w:t xml:space="preserve">È un deposito di idrossiapatite, non una disorganizzazione da carico. Nessuna progressione di carico sostituisce il percorso che le serve: la riconosci in «Non è una condizione sola».</w:t>
      </w:r>
    </w:p>
    <w:p>
      <w:pPr>
        <w:pStyle w:val="Compact"/>
        <w:numPr>
          <w:ilvl w:val="0"/>
          <w:numId w:val="1008"/>
        </w:numPr>
      </w:pPr>
      <w:r>
        <w:rPr>
          <w:b/>
          <w:bCs/>
        </w:rPr>
        <w:t xml:space="preserve">Non è, o non è solo, una borsite.</w:t>
      </w:r>
      <w:r>
        <w:t xml:space="preserve"> </w:t>
      </w:r>
      <w:r>
        <w:t xml:space="preserve">La borsa può essere coinvolta e non fa la prognosi. Ma nel</w:t>
      </w:r>
      <w:r>
        <w:t xml:space="preserve"> </w:t>
      </w:r>
      <w:r>
        <w:rPr>
          <w:b/>
          <w:bCs/>
        </w:rPr>
        <w:t xml:space="preserve">dolore laterale d’anca</w:t>
      </w:r>
      <w:r>
        <w:t xml:space="preserve"> </w:t>
      </w:r>
      <w:r>
        <w:t xml:space="preserve">la «borsite trocanterica» del referto oggi si legge come possibile</w:t>
      </w:r>
      <w:r>
        <w:t xml:space="preserve"> </w:t>
      </w:r>
      <w:r>
        <w:rPr>
          <w:b/>
          <w:bCs/>
        </w:rPr>
        <w:t xml:space="preserve">tendinopatia glutea</w:t>
      </w:r>
      <w:r>
        <w:t xml:space="preserve">, riconosciuta come sorgente locale primaria di quella sindrome (Grimaldi e Fearon, 2015, PMID 26381486). È materia di questo documento, ed è la sede della sua evidenza migliore. Rimbalzarla fuori è l’errore più costoso che questa riga possa produrre. Quello che non fai tu è la diagnosi.</w:t>
      </w:r>
    </w:p>
    <w:p>
      <w:pPr>
        <w:pStyle w:val="Compact"/>
        <w:numPr>
          <w:ilvl w:val="0"/>
          <w:numId w:val="1008"/>
        </w:numPr>
      </w:pPr>
      <w:r>
        <w:rPr>
          <w:b/>
          <w:bCs/>
        </w:rPr>
        <w:t xml:space="preserve">Non è una rottura.</w:t>
      </w:r>
      <w:r>
        <w:t xml:space="preserve"> </w:t>
      </w:r>
      <w:r>
        <w:t xml:space="preserve">Uno schiocco con perdita improvvisa di funzione è un altro percorso.</w:t>
      </w:r>
    </w:p>
    <w:p>
      <w:pPr>
        <w:pStyle w:val="Compact"/>
        <w:numPr>
          <w:ilvl w:val="0"/>
          <w:numId w:val="1008"/>
        </w:numPr>
      </w:pPr>
      <w:r>
        <w:rPr>
          <w:b/>
          <w:bCs/>
        </w:rPr>
        <w:t xml:space="preserve">Non è un dolore neuropatico riferito.</w:t>
      </w:r>
      <w:r>
        <w:t xml:space="preserve"> </w:t>
      </w:r>
      <w:r>
        <w:t xml:space="preserve">Se segue un territorio nervoso, con formicolio e calo di sensibilità, va cercato a monte.</w:t>
      </w:r>
    </w:p>
    <w:p>
      <w:pPr>
        <w:pStyle w:val="FirstParagraph"/>
      </w:pPr>
      <w:r>
        <w:rPr>
          <w:b/>
          <w:bCs/>
        </w:rPr>
        <w:t xml:space="preserve">Le tre cose da ricordare, più una</w:t>
      </w:r>
    </w:p>
    <w:p>
      <w:pPr>
        <w:pStyle w:val="Compact"/>
        <w:numPr>
          <w:ilvl w:val="0"/>
          <w:numId w:val="1009"/>
        </w:numPr>
      </w:pPr>
      <w:r>
        <w:t xml:space="preserve">«Tendinite» descrive una flogosi che spieghi con un antinfiammatorio; «tendinopatia» descrive un tessuto disorganizzato che ha bisogno di carico. Il nome che usi decide cosa fa il paziente per i sei mesi successivi.</w:t>
      </w:r>
    </w:p>
    <w:p>
      <w:pPr>
        <w:pStyle w:val="Compact"/>
        <w:numPr>
          <w:ilvl w:val="0"/>
          <w:numId w:val="1009"/>
        </w:numPr>
      </w:pPr>
      <w:r>
        <w:t xml:space="preserve">Più di otto pazienti su dieci con un gomito doloroso migliorano entro un anno anche senza trattamento: il tuo obiettivo è il tempo, e sono i due che non ci arrivano.</w:t>
      </w:r>
    </w:p>
    <w:p>
      <w:pPr>
        <w:pStyle w:val="Compact"/>
        <w:numPr>
          <w:ilvl w:val="0"/>
          <w:numId w:val="1009"/>
        </w:numPr>
      </w:pPr>
      <w:r>
        <w:t xml:space="preserve">L’ecografia anormale in un tendine muto predice il dolore futuro in poco più di un caso su quattro.</w:t>
      </w:r>
    </w:p>
    <w:p>
      <w:pPr>
        <w:pStyle w:val="Compact"/>
        <w:numPr>
          <w:ilvl w:val="0"/>
          <w:numId w:val="1009"/>
        </w:numPr>
      </w:pPr>
      <w:r>
        <w:rPr>
          <w:b/>
          <w:bCs/>
        </w:rPr>
        <w:t xml:space="preserve">Perché ci sei tu.</w:t>
      </w:r>
      <w:r>
        <w:t xml:space="preserve"> </w:t>
      </w:r>
      <w:r>
        <w:t xml:space="preserve">Più di otto pazienti su dieci con un gomito doloroso stanno bene a un anno anche con il solo consiglio: 49 su 59, cioè l’83%, nel braccio di attesa di uno studio randomizzato su 185 pazienti con epicondilalgia (Smidt,</w:t>
      </w:r>
      <w:r>
        <w:t xml:space="preserve"> </w:t>
      </w:r>
      <w:r>
        <w:rPr>
          <w:i/>
          <w:iCs/>
        </w:rPr>
        <w:t xml:space="preserve">Lancet</w:t>
      </w:r>
      <w:r>
        <w:t xml:space="preserve">, 2002, PMID 11879861). Questo ti autorizza a</w:t>
      </w:r>
      <w:r>
        <w:t xml:space="preserve"> </w:t>
      </w:r>
      <w:r>
        <w:rPr>
          <w:b/>
          <w:bCs/>
        </w:rPr>
        <w:t xml:space="preserve">raccontargli il decorso tipico</w:t>
      </w:r>
      <w:r>
        <w:t xml:space="preserve"> </w:t>
      </w:r>
      <w:r>
        <w:t xml:space="preserve">e a impegnarti sul metodo per arrivarci prima, senza mesi di stop.</w:t>
      </w:r>
      <w:r>
        <w:t xml:space="preserve"> </w:t>
      </w:r>
      <w:r>
        <w:rPr>
          <w:b/>
          <w:bCs/>
        </w:rPr>
        <w:t xml:space="preserve">E ti restringe:</w:t>
      </w:r>
      <w:r>
        <w:t xml:space="preserve"> </w:t>
      </w:r>
      <w:r>
        <w:t xml:space="preserve">non ti autorizza a promettere il tempo — l’83% è una popolazione, non questo paziente — né ad attribuirti un miglioramento che sarebbe arrivato comunque; e ti obbliga a misurare, perché senza marker non sai distinguere il tuo lavoro dal calendario.</w:t>
      </w:r>
    </w:p>
    <w:p>
      <w:r>
        <w:pict>
          <v:rect style="width:0;height:1.5pt" o:hralign="center" o:hrstd="t" o:hr="t"/>
        </w:pict>
      </w:r>
    </w:p>
    <w:bookmarkEnd w:id="20"/>
    <w:bookmarkEnd w:id="21"/>
    <w:bookmarkStart w:id="22" w:name="capitolo-3-le-strutture-in-gioco"/>
    <w:p>
      <w:pPr>
        <w:pStyle w:val="Heading2"/>
      </w:pPr>
      <w:r>
        <w:t xml:space="preserve">Capitolo 3 — Le strutture in gioco</w:t>
      </w:r>
    </w:p>
    <w:p>
      <w:pPr>
        <w:pStyle w:val="BlockText"/>
      </w:pPr>
      <w:r>
        <w:rPr>
          <w:b/>
          <w:bCs/>
        </w:rPr>
        <w:t xml:space="preserve">In una riga:</w:t>
      </w:r>
      <w:r>
        <w:t xml:space="preserve"> </w:t>
      </w:r>
      <w:r>
        <w:t xml:space="preserve">il tendine è l’unica struttura del corpo che porta il carico di un muscolo intero su una sezione grande come un dito e, da sano, non ha quasi niente con cui ripararsi.</w:t>
      </w:r>
    </w:p>
    <w:p>
      <w:pPr>
        <w:pStyle w:val="FirstParagraph"/>
      </w:pPr>
      <w:r>
        <w:t xml:space="preserve">Otto strutture, e per ognuna cosa fa</w:t>
      </w:r>
      <w:r>
        <w:t xml:space="preserve"> </w:t>
      </w:r>
      <w:r>
        <w:rPr>
          <w:b/>
          <w:bCs/>
        </w:rPr>
        <w:t xml:space="preserve">qui</w:t>
      </w:r>
      <w:r>
        <w:t xml:space="preserve">.</w:t>
      </w:r>
    </w:p>
    <w:p>
      <w:pPr>
        <w:pStyle w:val="BodyText"/>
      </w:pPr>
      <w:r>
        <w:rPr>
          <w:b/>
          <w:bCs/>
        </w:rPr>
        <w:t xml:space="preserve">Il tendine.</w:t>
      </w:r>
      <w:r>
        <w:t xml:space="preserve"> </w:t>
      </w:r>
      <w:r>
        <w:t xml:space="preserve">Fasci paralleli di collagene di tipo I dentro una matrice di proteoglicani. Trasmette la forza del muscolo all’osso e immagazzina energia elastica come una molla. Conta qui perché è l’anello che riceve tutta la forza generata a monte, concentrata, migliaia di volte al giorno.</w:t>
      </w:r>
    </w:p>
    <w:p>
      <w:pPr>
        <w:pStyle w:val="BodyText"/>
      </w:pPr>
      <w:r>
        <w:rPr>
          <w:b/>
          <w:bCs/>
        </w:rPr>
        <w:t xml:space="preserve">Il nucleo del tendine, e la chicca.</w:t>
      </w:r>
      <w:r>
        <w:t xml:space="preserve"> </w:t>
      </w:r>
      <w:r>
        <w:t xml:space="preserve">Il centro del tendine è la parte più povera di cellule e di vasi. Quanto si rinnova? La risposta è arrivata misurando il</w:t>
      </w:r>
      <w:r>
        <w:t xml:space="preserve"> </w:t>
      </w:r>
      <w:r>
        <w:rPr>
          <w:b/>
          <w:bCs/>
        </w:rPr>
        <w:t xml:space="preserve">carbonio-14</w:t>
      </w:r>
      <w:r>
        <w:t xml:space="preserve"> </w:t>
      </w:r>
      <w:r>
        <w:t xml:space="preserve">lasciato in circolo dai test nucleari atmosferici degli anni Cinquanta e Sessanta. Su 28 campioni forensi di tendine d’Achille, la concentrazione di carbonio-14 nel nucleo corrispondeva a quella dell’atmosfera di</w:t>
      </w:r>
      <w:r>
        <w:t xml:space="preserve"> </w:t>
      </w:r>
      <w:r>
        <w:rPr>
          <w:b/>
          <w:bCs/>
        </w:rPr>
        <w:t xml:space="preserve">decenni prima</w:t>
      </w:r>
      <w:r>
        <w:t xml:space="preserve"> </w:t>
      </w:r>
      <w:r>
        <w:t xml:space="preserve">del prelievo. In pratica corrispondeva ai primi diciassette anni di vita del donatore. Il muscolo, misurato negli stessi corpi, mostrava invece un ricambio continuo (Heinemeier,</w:t>
      </w:r>
      <w:r>
        <w:t xml:space="preserve"> </w:t>
      </w:r>
      <w:r>
        <w:rPr>
          <w:i/>
          <w:iCs/>
        </w:rPr>
        <w:t xml:space="preserve">FASEB J</w:t>
      </w:r>
      <w:r>
        <w:t xml:space="preserve">, 2013, PMID 23401563).</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w:t>
      </w:r>
      <w:r>
        <w:t xml:space="preserve"> </w:t>
      </w:r>
      <w:r>
        <w:rPr>
          <w:b/>
          <w:bCs/>
        </w:rPr>
        <w:t xml:space="preserve">e solo per il tendine sano</w:t>
      </w:r>
      <w:r>
        <w:t xml:space="preserve"> </w:t>
      </w:r>
      <w:r>
        <w:t xml:space="preserve">— misura diretta su 28 campioni umani, con un metodo indipendente dalle assunzioni biologiche. Nella stessa riga va la prova che restringe: lo</w:t>
      </w:r>
      <w:r>
        <w:t xml:space="preserve"> </w:t>
      </w:r>
      <w:r>
        <w:rPr>
          <w:b/>
          <w:bCs/>
        </w:rPr>
        <w:t xml:space="preserve">stesso laboratorio</w:t>
      </w:r>
      <w:r>
        <w:t xml:space="preserve">, cinque anni dopo, ha confrontato 25 achillei</w:t>
      </w:r>
      <w:r>
        <w:t xml:space="preserve"> </w:t>
      </w:r>
      <w:r>
        <w:rPr>
          <w:b/>
          <w:bCs/>
        </w:rPr>
        <w:t xml:space="preserve">tendinopatici</w:t>
      </w:r>
      <w:r>
        <w:t xml:space="preserve"> </w:t>
      </w:r>
      <w:r>
        <w:t xml:space="preserve">con 10 sani. Nel sano nessun rinnovo in età adulta; nel tendinopatico un rinnovo</w:t>
      </w:r>
      <w:r>
        <w:t xml:space="preserve"> </w:t>
      </w:r>
      <w:r>
        <w:rPr>
          <w:b/>
          <w:bCs/>
        </w:rPr>
        <w:t xml:space="preserve">sostanziale</w:t>
      </w:r>
      <w:r>
        <w:t xml:space="preserve">, con circa metà della matrice sottoposta a ricambio lento e continuo per anni</w:t>
      </w:r>
      <w:r>
        <w:t xml:space="preserve"> </w:t>
      </w:r>
      <w:r>
        <w:rPr>
          <w:b/>
          <w:bCs/>
        </w:rPr>
        <w:t xml:space="preserve">prima</w:t>
      </w:r>
      <w:r>
        <w:t xml:space="preserve"> </w:t>
      </w:r>
      <w:r>
        <w:t xml:space="preserve">dei sintomi (Heinemeier,</w:t>
      </w:r>
      <w:r>
        <w:t xml:space="preserve"> </w:t>
      </w:r>
      <w:r>
        <w:rPr>
          <w:i/>
          <w:iCs/>
        </w:rPr>
        <w:t xml:space="preserve">FASEB J</w:t>
      </w:r>
      <w:r>
        <w:t xml:space="preserve">, 2018, PMID 29570396).</w:t>
      </w:r>
    </w:p>
    <w:p>
      <w:pPr>
        <w:pStyle w:val="FirstParagraph"/>
      </w:pPr>
      <w:r>
        <w:t xml:space="preserve">Il nucleo del tendine sano l’hai formato mentre crescevi. Nel tendine malato, invece, il tessuto si muove, e da prima che facesse male. Quello che togli dal tavolo con il paziente non è quindi «il tessuto non cambia mai», che è falso. È questo:</w:t>
      </w:r>
      <w:r>
        <w:t xml:space="preserve"> </w:t>
      </w:r>
      <w:r>
        <w:rPr>
          <w:b/>
          <w:bCs/>
        </w:rPr>
        <w:t xml:space="preserve">«non lo riporti all’immagine di prima, e non è quello il tuo obiettivo»</w:t>
      </w:r>
      <w:r>
        <w:t xml:space="preserve">. È una posizione più forte, non più debole.</w:t>
      </w:r>
    </w:p>
    <w:p>
      <w:pPr>
        <w:pStyle w:val="BodyText"/>
      </w:pPr>
      <w:r>
        <w:rPr>
          <w:b/>
          <w:bCs/>
        </w:rPr>
        <w:t xml:space="preserve">Il paratenonio e la guaina.</w:t>
      </w:r>
      <w:r>
        <w:t xml:space="preserve"> </w:t>
      </w:r>
      <w:r>
        <w:t xml:space="preserve">Il tessuto che avvolge il tendine e gli permette di scorrere. Quando si irrita dà lo</w:t>
      </w:r>
      <w:r>
        <w:t xml:space="preserve"> </w:t>
      </w:r>
      <w:r>
        <w:rPr>
          <w:b/>
          <w:bCs/>
        </w:rPr>
        <w:t xml:space="preserve">sfregamento</w:t>
      </w:r>
      <w:r>
        <w:t xml:space="preserve"> </w:t>
      </w:r>
      <w:r>
        <w:t xml:space="preserve">che il paziente descrive come uno scrocchio. È la struttura che risponde più in fretta.</w:t>
      </w:r>
    </w:p>
    <w:p>
      <w:pPr>
        <w:pStyle w:val="BodyText"/>
      </w:pPr>
      <w:r>
        <w:rPr>
          <w:b/>
          <w:bCs/>
        </w:rPr>
        <w:t xml:space="preserve">L’entesi — la giunzione con l’osso.</w:t>
      </w:r>
      <w:r>
        <w:t xml:space="preserve"> </w:t>
      </w:r>
      <w:r>
        <w:t xml:space="preserve">Zona di transizione fra tendine, fibrocartilagine e osso. Conta qui perché è il punto dove il tendine riceve</w:t>
      </w:r>
      <w:r>
        <w:t xml:space="preserve"> </w:t>
      </w:r>
      <w:r>
        <w:rPr>
          <w:b/>
          <w:bCs/>
        </w:rPr>
        <w:t xml:space="preserve">compressione</w:t>
      </w:r>
      <w:r>
        <w:t xml:space="preserve"> </w:t>
      </w:r>
      <w:r>
        <w:t xml:space="preserve">oltre alla trazione: quando l’articolazione va in massimo allungamento, il tendine viene schiacciato contro l’osso (Cook e Purdam,</w:t>
      </w:r>
      <w:r>
        <w:t xml:space="preserve"> </w:t>
      </w:r>
      <w:r>
        <w:rPr>
          <w:i/>
          <w:iCs/>
        </w:rPr>
        <w:t xml:space="preserve">Br J Sports Med</w:t>
      </w:r>
      <w:r>
        <w:t xml:space="preserve">, 2012, PMID 22113234).</w:t>
      </w:r>
    </w:p>
    <w:p>
      <w:pPr>
        <w:pStyle w:val="BodyText"/>
      </w:pPr>
      <w:r>
        <w:t xml:space="preserve">Due termini che userai da qui in avanti.</w:t>
      </w:r>
      <w:r>
        <w:t xml:space="preserve"> </w:t>
      </w:r>
      <w:r>
        <w:rPr>
          <w:b/>
          <w:bCs/>
        </w:rPr>
        <w:t xml:space="preserve">Inserzionale</w:t>
      </w:r>
      <w:r>
        <w:t xml:space="preserve"> </w:t>
      </w:r>
      <w:r>
        <w:t xml:space="preserve">vuol dire sull’osso, sul rilievo osseo che il paziente indica con il dito.</w:t>
      </w:r>
      <w:r>
        <w:t xml:space="preserve"> </w:t>
      </w:r>
      <w:r>
        <w:rPr>
          <w:b/>
          <w:bCs/>
        </w:rPr>
        <w:t xml:space="preserve">Medio-portale</w:t>
      </w:r>
      <w:r>
        <w:t xml:space="preserve"> </w:t>
      </w:r>
      <w:r>
        <w:t xml:space="preserve">vuol dire la porzione centrale del tendine, indicativamente due-sei centimetri sopra l’inserzione. È la distinzione che cambia di più quello che fai.</w:t>
      </w:r>
    </w:p>
    <w:p>
      <w:pPr>
        <w:pStyle w:val="BodyText"/>
      </w:pPr>
      <w:r>
        <w:rPr>
          <w:b/>
          <w:bCs/>
        </w:rPr>
        <w:t xml:space="preserve">Dove sta la compressione, in questo paziente.</w:t>
      </w:r>
      <w:r>
        <w:t xml:space="preserve"> </w:t>
      </w:r>
      <w:r>
        <w:t xml:space="preserve">Nessun conteggio di ore o di ripetizioni la vede. La compressione più costosa non è nel gesto: sta nelle</w:t>
      </w:r>
      <w:r>
        <w:t xml:space="preserve"> </w:t>
      </w:r>
      <w:r>
        <w:rPr>
          <w:b/>
          <w:bCs/>
        </w:rPr>
        <w:t xml:space="preserve">posizioni sostenute</w:t>
      </w:r>
      <w:r>
        <w:t xml:space="preserve">, statiche, che durano ore e che il paziente può togliere stasera. Vale come per un anello troppo stretto: non è il gesto a segnare il dito, sono le 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Sede</w:t>
            </w:r>
          </w:p>
        </w:tc>
        <w:tc>
          <w:tcPr/>
          <w:p>
            <w:pPr>
              <w:pStyle w:val="Compact"/>
            </w:pPr>
            <w:r>
              <w:t xml:space="preserve">Posizioni sostenute che comprimono</w:t>
            </w:r>
          </w:p>
        </w:tc>
      </w:tr>
      <w:tr>
        <w:tc>
          <w:tcPr/>
          <w:p>
            <w:pPr>
              <w:pStyle w:val="Compact"/>
            </w:pPr>
            <w:r>
              <w:t xml:space="preserve">Gluteo, anca laterale</w:t>
            </w:r>
          </w:p>
        </w:tc>
        <w:tc>
          <w:tcPr/>
          <w:p>
            <w:pPr>
              <w:pStyle w:val="Compact"/>
            </w:pPr>
            <w:r>
              <w:t xml:space="preserve">Dormire sul fianco, gambe accavallate, appoggio su un’anca</w:t>
            </w:r>
          </w:p>
        </w:tc>
      </w:tr>
      <w:tr>
        <w:tc>
          <w:tcPr/>
          <w:p>
            <w:pPr>
              <w:pStyle w:val="Compact"/>
            </w:pPr>
            <w:r>
              <w:t xml:space="preserve">Achilleo inserzionale</w:t>
            </w:r>
          </w:p>
        </w:tc>
        <w:tc>
          <w:tcPr/>
          <w:p>
            <w:pPr>
              <w:pStyle w:val="Compact"/>
            </w:pPr>
            <w:r>
              <w:t xml:space="preserve">Dorsiflessione massima, contrafforte rigido della scarpa</w:t>
            </w:r>
          </w:p>
        </w:tc>
      </w:tr>
      <w:tr>
        <w:tc>
          <w:tcPr/>
          <w:p>
            <w:pPr>
              <w:pStyle w:val="Compact"/>
            </w:pPr>
            <w:r>
              <w:t xml:space="preserve">Rotuleo prossimale</w:t>
            </w:r>
          </w:p>
        </w:tc>
        <w:tc>
          <w:tcPr/>
          <w:p>
            <w:pPr>
              <w:pStyle w:val="Compact"/>
            </w:pPr>
            <w:r>
              <w:t xml:space="preserve">Flessione profonda di ginocchio mantenuta</w:t>
            </w:r>
          </w:p>
        </w:tc>
      </w:tr>
      <w:tr>
        <w:tc>
          <w:tcPr/>
          <w:p>
            <w:pPr>
              <w:pStyle w:val="Compact"/>
            </w:pPr>
            <w:r>
              <w:t xml:space="preserve">Cuffia</w:t>
            </w:r>
          </w:p>
        </w:tc>
        <w:tc>
          <w:tcPr/>
          <w:p>
            <w:pPr>
              <w:pStyle w:val="Compact"/>
            </w:pPr>
            <w:r>
              <w:t xml:space="preserve">Braccio sostenuto in elevazione o in adduzione forzata</w:t>
            </w:r>
          </w:p>
        </w:tc>
      </w:tr>
    </w:tbl>
    <w:p>
      <w:pPr>
        <w:pStyle w:val="BodyText"/>
      </w:pPr>
      <w:r>
        <w:rPr>
          <w:b/>
          <w:bCs/>
        </w:rPr>
        <w:t xml:space="preserve">Per te:</w:t>
      </w:r>
      <w:r>
        <w:t xml:space="preserve"> </w:t>
      </w:r>
      <w:r>
        <w:t xml:space="preserve">la compressione si cerca nella giornata e nella notte, non nel gesto. La conseguenza più immediata è sullo stretching, che quasi tutti questi pazienti fanno credendo di aiutarsi.</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la compressione all’entesi sia un fattore distinto dalla trazione: il razionale meccanico e istologico è solido, ma la fonte è una revisione narrativa che</w:t>
      </w:r>
      <w:r>
        <w:t xml:space="preserve"> </w:t>
      </w:r>
      <w:r>
        <w:rPr>
          <w:i/>
          <w:iCs/>
        </w:rPr>
        <w:t xml:space="preserve">propone</w:t>
      </w:r>
      <w:r>
        <w:t xml:space="preserve"> </w:t>
      </w:r>
      <w:r>
        <w:t xml:space="preserve">il fattore e non ha misurato lo stretching in nessun paziente (Cook e Purdam, 2012, PMID 22113234).</w:t>
      </w:r>
      <w:r>
        <w:t xml:space="preserve"> </w:t>
      </w:r>
      <w:r>
        <w:rPr>
          <w:b/>
          <w:bCs/>
        </w:rPr>
        <w:t xml:space="preserve">IPOTESI</w:t>
      </w:r>
      <w:r>
        <w:t xml:space="preserve"> </w:t>
      </w:r>
      <w:r>
        <w:rPr>
          <w:i/>
          <w:iCs/>
        </w:rPr>
        <w:t xml:space="preserve">(meccanismo coerente, nessuno studio)</w:t>
      </w:r>
      <w:r>
        <w:t xml:space="preserve"> </w:t>
      </w:r>
      <w:r>
        <w:t xml:space="preserve">la regola «lo stretching peggiora l’inserzionale e migliora il medio-portale», e lo stesso vale per il guadagno che si ottiene togliendo la compressione: il dato più vicino è indiretto e viene da uno studio pilota non controllato — 32% di buoni risultati con il regime eccentrico che carica in dorsiflessione completa, 67% di soddisfatti su 27 pazienti con lo stesso regime senza dorsiflessione (Jonsson,</w:t>
      </w:r>
      <w:r>
        <w:t xml:space="preserve"> </w:t>
      </w:r>
      <w:r>
        <w:rPr>
          <w:i/>
          <w:iCs/>
        </w:rPr>
        <w:t xml:space="preserve">Br J Sports Med</w:t>
      </w:r>
      <w:r>
        <w:t xml:space="preserve">, 2008, PMID 18184750).</w:t>
      </w:r>
      <w:r>
        <w:t xml:space="preserve"> </w:t>
      </w:r>
      <w:r>
        <w:rPr>
          <w:b/>
          <w:bCs/>
        </w:rPr>
        <w:t xml:space="preserve">RAGIONAMENTO</w:t>
      </w:r>
      <w:r>
        <w:t xml:space="preserve"> </w:t>
      </w:r>
      <w:r>
        <w:rPr>
          <w:i/>
          <w:iCs/>
        </w:rPr>
        <w:t xml:space="preserve">(cornice clinica, non una prova)</w:t>
      </w:r>
      <w:r>
        <w:t xml:space="preserve"> </w:t>
      </w:r>
      <w:r>
        <w:t xml:space="preserve">l’elenco per sede: gli autori dichiarano essi stessi che gli studi di qualità mancano (Grimaldi e Fearon,</w:t>
      </w:r>
      <w:r>
        <w:t xml:space="preserve"> </w:t>
      </w:r>
      <w:r>
        <w:rPr>
          <w:i/>
          <w:iCs/>
        </w:rPr>
        <w:t xml:space="preserve">JOSPT</w:t>
      </w:r>
      <w:r>
        <w:t xml:space="preserve">, 2015, PMID 26381486).</w:t>
      </w:r>
    </w:p>
    <w:p>
      <w:pPr>
        <w:pStyle w:val="FirstParagraph"/>
      </w:pPr>
      <w:r>
        <w:rPr>
          <w:b/>
          <w:bCs/>
        </w:rPr>
        <w:t xml:space="preserve">Il ventre muscolare a monte.</w:t>
      </w:r>
      <w:r>
        <w:t xml:space="preserve"> </w:t>
      </w:r>
      <w:r>
        <w:t xml:space="preserve">Genera la forza e ne assorbe una parte. Quanto pesa qui sta nel meccanismo del carico che arriva da un’altra articolazione, in «Cosa si rompe».</w:t>
      </w:r>
    </w:p>
    <w:p>
      <w:pPr>
        <w:pStyle w:val="BodyText"/>
      </w:pPr>
      <w:r>
        <w:rPr>
          <w:b/>
          <w:bCs/>
        </w:rPr>
        <w:t xml:space="preserve">L’articolazione adiacente.</w:t>
      </w:r>
      <w:r>
        <w:t xml:space="preserve"> </w:t>
      </w:r>
      <w:r>
        <w:t xml:space="preserve">Caviglia per l’achilleo, anca per il gluteo, spalla e torace per la cuffia, polso e gomito per gli epicondiloidei. Perché conti — corsa disponibile e posizione di fine corsa — sta nel modello Biomeccanico della «Lettura osteopatica»: è lì che si legge una volta sola.</w:t>
      </w:r>
    </w:p>
    <w:p>
      <w:pPr>
        <w:pStyle w:val="BodyText"/>
      </w:pPr>
      <w:r>
        <w:rPr>
          <w:b/>
          <w:bCs/>
        </w:rPr>
        <w:t xml:space="preserve">I piccoli vasi e le fibre nervose che crescono dentro.</w:t>
      </w:r>
      <w:r>
        <w:t xml:space="preserve"> </w:t>
      </w:r>
      <w:r>
        <w:t xml:space="preserve">Nella tendinopatia il tendine si popola di neovasi, accompagnati da fibre nervose sensitive che nel tendine sano non ci sono.</w:t>
      </w:r>
      <w:r>
        <w:t xml:space="preserve"> </w:t>
      </w:r>
      <w:r>
        <w:rPr>
          <w:b/>
          <w:bCs/>
        </w:rPr>
        <w:t xml:space="preserve">Quanto contino per il dolore non è stabilito, e la risposta più probabile è: poco.</w:t>
      </w:r>
      <w:r>
        <w:t xml:space="preserve"> </w:t>
      </w:r>
      <w:r>
        <w:t xml:space="preserve">Il dato viene da 30 pazienti con achilleo recalcitrante, studiati con ecografia con mezzo di contrasto. La neovascolarizzazione era abbondante, rilevata nell’83% dei casi. E non mostrava nessuna correlazione statistica con dolore o disabilità (De Marchi,</w:t>
      </w:r>
      <w:r>
        <w:t xml:space="preserve"> </w:t>
      </w:r>
      <w:r>
        <w:rPr>
          <w:i/>
          <w:iCs/>
        </w:rPr>
        <w:t xml:space="preserve">KSSTA</w:t>
      </w:r>
      <w:r>
        <w:t xml:space="preserve">, 2018, PMID 29079961). Conta qui per la ragione opposta a quella che ti aspetti: è la voce del referto che ti insegna a</w:t>
      </w:r>
      <w:r>
        <w:t xml:space="preserve"> </w:t>
      </w:r>
      <w:r>
        <w:rPr>
          <w:b/>
          <w:bCs/>
        </w:rPr>
        <w:t xml:space="preserve">non</w:t>
      </w:r>
      <w:r>
        <w:t xml:space="preserve"> </w:t>
      </w:r>
      <w:r>
        <w:t xml:space="preserve">cercare la spiegazione del dolore dentro l’immagine.</w:t>
      </w:r>
    </w:p>
    <w:p>
      <w:pPr>
        <w:pStyle w:val="BodyText"/>
      </w:pPr>
      <w:r>
        <w:rPr>
          <w:b/>
          <w:bCs/>
        </w:rPr>
        <w:t xml:space="preserve">Il sistema nervoso che riceve il segnale.</w:t>
      </w:r>
      <w:r>
        <w:t xml:space="preserve"> </w:t>
      </w:r>
      <w:r>
        <w:t xml:space="preserve">Il tendine non è l’unico posto in cui si decide quanto fa male. La soglia a cui un carico diventa dolore appartiene al sistema che riceve il segnale. In questi pazienti quella soglia si misura abbassata, ma</w:t>
      </w:r>
      <w:r>
        <w:t xml:space="preserve"> </w:t>
      </w:r>
      <w:r>
        <w:rPr>
          <w:b/>
          <w:bCs/>
        </w:rPr>
        <w:t xml:space="preserve">non ovunque e non in tutte le sedi</w:t>
      </w:r>
      <w:r>
        <w:t xml:space="preserve">. Il dato per esteso, con la sua spaccatura per distretto, sta nel meccanismo del sistema del dolore che si è allargato, in «Cosa si rompe»: è lì che serve, ed è lì che si legge una volta sola.</w:t>
      </w:r>
    </w:p>
    <w:p>
      <w:pPr>
        <w:pStyle w:val="BodyText"/>
      </w:pPr>
      <w:r>
        <w:rPr>
          <w:b/>
          <w:bCs/>
        </w:rPr>
        <w:t xml:space="preserve">Le tre cose da ricordare, più una</w:t>
      </w:r>
    </w:p>
    <w:p>
      <w:pPr>
        <w:pStyle w:val="Compact"/>
        <w:numPr>
          <w:ilvl w:val="0"/>
          <w:numId w:val="1010"/>
        </w:numPr>
      </w:pPr>
      <w:r>
        <w:t xml:space="preserve">L’entesi riceve compressione oltre a trazione, e la compressione che costa di più è statica: sta nelle posizioni tenute per ore, non nel gesto.</w:t>
      </w:r>
    </w:p>
    <w:p>
      <w:pPr>
        <w:pStyle w:val="Compact"/>
        <w:numPr>
          <w:ilvl w:val="0"/>
          <w:numId w:val="1010"/>
        </w:numPr>
      </w:pPr>
      <w:r>
        <w:t xml:space="preserve">I vasi e le fibre nervose cresciuti dentro il tendine malato non spiegano quanto fa male: tendini pieni di neovasi restano indolori.</w:t>
      </w:r>
    </w:p>
    <w:p>
      <w:pPr>
        <w:pStyle w:val="Compact"/>
        <w:numPr>
          <w:ilvl w:val="0"/>
          <w:numId w:val="1010"/>
        </w:numPr>
      </w:pPr>
      <w:r>
        <w:t xml:space="preserve">L’articolazione a monte non «scarica tensione»: decide in che punto della corsa il tendine lavora e quanta compressione prende.</w:t>
      </w:r>
    </w:p>
    <w:p>
      <w:pPr>
        <w:pStyle w:val="Compact"/>
        <w:numPr>
          <w:ilvl w:val="0"/>
          <w:numId w:val="1010"/>
        </w:numPr>
      </w:pPr>
      <w:r>
        <w:rPr>
          <w:b/>
          <w:bCs/>
        </w:rPr>
        <w:t xml:space="preserve">Perché ci sei tu.</w:t>
      </w:r>
      <w:r>
        <w:t xml:space="preserve"> </w:t>
      </w:r>
      <w:r>
        <w:t xml:space="preserve">Il nucleo del tendine</w:t>
      </w:r>
      <w:r>
        <w:t xml:space="preserve"> </w:t>
      </w:r>
      <w:r>
        <w:rPr>
          <w:b/>
          <w:bCs/>
        </w:rPr>
        <w:t xml:space="preserve">sano</w:t>
      </w:r>
      <w:r>
        <w:t xml:space="preserve"> </w:t>
      </w:r>
      <w:r>
        <w:t xml:space="preserve">si forma durante la crescita e non viene più rinnovato; nel tendine</w:t>
      </w:r>
      <w:r>
        <w:t xml:space="preserve"> </w:t>
      </w:r>
      <w:r>
        <w:rPr>
          <w:b/>
          <w:bCs/>
        </w:rPr>
        <w:t xml:space="preserve">tendinopatico</w:t>
      </w:r>
      <w:r>
        <w:t xml:space="preserve">, invece, un ricambio sostanziale era in corso da anni prima dei sintomi (Heinemeier, 2013, PMID 23401563; Heinemeier, 2018, PMID 29570396). Questo ti autorizza a togliere dal tavolo, con il paziente, la promessa di riportare il tendine all’immagine di prima — che è la promessa che nessuno mantiene e che lo tiene fermo in attesa.</w:t>
      </w:r>
      <w:r>
        <w:t xml:space="preserve"> </w:t>
      </w:r>
      <w:r>
        <w:rPr>
          <w:b/>
          <w:bCs/>
        </w:rPr>
        <w:t xml:space="preserve">E ti restringe:</w:t>
      </w:r>
      <w:r>
        <w:t xml:space="preserve"> </w:t>
      </w:r>
      <w:r>
        <w:t xml:space="preserve">non ti autorizza a dire che il tessuto non cambia, perché nel tendine malato cambia; e non ti autorizza a promettere che cambi grazie a te.</w:t>
      </w:r>
    </w:p>
    <w:p>
      <w:r>
        <w:pict>
          <v:rect style="width:0;height:1.5pt" o:hralign="center" o:hrstd="t" o:hr="t"/>
        </w:pict>
      </w:r>
    </w:p>
    <w:bookmarkEnd w:id="22"/>
    <w:bookmarkStart w:id="23"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 tendine sano è un tessuto che si tara sull’uso, e la taratura richiede settimane in salita e giorni in discesa.</w:t>
      </w:r>
    </w:p>
    <w:p>
      <w:pPr>
        <w:pStyle w:val="FirstParagraph"/>
      </w:pPr>
      <w:r>
        <w:t xml:space="preserve">La sequenza, in ordine.</w:t>
      </w:r>
    </w:p>
    <w:p>
      <w:pPr>
        <w:pStyle w:val="Compact"/>
        <w:numPr>
          <w:ilvl w:val="0"/>
          <w:numId w:val="1011"/>
        </w:numPr>
      </w:pPr>
      <w:r>
        <w:rPr>
          <w:b/>
          <w:bCs/>
        </w:rPr>
        <w:t xml:space="preserve">Il muscolo genera forza.</w:t>
      </w:r>
      <w:r>
        <w:t xml:space="preserve"> </w:t>
      </w:r>
      <w:r>
        <w:t xml:space="preserve">La forza arriva al tendine come trazione lungo l’asse delle fibre.</w:t>
      </w:r>
    </w:p>
    <w:p>
      <w:pPr>
        <w:pStyle w:val="Compact"/>
        <w:numPr>
          <w:ilvl w:val="0"/>
          <w:numId w:val="1011"/>
        </w:numPr>
      </w:pPr>
      <w:r>
        <w:rPr>
          <w:b/>
          <w:bCs/>
        </w:rPr>
        <w:t xml:space="preserve">Il tendine si allunga e restituisce.</w:t>
      </w:r>
      <w:r>
        <w:t xml:space="preserve"> </w:t>
      </w:r>
      <w:r>
        <w:t xml:space="preserve">Si comporta come una molla: immagazzina energia elastica nella fase di caricamento e la restituisce in quella di spinta. Quanta ne restituisce dipende dalla sua</w:t>
      </w:r>
      <w:r>
        <w:t xml:space="preserve"> </w:t>
      </w:r>
      <w:r>
        <w:rPr>
          <w:b/>
          <w:bCs/>
        </w:rPr>
        <w:t xml:space="preserve">rigidità</w:t>
      </w:r>
      <w:r>
        <w:t xml:space="preserve">.</w:t>
      </w:r>
    </w:p>
    <w:p>
      <w:pPr>
        <w:pStyle w:val="Compact"/>
        <w:numPr>
          <w:ilvl w:val="0"/>
          <w:numId w:val="1011"/>
        </w:numPr>
      </w:pPr>
      <w:r>
        <w:rPr>
          <w:b/>
          <w:bCs/>
        </w:rPr>
        <w:t xml:space="preserve">Le cellule leggono la deformazione.</w:t>
      </w:r>
      <w:r>
        <w:t xml:space="preserve"> </w:t>
      </w:r>
      <w:r>
        <w:t xml:space="preserve">I tenociti — le cellule del tendine — percepiscono lo stiramento del tessuto attorno a loro. In base a quello regolano la produzione di collagene e di matrice. È il meccanismo con cui il tessuto sa quanto lavoro gli viene chiesto.</w:t>
      </w:r>
    </w:p>
    <w:p>
      <w:pPr>
        <w:pStyle w:val="Compact"/>
        <w:numPr>
          <w:ilvl w:val="0"/>
          <w:numId w:val="1011"/>
        </w:numPr>
      </w:pPr>
      <w:r>
        <w:rPr>
          <w:b/>
          <w:bCs/>
        </w:rPr>
        <w:t xml:space="preserve">Il tessuto si adatta.</w:t>
      </w:r>
      <w:r>
        <w:t xml:space="preserve"> </w:t>
      </w:r>
      <w:r>
        <w:t xml:space="preserve">Con un carico regolare e abbastanza intenso, il tendine diventa più rigido e leggermente più grosso. Il dato viene da 27 studi, con 37 interventi e 264 partecipanti sani: otto o più settimane di allenamento hanno aumentato la rigidità del tendine con una dimensione d’effetto di 0,70, e la sezione trasversa con una dimensione di 0,24. La variabile che comandava l’adattamento era</w:t>
      </w:r>
      <w:r>
        <w:t xml:space="preserve"> </w:t>
      </w:r>
      <w:r>
        <w:rPr>
          <w:b/>
          <w:bCs/>
        </w:rPr>
        <w:t xml:space="preserve">l’intensità del carico</w:t>
      </w:r>
      <w:r>
        <w:t xml:space="preserve">, non il tipo di contrazione (Bohm,</w:t>
      </w:r>
      <w:r>
        <w:t xml:space="preserve"> </w:t>
      </w:r>
      <w:r>
        <w:rPr>
          <w:i/>
          <w:iCs/>
        </w:rPr>
        <w:t xml:space="preserve">Sports Med Open</w:t>
      </w:r>
      <w:r>
        <w:t xml:space="preserve">, 2015, PMID 27747846).</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meta-analisi di studi d’intervento su adulti sani, con misure in vivo di rigidità, modulo elastico e sezione.</w:t>
      </w:r>
    </w:p>
    <w:p>
      <w:pPr>
        <w:pStyle w:val="Compact"/>
        <w:numPr>
          <w:ilvl w:val="0"/>
          <w:numId w:val="1012"/>
        </w:numPr>
      </w:pPr>
      <w:r>
        <w:rPr>
          <w:b/>
          <w:bCs/>
        </w:rPr>
        <w:t xml:space="preserve">Il recupero fra un carico e l’altro dura giorni, non ore.</w:t>
      </w:r>
      <w:r>
        <w:t xml:space="preserve"> </w:t>
      </w:r>
      <w:r>
        <w:t xml:space="preserve">Dopo un’ora di esercizio la sintesi di collagene del tendine rotuleo umano sale già a 6 ore. Fa</w:t>
      </w:r>
      <w:r>
        <w:t xml:space="preserve"> </w:t>
      </w:r>
      <w:r>
        <w:rPr>
          <w:b/>
          <w:bCs/>
        </w:rPr>
        <w:t xml:space="preserve">picco a 24</w:t>
      </w:r>
      <w:r>
        <w:t xml:space="preserve"> </w:t>
      </w:r>
      <w:r>
        <w:t xml:space="preserve">e resta elevata</w:t>
      </w:r>
      <w:r>
        <w:t xml:space="preserve"> </w:t>
      </w:r>
      <w:r>
        <w:rPr>
          <w:b/>
          <w:bCs/>
        </w:rPr>
        <w:t xml:space="preserve">a 72</w:t>
      </w:r>
      <w:r>
        <w:t xml:space="preserve"> </w:t>
      </w:r>
      <w:r>
        <w:t xml:space="preserve">(Miller,</w:t>
      </w:r>
      <w:r>
        <w:t xml:space="preserve"> </w:t>
      </w:r>
      <w:r>
        <w:rPr>
          <w:i/>
          <w:iCs/>
        </w:rPr>
        <w:t xml:space="preserve">J Physiol</w:t>
      </w:r>
      <w:r>
        <w:t xml:space="preserve">, 2005, PMID 16002437). È il motivo fisiologico per cui la capacità si costruisce in settimane.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misura diretta su biopsia umana; salto di popolazione da dichiarare, giovani sani e non pazienti. E il confine: 72 ore è ciò che è stato</w:t>
      </w:r>
      <w:r>
        <w:t xml:space="preserve"> </w:t>
      </w:r>
      <w:r>
        <w:rPr>
          <w:b/>
          <w:bCs/>
        </w:rPr>
        <w:t xml:space="preserve">misurato in uno studio</w:t>
      </w:r>
      <w:r>
        <w:t xml:space="preserve">, non un intervallo da prescrivere — quello è Procedura.</w:t>
      </w:r>
    </w:p>
    <w:p>
      <w:pPr>
        <w:pStyle w:val="Compact"/>
        <w:numPr>
          <w:ilvl w:val="0"/>
          <w:numId w:val="1013"/>
        </w:numPr>
      </w:pPr>
      <w:r>
        <w:rPr>
          <w:b/>
          <w:bCs/>
        </w:rPr>
        <w:t xml:space="preserve">L’adattamento è lento e asimmetrico.</w:t>
      </w:r>
      <w:r>
        <w:t xml:space="preserve"> </w:t>
      </w:r>
      <w:r>
        <w:t xml:space="preserve">Le settimane necessarie per guadagnare rigidità sono molte più dei giorni necessari per perderla quando il carico si ferma. È il motivo per cui la ripresa dopo uno stop è il momento più pericoloso di tutto il percorso, e funziona come la temperatura di casa: ore per salire, una finestra aperta per scendere.</w:t>
      </w:r>
    </w:p>
    <w:p>
      <w:pPr>
        <w:pStyle w:val="FirstParagraph"/>
      </w:pPr>
      <w:r>
        <w:rPr>
          <w:b/>
          <w:bCs/>
        </w:rPr>
        <w:t xml:space="preserve">Per te:</w:t>
      </w:r>
      <w:r>
        <w:t xml:space="preserve"> </w:t>
      </w:r>
      <w:r>
        <w:t xml:space="preserve">la conversazione con il paziente si sposta da</w:t>
      </w:r>
      <w:r>
        <w:t xml:space="preserve"> </w:t>
      </w:r>
      <w:r>
        <w:rPr>
          <w:i/>
          <w:iCs/>
        </w:rPr>
        <w:t xml:space="preserve">«quale esercizio devo fare»</w:t>
      </w:r>
      <w:r>
        <w:t xml:space="preserve"> </w:t>
      </w:r>
      <w:r>
        <w:t xml:space="preserve">a</w:t>
      </w:r>
      <w:r>
        <w:t xml:space="preserve"> </w:t>
      </w:r>
      <w:r>
        <w:rPr>
          <w:i/>
          <w:iCs/>
        </w:rPr>
        <w:t xml:space="preserve">«quanto pesa quello che fai»</w:t>
      </w:r>
      <w:r>
        <w:t xml:space="preserve">. E il corollario è che l’eccentrico non è magico: nella fisiologia dell’adattamento conta l’intensità, e il tipo di contrazione non ha fatto differenza.</w:t>
      </w:r>
    </w:p>
    <w:p>
      <w:pPr>
        <w:pStyle w:val="BodyText"/>
      </w:pPr>
      <w:r>
        <w:t xml:space="preserve">Questo è il sistema che funziona. Ora vediamo dove si rompe.</w:t>
      </w:r>
    </w:p>
    <w:p>
      <w:pPr>
        <w:pStyle w:val="BodyText"/>
      </w:pPr>
      <w:r>
        <w:rPr>
          <w:b/>
          <w:bCs/>
        </w:rPr>
        <w:t xml:space="preserve">Le tre cose da ricordare, più una</w:t>
      </w:r>
    </w:p>
    <w:p>
      <w:pPr>
        <w:pStyle w:val="Compact"/>
        <w:numPr>
          <w:ilvl w:val="0"/>
          <w:numId w:val="1014"/>
        </w:numPr>
      </w:pPr>
      <w:r>
        <w:t xml:space="preserve">Il tendine è una molla che si tara sull’uso: se l’uso cambia, la taratura è indietro rispetto alla richiesta.</w:t>
      </w:r>
    </w:p>
    <w:p>
      <w:pPr>
        <w:pStyle w:val="Compact"/>
        <w:numPr>
          <w:ilvl w:val="0"/>
          <w:numId w:val="1014"/>
        </w:numPr>
      </w:pPr>
      <w:r>
        <w:t xml:space="preserve">La cellula del tendine legge la deformazione, non l’intenzione: reagisce a quanto il tessuto viene stirato, non a quanto il paziente si impegna.</w:t>
      </w:r>
    </w:p>
    <w:p>
      <w:pPr>
        <w:pStyle w:val="Compact"/>
        <w:numPr>
          <w:ilvl w:val="0"/>
          <w:numId w:val="1014"/>
        </w:numPr>
      </w:pPr>
      <w:r>
        <w:t xml:space="preserve">Si guadagna rigidità in settimane e la si perde in giorni: l’asimmetria è tutta la clinica di questa condizione.</w:t>
      </w:r>
    </w:p>
    <w:p>
      <w:pPr>
        <w:pStyle w:val="Compact"/>
        <w:numPr>
          <w:ilvl w:val="0"/>
          <w:numId w:val="1014"/>
        </w:numPr>
      </w:pPr>
      <w:r>
        <w:rPr>
          <w:b/>
          <w:bCs/>
        </w:rPr>
        <w:t xml:space="preserve">Perché ci sei tu.</w:t>
      </w:r>
      <w:r>
        <w:t xml:space="preserve"> </w:t>
      </w:r>
      <w:r>
        <w:t xml:space="preserve">L’adattamento del tendine dipende dall’intensità del carico, non dal tipo di contrazione (Bohm, 2015, PMID 27747846). Questo ti autorizza a spostare la discussione dal nome dell’esercizio alla sua dose. Non ti autorizza a prescrivere un’intensità che non hai misurato su questo paziente: il dato dice quale variabile conta, non quale numero mettere.</w:t>
      </w:r>
    </w:p>
    <w:p>
      <w:r>
        <w:pict>
          <v:rect style="width:0;height:1.5pt" o:hralign="center" o:hrstd="t" o:hr="t"/>
        </w:pict>
      </w:r>
    </w:p>
    <w:bookmarkEnd w:id="23"/>
    <w:bookmarkStart w:id="29"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meccanismi, e nessuno di loro è «il tendine si è infiammato».</w:t>
      </w:r>
    </w:p>
    <w:p>
      <w:pPr>
        <w:pStyle w:val="FirstParagraph"/>
      </w:pPr>
      <w:r>
        <w:rPr>
          <w:b/>
          <w:bCs/>
        </w:rPr>
        <w:t xml:space="preserve">L’ordine è quello in cui i meccanismi si incastrano nella storia del paziente</w:t>
      </w:r>
      <w:r>
        <w:t xml:space="preserve">, non una classifica di solidità. Il primo apre. Il secondo è quello che il tessuto ne fa. Il terzo è quello che il sistema nervoso ne fa. Il quarto è quello che il percorso di cura ne fa. Il quinto è quello che noi ci mettiamo.</w:t>
      </w:r>
    </w:p>
    <w:p>
      <w:pPr>
        <w:pStyle w:val="BodyText"/>
      </w:pPr>
      <w:r>
        <w:t xml:space="preserve">Le etichette te le dà ogni box, e non seguono questa fila. Il</w:t>
      </w:r>
      <w:r>
        <w:t xml:space="preserve"> </w:t>
      </w:r>
      <w:r>
        <w:rPr>
          <w:b/>
          <w:bCs/>
        </w:rPr>
        <w:t xml:space="preserve">quarto</w:t>
      </w:r>
      <w:r>
        <w:t xml:space="preserve"> </w:t>
      </w:r>
      <w:r>
        <w:t xml:space="preserve">è quello con le prove migliori del documento. Il</w:t>
      </w:r>
      <w:r>
        <w:t xml:space="preserve"> </w:t>
      </w:r>
      <w:r>
        <w:rPr>
          <w:b/>
          <w:bCs/>
        </w:rPr>
        <w:t xml:space="preserve">quinto</w:t>
      </w:r>
      <w:r>
        <w:t xml:space="preserve"> </w:t>
      </w:r>
      <w:r>
        <w:t xml:space="preserve">— il carico che arriva da un’altra articolazione, quello per cui il paziente viene da noi — è il meno dimostrato dei cinque. La Road Map di «Come ragiono davanti a questo paziente» li pesa in un ordine ancora diverso, che è l’ordine dell’indagine.</w:t>
      </w:r>
    </w:p>
    <w:p>
      <w:pPr>
        <w:pStyle w:val="BodyText"/>
      </w:pPr>
      <w:r>
        <w:rPr>
          <w:b/>
          <w:bCs/>
        </w:rPr>
        <w:t xml:space="preserve">Come si chiama questo dolore.</w:t>
      </w:r>
      <w:r>
        <w:t xml:space="preserve"> </w:t>
      </w:r>
      <w:r>
        <w:t xml:space="preserve">In stragrande maggioranza è</w:t>
      </w:r>
      <w:r>
        <w:t xml:space="preserve"> </w:t>
      </w:r>
      <w:r>
        <w:rPr>
          <w:b/>
          <w:bCs/>
        </w:rPr>
        <w:t xml:space="preserve">nocicettivo e carico-dipendente</w:t>
      </w:r>
      <w:r>
        <w:t xml:space="preserve">: segue il carico, si scalda, torna la sera. Se segue un territorio nervoso, formicola e cala la sensibilità, è</w:t>
      </w:r>
      <w:r>
        <w:t xml:space="preserve"> </w:t>
      </w:r>
      <w:r>
        <w:rPr>
          <w:b/>
          <w:bCs/>
        </w:rPr>
        <w:t xml:space="preserve">neuropatico</w:t>
      </w:r>
      <w:r>
        <w:t xml:space="preserve">: non è nostro, e si cerca a monte. Il quadro</w:t>
      </w:r>
      <w:r>
        <w:t xml:space="preserve"> </w:t>
      </w:r>
      <w:r>
        <w:rPr>
          <w:b/>
          <w:bCs/>
        </w:rPr>
        <w:t xml:space="preserve">nociplastico</w:t>
      </w:r>
      <w:r>
        <w:t xml:space="preserve"> </w:t>
      </w:r>
      <w:r>
        <w:t xml:space="preserve">— dolore diffuso, ipersensibilità, sonno e fatica alterati — qui è</w:t>
      </w:r>
      <w:r>
        <w:t xml:space="preserve"> </w:t>
      </w:r>
      <w:r>
        <w:rPr>
          <w:b/>
          <w:bCs/>
        </w:rPr>
        <w:t xml:space="preserve">raro</w:t>
      </w:r>
      <w:r>
        <w:t xml:space="preserve">, e i criteri completi mancano quasi sempre. Non è la fase avanzata naturale degli altri, ed è un errore trattarlo come il capolinea a cui tutti arrivano.</w:t>
      </w:r>
    </w:p>
    <w:bookmarkStart w:id="24" w:name="il-carico-che-ha-superato-la-capacità"/>
    <w:p>
      <w:pPr>
        <w:pStyle w:val="Heading3"/>
      </w:pPr>
      <w:r>
        <w:t xml:space="preserve">1. Il carico che ha superato la capacità</w:t>
      </w:r>
    </w:p>
    <w:p>
      <w:pPr>
        <w:pStyle w:val="FirstParagraph"/>
      </w:pPr>
      <w:r>
        <w:rPr>
          <w:b/>
          <w:bCs/>
        </w:rPr>
        <w:t xml:space="preserve">La sequenza.</w:t>
      </w:r>
    </w:p>
    <w:p>
      <w:pPr>
        <w:pStyle w:val="Compact"/>
        <w:numPr>
          <w:ilvl w:val="0"/>
          <w:numId w:val="1015"/>
        </w:numPr>
      </w:pPr>
      <w:r>
        <w:t xml:space="preserve">Il tendine ha una capacità, costruita dal carico degli ultimi mesi.</w:t>
      </w:r>
    </w:p>
    <w:p>
      <w:pPr>
        <w:pStyle w:val="Compact"/>
        <w:numPr>
          <w:ilvl w:val="0"/>
          <w:numId w:val="1015"/>
        </w:numPr>
      </w:pPr>
      <w:r>
        <w:t xml:space="preserve">Qualcosa cambia: più ore, più intensità, un attrezzo nuovo, una ripresa dopo uno stop, un cantiere finito di corsa.</w:t>
      </w:r>
    </w:p>
    <w:p>
      <w:pPr>
        <w:pStyle w:val="Compact"/>
        <w:numPr>
          <w:ilvl w:val="0"/>
          <w:numId w:val="1015"/>
        </w:numPr>
      </w:pPr>
      <w:r>
        <w:t xml:space="preserve">La richiesta supera la capacità per un tempo abbastanza lungo.</w:t>
      </w:r>
    </w:p>
    <w:p>
      <w:pPr>
        <w:pStyle w:val="Compact"/>
        <w:numPr>
          <w:ilvl w:val="0"/>
          <w:numId w:val="1015"/>
        </w:numPr>
      </w:pPr>
      <w:r>
        <w:t xml:space="preserve">Il tessuto risponde: la matrice si idrata, il tendine si ingrossa localmente, la soglia di dolore al carico scende.</w:t>
      </w:r>
    </w:p>
    <w:p>
      <w:pPr>
        <w:pStyle w:val="Compact"/>
        <w:numPr>
          <w:ilvl w:val="0"/>
          <w:numId w:val="1015"/>
        </w:numPr>
      </w:pPr>
      <w:r>
        <w:t xml:space="preserve">Il paziente riduce il carico, il dolore cala, riprende allo stesso livello di prima, e il ciclo ricomincia.</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DIMOSTRATO</w:t>
      </w:r>
      <w:r>
        <w:t xml:space="preserve"> </w:t>
      </w:r>
      <w:r>
        <w:rPr>
          <w:i/>
          <w:iCs/>
        </w:rPr>
        <w:t xml:space="preserve">(studi sull’uomo, solidi)</w:t>
      </w:r>
      <w:r>
        <w:t xml:space="preserve"> </w:t>
      </w:r>
      <w:r>
        <w:t xml:space="preserve">che il tendine si adatti al carico e che l’intensità del carico comandi l’adattamento (Bohm, 2015, PMID 27747846).</w:t>
      </w:r>
      <w:r>
        <w:t xml:space="preserve"> </w:t>
      </w:r>
      <w:r>
        <w:rPr>
          <w:b/>
          <w:bCs/>
        </w:rPr>
        <w:t xml:space="preserve">IPOTESI</w:t>
      </w:r>
      <w:r>
        <w:t xml:space="preserve"> </w:t>
      </w:r>
      <w:r>
        <w:rPr>
          <w:i/>
          <w:iCs/>
        </w:rPr>
        <w:t xml:space="preserve">(meccanismo coerente, nessuno studio)</w:t>
      </w:r>
      <w:r>
        <w:t xml:space="preserve"> </w:t>
      </w:r>
      <w:r>
        <w:t xml:space="preserve">che in</w:t>
      </w:r>
      <w:r>
        <w:t xml:space="preserve"> </w:t>
      </w:r>
      <w:r>
        <w:rPr>
          <w:i/>
          <w:iCs/>
        </w:rPr>
        <w:t xml:space="preserve">questo</w:t>
      </w:r>
      <w:r>
        <w:t xml:space="preserve"> </w:t>
      </w:r>
      <w:r>
        <w:t xml:space="preserve">paziente sia stato quel preciso cambiamento a produrre il sintomo: nessuno ha misurato prospetticamente il carico individuale prima dell’esordio in una coorte clinica.</w:t>
      </w:r>
    </w:p>
    <w:p>
      <w:pPr>
        <w:pStyle w:val="FirstParagraph"/>
      </w:pPr>
      <w:r>
        <w:rPr>
          <w:b/>
          <w:bCs/>
        </w:rPr>
        <w:t xml:space="preserve">Come si vede addosso al paziente.</w:t>
      </w:r>
      <w:r>
        <w:t xml:space="preserve"> </w:t>
      </w:r>
      <w:r>
        <w:t xml:space="preserve">Sa dirti una data o una settimana. Nelle sei settimane precedenti c’è stato un cambiamento, e quasi mai è un aumento del</w:t>
      </w:r>
      <w:r>
        <w:t xml:space="preserve"> </w:t>
      </w:r>
      <w:r>
        <w:rPr>
          <w:i/>
          <w:iCs/>
        </w:rPr>
        <w:t xml:space="preserve">totale</w:t>
      </w:r>
      <w:r>
        <w:t xml:space="preserve">: è un cambiamento del</w:t>
      </w:r>
      <w:r>
        <w:t xml:space="preserve"> </w:t>
      </w:r>
      <w:r>
        <w:rPr>
          <w:i/>
          <w:iCs/>
        </w:rPr>
        <w:t xml:space="preserve">tipo</w:t>
      </w:r>
      <w:r>
        <w:t xml:space="preserve"> </w:t>
      </w:r>
      <w:r>
        <w:t xml:space="preserve">— la scala al posto dell’ascensore, il trapano nuovo, il figlio da portare in braccio. Il dolore compare alla prima ripetizione, si scalda, e torna la sera.</w:t>
      </w:r>
    </w:p>
    <w:p>
      <w:pPr>
        <w:pStyle w:val="BodyText"/>
      </w:pPr>
      <w:r>
        <w:rPr>
          <w:b/>
          <w:bCs/>
        </w:rPr>
        <w:t xml:space="preserve">Il callo che si spacca.</w:t>
      </w:r>
      <w:r>
        <w:t xml:space="preserve"> </w:t>
      </w:r>
      <w:r>
        <w:t xml:space="preserve">Cresce con l’uso quotidiano, si spacca quando in un giorno fai il lavoro di un mese.</w:t>
      </w:r>
    </w:p>
    <w:bookmarkEnd w:id="24"/>
    <w:bookmarkStart w:id="25" w:name="X92f2c2c9525096f88d94474e37f87035ccfd167"/>
    <w:p>
      <w:pPr>
        <w:pStyle w:val="Heading3"/>
      </w:pPr>
      <w:r>
        <w:t xml:space="preserve">2. Il tessuto che cambia, e non torna indietro</w:t>
      </w:r>
    </w:p>
    <w:p>
      <w:pPr>
        <w:pStyle w:val="FirstParagraph"/>
      </w:pPr>
      <w:r>
        <w:rPr>
          <w:b/>
          <w:bCs/>
        </w:rPr>
        <w:t xml:space="preserve">La sequenza.</w:t>
      </w:r>
    </w:p>
    <w:p>
      <w:pPr>
        <w:pStyle w:val="Compact"/>
        <w:numPr>
          <w:ilvl w:val="0"/>
          <w:numId w:val="1016"/>
        </w:numPr>
      </w:pPr>
      <w:r>
        <w:t xml:space="preserve">Il sovraccarico ripetuto produce una risposta reattiva: matrice più idratata, tendine più spesso, struttura ancora conservata.</w:t>
      </w:r>
    </w:p>
    <w:p>
      <w:pPr>
        <w:pStyle w:val="Compact"/>
        <w:numPr>
          <w:ilvl w:val="0"/>
          <w:numId w:val="1016"/>
        </w:numPr>
      </w:pPr>
      <w:r>
        <w:t xml:space="preserve">Se il carico non cambia, la risposta si prolunga: le cellule si attivano, la matrice si disorganizza, compaiono neovasi.</w:t>
      </w:r>
    </w:p>
    <w:p>
      <w:pPr>
        <w:pStyle w:val="Compact"/>
        <w:numPr>
          <w:ilvl w:val="0"/>
          <w:numId w:val="1016"/>
        </w:numPr>
      </w:pPr>
      <w:r>
        <w:t xml:space="preserve">Nelle aree più colpite il collagene si rompe in modo permanente e il tessuto diventa degenerativo. Quella parte non torna indietro.</w:t>
      </w:r>
    </w:p>
    <w:p>
      <w:pPr>
        <w:pStyle w:val="Compact"/>
        <w:numPr>
          <w:ilvl w:val="0"/>
          <w:numId w:val="1016"/>
        </w:numPr>
      </w:pPr>
      <w:r>
        <w:t xml:space="preserve">Il tendine continua a funzionare grazie alla parte sana attorno, che si ipertrofizza.</w:t>
      </w:r>
    </w:p>
    <w:p>
      <w:pPr>
        <w:pStyle w:val="FirstParagraph"/>
      </w:pPr>
      <w:r>
        <w:t xml:space="preserve">Questo è il</w:t>
      </w:r>
      <w:r>
        <w:t xml:space="preserve"> </w:t>
      </w:r>
      <w:r>
        <w:rPr>
          <w:b/>
          <w:bCs/>
        </w:rPr>
        <w:t xml:space="preserve">continuum</w:t>
      </w:r>
      <w:r>
        <w:t xml:space="preserve"> </w:t>
      </w:r>
      <w:r>
        <w:t xml:space="preserve">di Cook e Purdam: reattivo, disrepair, degenerativo, con passaggi in entrambe le direzioni tranne l’ultimo (Cook e Purdam,</w:t>
      </w:r>
      <w:r>
        <w:t xml:space="preserve"> </w:t>
      </w:r>
      <w:r>
        <w:rPr>
          <w:i/>
          <w:iCs/>
        </w:rPr>
        <w:t xml:space="preserve">Br J Sports Med</w:t>
      </w:r>
      <w:r>
        <w:t xml:space="preserve">, 2009, PMID 18812414).</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il nucleo del tendine non venga rinnovato dopo la crescita (Heinemeier, 2013, PMID 23401563).</w:t>
      </w:r>
      <w:r>
        <w:t xml:space="preserve"> </w:t>
      </w:r>
      <w:r>
        <w:rPr>
          <w:b/>
          <w:bCs/>
        </w:rPr>
        <w:t xml:space="preserve">PROBABILE</w:t>
      </w:r>
      <w:r>
        <w:t xml:space="preserve"> </w:t>
      </w:r>
      <w:r>
        <w:rPr>
          <w:i/>
          <w:iCs/>
        </w:rPr>
        <w:t xml:space="preserve">(razionale forte, prove parziali)</w:t>
      </w:r>
      <w:r>
        <w:t xml:space="preserve"> </w:t>
      </w:r>
      <w:r>
        <w:t xml:space="preserve">il continuum come modello: è un modello di patologia proposto per essere valutato, coerente con l’istologia, e non validato prospetticamente su coorti cliniche. Gli stessi autori lo presentano come proposta.</w:t>
      </w:r>
    </w:p>
    <w:p>
      <w:pPr>
        <w:pStyle w:val="FirstParagraph"/>
      </w:pPr>
      <w:r>
        <w:rPr>
          <w:b/>
          <w:bCs/>
        </w:rPr>
        <w:t xml:space="preserve">Come si vede addosso al paziente.</w:t>
      </w:r>
      <w:r>
        <w:t xml:space="preserve"> </w:t>
      </w:r>
      <w:r>
        <w:t xml:space="preserve">Tendine visibilmente e palpabilmente ingrossato in un punto. Dolore che si accende in fretta e si spegne in fretta. Storia lunga con più cicli. È il paziente che ti chiede se «si è consumato».</w:t>
      </w:r>
    </w:p>
    <w:p>
      <w:pPr>
        <w:pStyle w:val="BodyText"/>
      </w:pPr>
      <w:r>
        <w:rPr>
          <w:b/>
          <w:bCs/>
        </w:rPr>
        <w:t xml:space="preserve">Il taglio nel fianco della gomma.</w:t>
      </w:r>
      <w:r>
        <w:t xml:space="preserve"> </w:t>
      </w:r>
      <w:r>
        <w:t xml:space="preserve">La gomma con un taglio non si richiude mai, e la macchina cammina lo stesso se la carichi in modo sensato.</w:t>
      </w:r>
    </w:p>
    <w:bookmarkEnd w:id="25"/>
    <w:bookmarkStart w:id="26" w:name="il-sistema-del-dolore-che-si-è-allargato"/>
    <w:p>
      <w:pPr>
        <w:pStyle w:val="Heading3"/>
      </w:pPr>
      <w:r>
        <w:t xml:space="preserve">3. Il sistema del dolore che si è allargato</w:t>
      </w:r>
    </w:p>
    <w:p>
      <w:pPr>
        <w:pStyle w:val="FirstParagraph"/>
      </w:pPr>
      <w:r>
        <w:rPr>
          <w:b/>
          <w:bCs/>
        </w:rPr>
        <w:t xml:space="preserve">La sequenza.</w:t>
      </w:r>
    </w:p>
    <w:p>
      <w:pPr>
        <w:pStyle w:val="Compact"/>
        <w:numPr>
          <w:ilvl w:val="0"/>
          <w:numId w:val="1017"/>
        </w:numPr>
      </w:pPr>
      <w:r>
        <w:t xml:space="preserve">Il tendine manda un segnale nocicettivo</w:t>
      </w:r>
      <w:r>
        <w:t xml:space="preserve"> </w:t>
      </w:r>
      <w:r>
        <w:rPr>
          <w:b/>
          <w:bCs/>
        </w:rPr>
        <w:t xml:space="preserve">intermittente, agganciato al carico</w:t>
      </w:r>
      <w:r>
        <w:t xml:space="preserve">, che si ripete per mesi. Non è una scarica continua: sarebbe il contrario del quadro che il paziente descrive.</w:t>
      </w:r>
    </w:p>
    <w:p>
      <w:pPr>
        <w:pStyle w:val="Compact"/>
        <w:numPr>
          <w:ilvl w:val="0"/>
          <w:numId w:val="1017"/>
        </w:numPr>
      </w:pPr>
      <w:r>
        <w:t xml:space="preserve">La nocicezione</w:t>
      </w:r>
      <w:r>
        <w:t xml:space="preserve"> </w:t>
      </w:r>
      <w:r>
        <w:rPr>
          <w:b/>
          <w:bCs/>
        </w:rPr>
        <w:t xml:space="preserve">non nasce dal nucleo degenerato</w:t>
      </w:r>
      <w:r>
        <w:t xml:space="preserve">, che è povero di cellule e di nervi. Nasce nella parte ancora integra del tendine, dai tenociti e dai recettori sensibili alla deformazione e all’ambiente chimico (Rio,</w:t>
      </w:r>
      <w:r>
        <w:t xml:space="preserve"> </w:t>
      </w:r>
      <w:r>
        <w:rPr>
          <w:i/>
          <w:iCs/>
        </w:rPr>
        <w:t xml:space="preserve">Sports Med</w:t>
      </w:r>
      <w:r>
        <w:t xml:space="preserve">, 2014, PMID 24027089).</w:t>
      </w:r>
    </w:p>
    <w:p>
      <w:pPr>
        <w:pStyle w:val="Compact"/>
        <w:numPr>
          <w:ilvl w:val="0"/>
          <w:numId w:val="1017"/>
        </w:numPr>
      </w:pPr>
      <w:r>
        <w:t xml:space="preserve">Le vie che ricevono quel segnale abbassano la soglia: quello che prima non faceva male comincia a farlo.</w:t>
      </w:r>
    </w:p>
    <w:p>
      <w:pPr>
        <w:pStyle w:val="Compact"/>
        <w:numPr>
          <w:ilvl w:val="0"/>
          <w:numId w:val="1017"/>
        </w:numPr>
      </w:pPr>
      <w:r>
        <w:t xml:space="preserve">Il dolore smette di seguire il carico e compare a riposo. Il formicolio, se c’è,</w:t>
      </w:r>
      <w:r>
        <w:t xml:space="preserve"> </w:t>
      </w:r>
      <w:r>
        <w:rPr>
          <w:b/>
          <w:bCs/>
        </w:rPr>
        <w:t xml:space="preserve">non appartiene a questa catena</w:t>
      </w:r>
      <w:r>
        <w:t xml:space="preserve">: è il discriminante del dolore neuropatico riferito, e manda a cercare a monte.</w:t>
      </w:r>
    </w:p>
    <w:p>
      <w:pPr>
        <w:pStyle w:val="FirstParagraph"/>
      </w:pPr>
      <w:r>
        <w:rPr>
          <w:b/>
          <w:bCs/>
        </w:rPr>
        <w:t xml:space="preserve">E qui il dato si spacca per distretto.</w:t>
      </w:r>
      <w:r>
        <w:t xml:space="preserve"> </w:t>
      </w:r>
      <w:r>
        <w:t xml:space="preserve">All’</w:t>
      </w:r>
      <w:r>
        <w:rPr>
          <w:b/>
          <w:bCs/>
        </w:rPr>
        <w:t xml:space="preserve">arto superiore</w:t>
      </w:r>
      <w:r>
        <w:t xml:space="preserve"> </w:t>
      </w:r>
      <w:r>
        <w:t xml:space="preserve">— gomito, spalla — ci sono prove moderate di soglie ridotte in sede locale, regionale e remota. All’</w:t>
      </w:r>
      <w:r>
        <w:rPr>
          <w:b/>
          <w:bCs/>
        </w:rPr>
        <w:t xml:space="preserve">arto inferiore</w:t>
      </w:r>
      <w:r>
        <w:t xml:space="preserve"> </w:t>
      </w:r>
      <w:r>
        <w:t xml:space="preserve">— achilleo, rotuleo, gluteo — il dato primario dice il contrario: quadri prevalentemente periferici, soglia remota normale.</w:t>
      </w:r>
    </w:p>
    <w:p>
      <w:pPr>
        <w:pStyle w:val="BlockText"/>
      </w:pPr>
      <w:r>
        <w:rPr>
          <w:b/>
          <w:bCs/>
        </w:rPr>
        <w:t xml:space="preserve">Quanto è solido:</w:t>
      </w:r>
      <w:r>
        <w:t xml:space="preserve"> </w:t>
      </w:r>
      <w:r>
        <w:t xml:space="preserve">l’etichetta si spezza per distretto.</w:t>
      </w:r>
      <w:r>
        <w:t xml:space="preserve"> </w:t>
      </w:r>
      <w:r>
        <w:rPr>
          <w:b/>
          <w:bCs/>
        </w:rPr>
        <w:t xml:space="preserve">PROBABILE</w:t>
      </w:r>
      <w:r>
        <w:t xml:space="preserve"> </w:t>
      </w:r>
      <w:r>
        <w:rPr>
          <w:i/>
          <w:iCs/>
        </w:rPr>
        <w:t xml:space="preserve">(razionale forte, prove parziali)</w:t>
      </w:r>
      <w:r>
        <w:t xml:space="preserve"> </w:t>
      </w:r>
      <w:r>
        <w:t xml:space="preserve">la sensibilizzazione locale e regionale</w:t>
      </w:r>
      <w:r>
        <w:t xml:space="preserve"> </w:t>
      </w:r>
      <w:r>
        <w:rPr>
          <w:b/>
          <w:bCs/>
        </w:rPr>
        <w:t xml:space="preserve">all’arto superiore</w:t>
      </w:r>
      <w:r>
        <w:t xml:space="preserve">: 16 studi in maggioranza caso-controllo (Plinsinga,</w:t>
      </w:r>
      <w:r>
        <w:t xml:space="preserve"> </w:t>
      </w:r>
      <w:r>
        <w:rPr>
          <w:i/>
          <w:iCs/>
        </w:rPr>
        <w:t xml:space="preserve">JOSPT</w:t>
      </w:r>
      <w:r>
        <w:t xml:space="preserve">, 2015, PMID 26390275), con prove giudicate moderate nella meta-analisi su 30 studi (Rio,</w:t>
      </w:r>
      <w:r>
        <w:t xml:space="preserve"> </w:t>
      </w:r>
      <w:r>
        <w:rPr>
          <w:i/>
          <w:iCs/>
        </w:rPr>
        <w:t xml:space="preserve">JOSPT</w:t>
      </w:r>
      <w:r>
        <w:t xml:space="preserve">, 2021, PMID 33383996).</w:t>
      </w:r>
      <w:r>
        <w:t xml:space="preserve"> </w:t>
      </w:r>
      <w:r>
        <w:rPr>
          <w:b/>
          <w:bCs/>
        </w:rPr>
        <w:t xml:space="preserve">IPOTESI</w:t>
      </w:r>
      <w:r>
        <w:t xml:space="preserve"> </w:t>
      </w:r>
      <w:r>
        <w:rPr>
          <w:i/>
          <w:iCs/>
        </w:rPr>
        <w:t xml:space="preserve">(meccanismo coerente, nessuno studio)</w:t>
      </w:r>
      <w:r>
        <w:t xml:space="preserve"> </w:t>
      </w:r>
      <w:r>
        <w:t xml:space="preserve">lo stesso quadro</w:t>
      </w:r>
      <w:r>
        <w:t xml:space="preserve"> </w:t>
      </w:r>
      <w:r>
        <w:rPr>
          <w:b/>
          <w:bCs/>
        </w:rPr>
        <w:t xml:space="preserve">all’arto inferiore</w:t>
      </w:r>
      <w:r>
        <w:t xml:space="preserve">, con la prova contraria nella stessa riga: un caso-controllo cieco con batteria completa di test sensoriali conclude che rotulea e achillea sono</w:t>
      </w:r>
      <w:r>
        <w:t xml:space="preserve"> </w:t>
      </w:r>
      <w:r>
        <w:rPr>
          <w:i/>
          <w:iCs/>
        </w:rPr>
        <w:t xml:space="preserve">«stati di dolore prevalentemente periferici»</w:t>
      </w:r>
      <w:r>
        <w:t xml:space="preserve"> </w:t>
      </w:r>
      <w:r>
        <w:t xml:space="preserve">(Plinsinga,</w:t>
      </w:r>
      <w:r>
        <w:t xml:space="preserve"> </w:t>
      </w:r>
      <w:r>
        <w:rPr>
          <w:i/>
          <w:iCs/>
        </w:rPr>
        <w:t xml:space="preserve">BJSM</w:t>
      </w:r>
      <w:r>
        <w:t xml:space="preserve">, 2018, PMID 28698221). Il disegno caso-controllo non stabilisce comunque la direzione.</w:t>
      </w:r>
    </w:p>
    <w:p>
      <w:pPr>
        <w:pStyle w:val="FirstParagraph"/>
      </w:pPr>
      <w:r>
        <w:rPr>
          <w:b/>
          <w:bCs/>
        </w:rPr>
        <w:t xml:space="preserve">Come si vede addosso al paziente.</w:t>
      </w:r>
      <w:r>
        <w:t xml:space="preserve"> </w:t>
      </w:r>
      <w:r>
        <w:t xml:space="preserve">È la frase che ti dice a voce più bassa:</w:t>
      </w:r>
      <w:r>
        <w:t xml:space="preserve"> </w:t>
      </w:r>
      <w:r>
        <w:rPr>
          <w:i/>
          <w:iCs/>
        </w:rPr>
        <w:t xml:space="preserve">«adesso mi fa male anche da fermo»</w:t>
      </w:r>
      <w:r>
        <w:t xml:space="preserve">. Poi il dolore che si allarga e il sonno disturbato. E,</w:t>
      </w:r>
      <w:r>
        <w:t xml:space="preserve"> </w:t>
      </w:r>
      <w:r>
        <w:rPr>
          <w:b/>
          <w:bCs/>
        </w:rPr>
        <w:t xml:space="preserve">se il tendine è al gomito o alla spalla</w:t>
      </w:r>
      <w:r>
        <w:t xml:space="preserve">, una soglia bassa in una sede che nessuno ha toccato. All’achilleo o alla rotula una soglia remota normale non esclude niente: è il risultato atteso per quel distretto.</w:t>
      </w:r>
    </w:p>
    <w:p>
      <w:pPr>
        <w:pStyle w:val="BodyText"/>
      </w:pPr>
      <w:r>
        <w:rPr>
          <w:b/>
          <w:bCs/>
        </w:rPr>
        <w:t xml:space="preserve">La spia sul cruscotto che resta accesa.</w:t>
      </w:r>
      <w:r>
        <w:t xml:space="preserve"> </w:t>
      </w:r>
      <w:r>
        <w:t xml:space="preserve">La riparazione è fatta, la spia non lo sa.</w:t>
      </w:r>
    </w:p>
    <w:bookmarkEnd w:id="26"/>
    <w:bookmarkStart w:id="27" w:name="la-zona-che-ha-smesso-di-essere-caricata"/>
    <w:p>
      <w:pPr>
        <w:pStyle w:val="Heading3"/>
      </w:pPr>
      <w:r>
        <w:t xml:space="preserve">4. La zona che ha smesso di essere caricata</w:t>
      </w:r>
    </w:p>
    <w:p>
      <w:pPr>
        <w:pStyle w:val="FirstParagraph"/>
      </w:pPr>
      <w:r>
        <w:rPr>
          <w:b/>
          <w:bCs/>
        </w:rPr>
        <w:t xml:space="preserve">La sequenza.</w:t>
      </w:r>
    </w:p>
    <w:p>
      <w:pPr>
        <w:pStyle w:val="Compact"/>
        <w:numPr>
          <w:ilvl w:val="0"/>
          <w:numId w:val="1018"/>
        </w:numPr>
      </w:pPr>
      <w:r>
        <w:t xml:space="preserve">Il dolore compare, e il paziente riceve l’indicazione di fermarsi.</w:t>
      </w:r>
    </w:p>
    <w:p>
      <w:pPr>
        <w:pStyle w:val="Compact"/>
        <w:numPr>
          <w:ilvl w:val="0"/>
          <w:numId w:val="1018"/>
        </w:numPr>
      </w:pPr>
      <w:r>
        <w:t xml:space="preserve">Riposo, tutore, fascia. Il carico sul tendine scende sotto la soglia che ne mantiene le proprietà.</w:t>
      </w:r>
    </w:p>
    <w:p>
      <w:pPr>
        <w:pStyle w:val="Compact"/>
        <w:numPr>
          <w:ilvl w:val="0"/>
          <w:numId w:val="1018"/>
        </w:numPr>
      </w:pPr>
      <w:r>
        <w:t xml:space="preserve">Il tendine perde rigidità e il muscolo a monte perde forza. La capacità scende sotto il livello che aveva prima.</w:t>
      </w:r>
    </w:p>
    <w:p>
      <w:pPr>
        <w:pStyle w:val="Compact"/>
        <w:numPr>
          <w:ilvl w:val="0"/>
          <w:numId w:val="1018"/>
        </w:numPr>
      </w:pPr>
      <w:r>
        <w:t xml:space="preserve">Il paziente riprende</w:t>
      </w:r>
      <w:r>
        <w:t xml:space="preserve"> </w:t>
      </w:r>
      <w:r>
        <w:rPr>
          <w:b/>
          <w:bCs/>
        </w:rPr>
        <w:t xml:space="preserve">al livello di prima</w:t>
      </w:r>
      <w:r>
        <w:t xml:space="preserve">, che adesso è più alto della sua capacità di adesso.</w:t>
      </w:r>
    </w:p>
    <w:p>
      <w:pPr>
        <w:pStyle w:val="Compact"/>
        <w:numPr>
          <w:ilvl w:val="0"/>
          <w:numId w:val="1018"/>
        </w:numPr>
      </w:pPr>
      <w:r>
        <w:t xml:space="preserve">Il dolore torna in tre giorni, e ora il paziente ha una prova in più che il problema sia grave.</w:t>
      </w:r>
    </w:p>
    <w:p>
      <w:pPr>
        <w:pStyle w:val="BlockText"/>
      </w:pPr>
      <w:r>
        <w:rPr>
          <w:b/>
          <w:bCs/>
        </w:rPr>
        <w:t xml:space="preserve">Quanto è solido:</w:t>
      </w:r>
      <w:r>
        <w:t xml:space="preserve"> </w:t>
      </w:r>
      <w:r>
        <w:t xml:space="preserve">l’etichetta si spezza in tre.</w:t>
      </w:r>
      <w:r>
        <w:t xml:space="preserve"> </w:t>
      </w:r>
      <w:r>
        <w:rPr>
          <w:b/>
          <w:bCs/>
        </w:rPr>
        <w:t xml:space="preserve">DIMOSTRATO</w:t>
      </w:r>
      <w:r>
        <w:t xml:space="preserve"> </w:t>
      </w:r>
      <w:r>
        <w:rPr>
          <w:i/>
          <w:iCs/>
        </w:rPr>
        <w:t xml:space="preserve">(studi sull’uomo, solidi)</w:t>
      </w:r>
      <w:r>
        <w:t xml:space="preserve"> </w:t>
      </w:r>
      <w:r>
        <w:t xml:space="preserve">che il carico costruisca rigidità e sezione (Bohm, 2015, PMID 27747846).</w:t>
      </w:r>
      <w:r>
        <w:t xml:space="preserve"> </w:t>
      </w:r>
      <w:r>
        <w:rPr>
          <w:b/>
          <w:bCs/>
        </w:rPr>
        <w:t xml:space="preserve">DIMOSTRATO</w:t>
      </w:r>
      <w:r>
        <w:t xml:space="preserve"> </w:t>
      </w:r>
      <w:r>
        <w:t xml:space="preserve">anche che lo scarico le smonti in fretta: in 17 uomini giovani, 23 giorni di sospensione dell’arto inferiore hanno ridotto la rigidità del tendine rotuleo del</w:t>
      </w:r>
      <w:r>
        <w:t xml:space="preserve"> </w:t>
      </w:r>
      <w:r>
        <w:rPr>
          <w:b/>
          <w:bCs/>
        </w:rPr>
        <w:t xml:space="preserve">9,8% a 14 giorni e del 29,3% a 23 giorni</w:t>
      </w:r>
      <w:r>
        <w:t xml:space="preserve">, con la forza estensoria giù del 21% (de Boer,</w:t>
      </w:r>
      <w:r>
        <w:t xml:space="preserve"> </w:t>
      </w:r>
      <w:r>
        <w:rPr>
          <w:i/>
          <w:iCs/>
        </w:rPr>
        <w:t xml:space="preserve">J Physiol</w:t>
      </w:r>
      <w:r>
        <w:t xml:space="preserve">, 2007, PMID 17656438) — salto di popolazione: volontari sani in scarico totale, non pazienti a riposo relativo.</w:t>
      </w:r>
      <w:r>
        <w:t xml:space="preserve"> </w:t>
      </w:r>
      <w:r>
        <w:rPr>
          <w:b/>
          <w:bCs/>
        </w:rPr>
        <w:t xml:space="preserve">PROBABILE</w:t>
      </w:r>
      <w:r>
        <w:t xml:space="preserve"> </w:t>
      </w:r>
      <w:r>
        <w:rPr>
          <w:i/>
          <w:iCs/>
        </w:rPr>
        <w:t xml:space="preserve">(razionale forte, prove parziali)</w:t>
      </w:r>
      <w:r>
        <w:t xml:space="preserve"> </w:t>
      </w:r>
      <w:r>
        <w:t xml:space="preserve">che continuare a caricare non peggiori l’esito: 38 pazienti achillei randomizzati a proseguire corsa e salti con un modello di monitoraggio del dolore oppure a sospenderli per sei settimane, senza differenze a dodici mesi (Silbernagel,</w:t>
      </w:r>
      <w:r>
        <w:t xml:space="preserve"> </w:t>
      </w:r>
      <w:r>
        <w:rPr>
          <w:i/>
          <w:iCs/>
        </w:rPr>
        <w:t xml:space="preserve">Am J Sports Med</w:t>
      </w:r>
      <w:r>
        <w:t xml:space="preserve">, 2007, PMID 17307888). Come si legge: 19 per braccio, disegno di superiorità, nessun margine di non-inferiorità —</w:t>
      </w:r>
      <w:r>
        <w:t xml:space="preserve"> </w:t>
      </w:r>
      <w:r>
        <w:rPr>
          <w:b/>
          <w:bCs/>
        </w:rPr>
        <w:t xml:space="preserve">non ha rilevato una differenza, ed è troppo piccolo per escluderla.</w:t>
      </w:r>
      <w:r>
        <w:t xml:space="preserve"> </w:t>
      </w:r>
      <w:r>
        <w:rPr>
          <w:b/>
          <w:bCs/>
        </w:rPr>
        <w:t xml:space="preserve">IPOTESI</w:t>
      </w:r>
      <w:r>
        <w:t xml:space="preserve"> </w:t>
      </w:r>
      <w:r>
        <w:rPr>
          <w:i/>
          <w:iCs/>
        </w:rPr>
        <w:t xml:space="preserve">(meccanismo coerente, nessuno studio)</w:t>
      </w:r>
      <w:r>
        <w:t xml:space="preserve"> </w:t>
      </w:r>
      <w:r>
        <w:t xml:space="preserve">che sia proprio quella perdita a spiegare la ricaduta di</w:t>
      </w:r>
      <w:r>
        <w:t xml:space="preserve"> </w:t>
      </w:r>
      <w:r>
        <w:rPr>
          <w:i/>
          <w:iCs/>
        </w:rPr>
        <w:t xml:space="preserve">questo</w:t>
      </w:r>
      <w:r>
        <w:t xml:space="preserve"> </w:t>
      </w:r>
      <w:r>
        <w:t xml:space="preserve">paziente.</w:t>
      </w:r>
    </w:p>
    <w:p>
      <w:pPr>
        <w:pStyle w:val="FirstParagraph"/>
      </w:pPr>
      <w:r>
        <w:rPr>
          <w:b/>
          <w:bCs/>
        </w:rPr>
        <w:t xml:space="preserve">Per te:</w:t>
      </w:r>
      <w:r>
        <w:t xml:space="preserve"> </w:t>
      </w:r>
      <w:r>
        <w:t xml:space="preserve">due settimane di scarico costano circa un decimo della rigidità del tendine, tre settimane quasi un terzo. È il numero che ti autorizza a non consigliare il riposo. E ti permette di dire al paziente</w:t>
      </w:r>
      <w:r>
        <w:t xml:space="preserve"> </w:t>
      </w:r>
      <w:r>
        <w:rPr>
          <w:b/>
          <w:bCs/>
        </w:rPr>
        <w:t xml:space="preserve">quando</w:t>
      </w:r>
      <w:r>
        <w:t xml:space="preserve"> </w:t>
      </w:r>
      <w:r>
        <w:t xml:space="preserve">la sua capacità è scesa, non solo che è scesa. Non è il suo numero: quei volontari erano in scarico totale, il tuo paziente è a riposo relativo, e la perdita reale sarà più lenta.</w:t>
      </w:r>
    </w:p>
    <w:p>
      <w:pPr>
        <w:pStyle w:val="BodyText"/>
      </w:pPr>
      <w:r>
        <w:rPr>
          <w:b/>
          <w:bCs/>
        </w:rPr>
        <w:t xml:space="preserve">Come si vede addosso al paziente.</w:t>
      </w:r>
      <w:r>
        <w:t xml:space="preserve"> </w:t>
      </w:r>
      <w:r>
        <w:rPr>
          <w:i/>
          <w:iCs/>
        </w:rPr>
        <w:t xml:space="preserve">«Sono stato fermo un mese e dopo tre giorni era tornato»</w:t>
      </w:r>
      <w:r>
        <w:t xml:space="preserve">, il tutore portato da mesi, il lato malato più sottile dell’altro, la forza ridotta anche dove non fa male.</w:t>
      </w:r>
    </w:p>
    <w:p>
      <w:pPr>
        <w:pStyle w:val="BodyText"/>
      </w:pPr>
      <w:r>
        <w:rPr>
          <w:b/>
          <w:bCs/>
        </w:rPr>
        <w:t xml:space="preserve">La serranda che nessuno alza da due mesi.</w:t>
      </w:r>
      <w:r>
        <w:t xml:space="preserve"> </w:t>
      </w:r>
      <w:r>
        <w:t xml:space="preserve">Non si muove meglio: si muove peggio.</w:t>
      </w:r>
    </w:p>
    <w:bookmarkEnd w:id="27"/>
    <w:bookmarkStart w:id="28" w:name="X45fc2162027a868a322e58748009f5aab6f4c22"/>
    <w:p>
      <w:pPr>
        <w:pStyle w:val="Heading3"/>
      </w:pPr>
      <w:r>
        <w:t xml:space="preserve">5. Il carico che arriva da un’altra articolazione</w:t>
      </w:r>
    </w:p>
    <w:p>
      <w:pPr>
        <w:pStyle w:val="FirstParagraph"/>
      </w:pPr>
      <w:r>
        <w:t xml:space="preserve">È il meccanismo in cui entra in gioco la</w:t>
      </w:r>
      <w:r>
        <w:t xml:space="preserve"> </w:t>
      </w:r>
      <w:r>
        <w:rPr>
          <w:b/>
          <w:bCs/>
        </w:rPr>
        <w:t xml:space="preserve">catena</w:t>
      </w:r>
      <w:r>
        <w:t xml:space="preserve">.</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FirstParagraph"/>
      </w:pPr>
      <w:r>
        <w:rPr>
          <w:b/>
          <w:bCs/>
        </w:rPr>
        <w:t xml:space="preserve">La sequenza.</w:t>
      </w:r>
    </w:p>
    <w:p>
      <w:pPr>
        <w:pStyle w:val="Compact"/>
        <w:numPr>
          <w:ilvl w:val="0"/>
          <w:numId w:val="1019"/>
        </w:numPr>
      </w:pPr>
      <w:r>
        <w:t xml:space="preserve">Un’articolazione vicina ha perso corsa, oppure la usa in un punto diverso da prima.</w:t>
      </w:r>
    </w:p>
    <w:p>
      <w:pPr>
        <w:pStyle w:val="Compact"/>
        <w:numPr>
          <w:ilvl w:val="0"/>
          <w:numId w:val="1019"/>
        </w:numPr>
      </w:pPr>
      <w:r>
        <w:t xml:space="preserve">Il gesto si compie lo stesso: è un compenso, e sposta lavoro e posizione di fine corsa.</w:t>
      </w:r>
    </w:p>
    <w:p>
      <w:pPr>
        <w:pStyle w:val="Compact"/>
        <w:numPr>
          <w:ilvl w:val="0"/>
          <w:numId w:val="1019"/>
        </w:numPr>
      </w:pPr>
      <w:r>
        <w:t xml:space="preserve">Il tendine riceve la stessa forza in un punto diverso, o riceve compressione contro l’osso oltre alla trazione.</w:t>
      </w:r>
    </w:p>
    <w:p>
      <w:pPr>
        <w:pStyle w:val="Compact"/>
        <w:numPr>
          <w:ilvl w:val="0"/>
          <w:numId w:val="1019"/>
        </w:numPr>
      </w:pPr>
      <w:r>
        <w:t xml:space="preserve">Il carico locale supera la capacità di quel punto, sempre nello stesso posto.</w:t>
      </w:r>
    </w:p>
    <w:p>
      <w:pPr>
        <w:pStyle w:val="FirstParagraph"/>
      </w:pPr>
      <w:r>
        <w:t xml:space="preserve">Il pezzo solido è la</w:t>
      </w:r>
      <w:r>
        <w:t xml:space="preserve"> </w:t>
      </w:r>
      <w:r>
        <w:rPr>
          <w:b/>
          <w:bCs/>
        </w:rPr>
        <w:t xml:space="preserve">compressione all’entesi</w:t>
      </w:r>
      <w:r>
        <w:t xml:space="preserve">. A fine corsa il tendine viene schiacciato contro l’osso, e la compressione produce nel tessuto una risposta diversa dalla trazione (Cook e Purdam, 2012, PMID 22113234).</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la compressione all’inserzione sia un fattore distinto dalla trazione: il razionale meccanico e istologico è solido e la conferma clinica è indiretta.</w:t>
      </w:r>
      <w:r>
        <w:t xml:space="preserve"> </w:t>
      </w:r>
      <w:r>
        <w:rPr>
          <w:b/>
          <w:bCs/>
        </w:rPr>
        <w:t xml:space="preserve">IPOTESI</w:t>
      </w:r>
      <w:r>
        <w:t xml:space="preserve"> </w:t>
      </w:r>
      <w:r>
        <w:rPr>
          <w:i/>
          <w:iCs/>
        </w:rPr>
        <w:t xml:space="preserve">(meccanismo coerente, nessuno studio)</w:t>
      </w:r>
      <w:r>
        <w:t xml:space="preserve"> </w:t>
      </w:r>
      <w:r>
        <w:t xml:space="preserve">che una rigidità a distanza sia la causa di questa tendinopatia, e qui con prove discordanti: la revisione dedicata alla biomeccanica dell’achilleo negli atleti trova alterazioni in alcune variabili e nessuna differenza in molte altre, su venti studi in gran parte trasversali (Quarmby,</w:t>
      </w:r>
      <w:r>
        <w:t xml:space="preserve"> </w:t>
      </w:r>
      <w:r>
        <w:rPr>
          <w:i/>
          <w:iCs/>
        </w:rPr>
        <w:t xml:space="preserve">Front Sports Act Living</w:t>
      </w:r>
      <w:r>
        <w:t xml:space="preserve">, 2023, PMID 36685067). Un disegno trasversale non dice se l’alterazione fosse lì prima. E su altre condizioni dell’arto inferiore la debolezza misurata in stanza si è rivelata più spesso una conseguenza del dolore che la sua causa. La controparte</w:t>
      </w:r>
      <w:r>
        <w:t xml:space="preserve"> </w:t>
      </w:r>
      <w:r>
        <w:rPr>
          <w:b/>
          <w:bCs/>
        </w:rPr>
        <w:t xml:space="preserve">prospettica</w:t>
      </w:r>
      <w:r>
        <w:t xml:space="preserve"> </w:t>
      </w:r>
      <w:r>
        <w:t xml:space="preserve">esiste, e restringe ancora: dieci studi di coorte danno evidenza</w:t>
      </w:r>
      <w:r>
        <w:t xml:space="preserve"> </w:t>
      </w:r>
      <w:r>
        <w:rPr>
          <w:i/>
          <w:iCs/>
        </w:rPr>
        <w:t xml:space="preserve">limitata</w:t>
      </w:r>
      <w:r>
        <w:t xml:space="preserve"> </w:t>
      </w:r>
      <w:r>
        <w:t xml:space="preserve">a nove fattori — fra cui una precedente tendinopatia o frattura all’arto inferiore, l’ofloxacina, una ridotta forza dei flessori plantari e un pattern di cammino alterato — mentre</w:t>
      </w:r>
      <w:r>
        <w:t xml:space="preserve"> </w:t>
      </w:r>
      <w:r>
        <w:rPr>
          <w:b/>
          <w:bCs/>
        </w:rPr>
        <w:t xml:space="preserve">ventisei altri fattori non mostrano nessuna associazione, compresi la postura statica del piede e il sovrappeso</w:t>
      </w:r>
      <w:r>
        <w:t xml:space="preserve"> </w:t>
      </w:r>
      <w:r>
        <w:t xml:space="preserve">(van der Vlist,</w:t>
      </w:r>
      <w:r>
        <w:t xml:space="preserve"> </w:t>
      </w:r>
      <w:r>
        <w:rPr>
          <w:i/>
          <w:iCs/>
        </w:rPr>
        <w:t xml:space="preserve">Br J Sports Med</w:t>
      </w:r>
      <w:r>
        <w:t xml:space="preserve">, 2019, PMID 30718234).</w:t>
      </w:r>
      <w:r>
        <w:t xml:space="preserve"> </w:t>
      </w:r>
      <w:r>
        <w:rPr>
          <w:i/>
          <w:iCs/>
        </w:rPr>
        <w:t xml:space="preserve">Misurato in coorti sull’achilleo e in gran parte su popolazioni particolari — trapiantati di cuore, militari — non su tutte le sedi né su questi pazienti; e sono dieci studi che gli autori stessi giudicano ad alto rischio di bias.</w:t>
      </w:r>
      <w:r>
        <w:t xml:space="preserve"> </w:t>
      </w:r>
      <w:r>
        <w:t xml:space="preserve">Il dato prospettico non abbassa questo meccanismo sotto IPOTESI: lo tiene lì con una prova documentata invece che con una modestia.</w:t>
      </w:r>
    </w:p>
    <w:p>
      <w:pPr>
        <w:pStyle w:val="FirstParagraph"/>
      </w:pPr>
      <w:r>
        <w:rPr>
          <w:b/>
          <w:bCs/>
        </w:rPr>
        <w:t xml:space="preserve">Come si vede addosso al paziente.</w:t>
      </w:r>
      <w:r>
        <w:t xml:space="preserve"> </w:t>
      </w:r>
      <w:r>
        <w:t xml:space="preserve">Un’asimmetria netta e misurabile nella corsa dell’articolazione adiacente. Un dolore che compare solo in una parte del gesto. E un sintomo che peggiora con lo stretching, quando la sede è inserzionale.</w:t>
      </w:r>
    </w:p>
    <w:p>
      <w:pPr>
        <w:pStyle w:val="BodyText"/>
      </w:pPr>
      <w:r>
        <w:rPr>
          <w:b/>
          <w:bCs/>
        </w:rPr>
        <w:t xml:space="preserve">La porta che struscia sempre nello stesso punto.</w:t>
      </w:r>
      <w:r>
        <w:t xml:space="preserve"> </w:t>
      </w:r>
      <w:r>
        <w:t xml:space="preserve">Puoi carteggiare il pavimento quanto vuoi: finché il cardine è abbassato, la porta continua a strusciare lì.</w:t>
      </w:r>
    </w:p>
    <w:p>
      <w:pPr>
        <w:pStyle w:val="BodyText"/>
      </w:pPr>
      <w:r>
        <w:rPr>
          <w:b/>
          <w:bCs/>
        </w:rPr>
        <w:t xml:space="preserve">Le tre cose da ricordare, più una</w:t>
      </w:r>
    </w:p>
    <w:p>
      <w:pPr>
        <w:pStyle w:val="Compact"/>
        <w:numPr>
          <w:ilvl w:val="0"/>
          <w:numId w:val="1020"/>
        </w:numPr>
      </w:pPr>
      <w:r>
        <w:rPr>
          <w:b/>
          <w:bCs/>
        </w:rPr>
        <w:t xml:space="preserve">Il carico che ha superato la capacità</w:t>
      </w:r>
      <w:r>
        <w:t xml:space="preserve"> </w:t>
      </w:r>
      <w:r>
        <w:t xml:space="preserve">non è «troppo carico»: è un</w:t>
      </w:r>
      <w:r>
        <w:t xml:space="preserve"> </w:t>
      </w:r>
      <w:r>
        <w:rPr>
          <w:b/>
          <w:bCs/>
        </w:rPr>
        <w:t xml:space="preserve">cambio</w:t>
      </w:r>
      <w:r>
        <w:t xml:space="preserve"> </w:t>
      </w:r>
      <w:r>
        <w:t xml:space="preserve">di carico contro una capacità costruita prima. La domanda è cosa è cambiato sei settimane fa.</w:t>
      </w:r>
    </w:p>
    <w:p>
      <w:pPr>
        <w:pStyle w:val="Compact"/>
        <w:numPr>
          <w:ilvl w:val="0"/>
          <w:numId w:val="1020"/>
        </w:numPr>
      </w:pPr>
      <w:r>
        <w:rPr>
          <w:b/>
          <w:bCs/>
        </w:rPr>
        <w:t xml:space="preserve">La zona che ha smesso di essere caricata</w:t>
      </w:r>
      <w:r>
        <w:t xml:space="preserve"> </w:t>
      </w:r>
      <w:r>
        <w:t xml:space="preserve">è il meccanismo che il percorso standard produce da solo: il riposo prescritto è, in molti pazienti, la causa della ricaduta — e la perdita di rigidità che lo spiega è misurata, entro due settimane di scarico.</w:t>
      </w:r>
    </w:p>
    <w:p>
      <w:pPr>
        <w:pStyle w:val="Compact"/>
        <w:numPr>
          <w:ilvl w:val="0"/>
          <w:numId w:val="1020"/>
        </w:numPr>
      </w:pPr>
      <w:r>
        <w:rPr>
          <w:b/>
          <w:bCs/>
        </w:rPr>
        <w:t xml:space="preserve">Il carico che arriva da un’altra articolazione</w:t>
      </w:r>
      <w:r>
        <w:t xml:space="preserve"> </w:t>
      </w:r>
      <w:r>
        <w:t xml:space="preserve">è il meccanismo nostro, ed è il meno dimostrato dei cinque. Va scritto e detto come ipotesi di lavoro, non come spiegazione.</w:t>
      </w:r>
    </w:p>
    <w:p>
      <w:pPr>
        <w:pStyle w:val="Compact"/>
        <w:numPr>
          <w:ilvl w:val="0"/>
          <w:numId w:val="1020"/>
        </w:numPr>
      </w:pPr>
      <w:r>
        <w:rPr>
          <w:b/>
          <w:bCs/>
        </w:rPr>
        <w:t xml:space="preserve">Perché ci sei tu.</w:t>
      </w:r>
      <w:r>
        <w:t xml:space="preserve"> </w:t>
      </w:r>
      <w:r>
        <w:t xml:space="preserve">Sul gomito e sulla spalla il dolore di questi pazienti si accompagna a soglie di pressione abbassate anche</w:t>
      </w:r>
      <w:r>
        <w:t xml:space="preserve"> </w:t>
      </w:r>
      <w:r>
        <w:rPr>
          <w:b/>
          <w:bCs/>
        </w:rPr>
        <w:t xml:space="preserve">fuori dal punto che fa male</w:t>
      </w:r>
      <w:r>
        <w:t xml:space="preserve">, con prove moderate su 30 studi (Plinsinga, 2015, PMID 26390275; Rio, 2021, PMID 33383996). Questo ti autorizza a misurare qualcosa lontano dal tendine e a spiegare al paziente perché il dolore si è allargato.</w:t>
      </w:r>
      <w:r>
        <w:t xml:space="preserve"> </w:t>
      </w:r>
      <w:r>
        <w:rPr>
          <w:b/>
          <w:bCs/>
        </w:rPr>
        <w:t xml:space="preserve">E ti restringe due volte:</w:t>
      </w:r>
      <w:r>
        <w:t xml:space="preserve"> </w:t>
      </w:r>
      <w:r>
        <w:t xml:space="preserve">all’arto inferiore quel dato non c’è, e cercarlo lì significa aspettarsi un reperto che gli studi hanno cercato e non trovato; e in nessun caso ti autorizza a dire che il problema «è nel sistema nervoso», perché quei disegni non stabiliscono la direzione e il paziente sente «è nella tua testa».</w:t>
      </w:r>
    </w:p>
    <w:p>
      <w:r>
        <w:pict>
          <v:rect style="width:0;height:1.5pt" o:hralign="center" o:hrstd="t" o:hr="t"/>
        </w:pict>
      </w:r>
    </w:p>
    <w:bookmarkEnd w:id="28"/>
    <w:bookmarkEnd w:id="29"/>
    <w:bookmarkStart w:id="31"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cinque pattern, e il primo lavoro è capire se quello che hai davanti è un tendine sotto carico o un’altra malattia che ha scelto il tendine per farsi vedere.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Reattivo recente</w:t>
            </w:r>
          </w:p>
        </w:tc>
        <w:tc>
          <w:tcPr/>
          <w:p>
            <w:pPr>
              <w:pStyle w:val="Compact"/>
            </w:pPr>
            <w:r>
              <w:t xml:space="preserve">Giorni o poche settimane, cambio di carico chiaro</w:t>
            </w:r>
          </w:p>
        </w:tc>
        <w:tc>
          <w:tcPr/>
          <w:p>
            <w:pPr>
              <w:pStyle w:val="Compact"/>
            </w:pPr>
            <w:r>
              <w:t xml:space="preserve">Carico oltre capacità</w:t>
            </w:r>
          </w:p>
        </w:tc>
        <w:tc>
          <w:tcPr/>
          <w:p>
            <w:pPr>
              <w:pStyle w:val="Compact"/>
            </w:pPr>
            <w:r>
              <w:t xml:space="preserve">Molto</w:t>
            </w:r>
          </w:p>
        </w:tc>
      </w:tr>
      <w:tr>
        <w:tc>
          <w:tcPr/>
          <w:p>
            <w:pPr>
              <w:pStyle w:val="Compact"/>
            </w:pPr>
            <w:r>
              <w:t xml:space="preserve">Reattivo su degenerativo</w:t>
            </w:r>
          </w:p>
        </w:tc>
        <w:tc>
          <w:tcPr/>
          <w:p>
            <w:pPr>
              <w:pStyle w:val="Compact"/>
            </w:pPr>
            <w:r>
              <w:t xml:space="preserve">Storia di anni più riacutizzazione di giorni</w:t>
            </w:r>
          </w:p>
        </w:tc>
        <w:tc>
          <w:tcPr/>
          <w:p>
            <w:pPr>
              <w:pStyle w:val="Compact"/>
            </w:pPr>
            <w:r>
              <w:t xml:space="preserve">Carico oltre capacità su tessuto già cambiato</w:t>
            </w:r>
          </w:p>
        </w:tc>
        <w:tc>
          <w:tcPr/>
          <w:p>
            <w:pPr>
              <w:pStyle w:val="Compact"/>
            </w:pPr>
            <w:r>
              <w:t xml:space="preserve">Molto, con freno</w:t>
            </w:r>
          </w:p>
        </w:tc>
      </w:tr>
      <w:tr>
        <w:tc>
          <w:tcPr/>
          <w:p>
            <w:pPr>
              <w:pStyle w:val="Compact"/>
            </w:pPr>
            <w:r>
              <w:t xml:space="preserve">Persistente da carico non gestito</w:t>
            </w:r>
          </w:p>
        </w:tc>
        <w:tc>
          <w:tcPr/>
          <w:p>
            <w:pPr>
              <w:pStyle w:val="Compact"/>
            </w:pPr>
            <w:r>
              <w:t xml:space="preserve">Mesi, si scalda e torna la sera</w:t>
            </w:r>
          </w:p>
        </w:tc>
        <w:tc>
          <w:tcPr/>
          <w:p>
            <w:pPr>
              <w:pStyle w:val="Compact"/>
            </w:pPr>
            <w:r>
              <w:t xml:space="preserve">Carico più decondizionamento</w:t>
            </w:r>
          </w:p>
        </w:tc>
        <w:tc>
          <w:tcPr/>
          <w:p>
            <w:pPr>
              <w:pStyle w:val="Compact"/>
            </w:pPr>
            <w:r>
              <w:t xml:space="preserve">Molto</w:t>
            </w:r>
          </w:p>
        </w:tc>
      </w:tr>
      <w:tr>
        <w:tc>
          <w:tcPr/>
          <w:p>
            <w:pPr>
              <w:pStyle w:val="Compact"/>
            </w:pPr>
            <w:r>
              <w:t xml:space="preserve">Inserzionale, da compressione</w:t>
            </w:r>
          </w:p>
        </w:tc>
        <w:tc>
          <w:tcPr/>
          <w:p>
            <w:pPr>
              <w:pStyle w:val="Compact"/>
            </w:pPr>
            <w:r>
              <w:t xml:space="preserve">Dolore sull’osso, peggiora in allungamento</w:t>
            </w:r>
          </w:p>
        </w:tc>
        <w:tc>
          <w:tcPr/>
          <w:p>
            <w:pPr>
              <w:pStyle w:val="Compact"/>
            </w:pPr>
            <w:r>
              <w:t xml:space="preserve">Compressione all’entesi</w:t>
            </w:r>
          </w:p>
        </w:tc>
        <w:tc>
          <w:tcPr/>
          <w:p>
            <w:pPr>
              <w:pStyle w:val="Compact"/>
            </w:pPr>
            <w:r>
              <w:t xml:space="preserve">Abbastanza</w:t>
            </w:r>
          </w:p>
        </w:tc>
      </w:tr>
      <w:tr>
        <w:tc>
          <w:tcPr/>
          <w:p>
            <w:pPr>
              <w:pStyle w:val="Compact"/>
            </w:pPr>
            <w:r>
              <w:t xml:space="preserve">Con dolore allargato</w:t>
            </w:r>
          </w:p>
        </w:tc>
        <w:tc>
          <w:tcPr/>
          <w:p>
            <w:pPr>
              <w:pStyle w:val="Compact"/>
            </w:pPr>
            <w:r>
              <w:t xml:space="preserve">A riposo, notturno; soglia bassa fuori sede (gomito/spalla)</w:t>
            </w:r>
          </w:p>
        </w:tc>
        <w:tc>
          <w:tcPr/>
          <w:p>
            <w:pPr>
              <w:pStyle w:val="Compact"/>
            </w:pPr>
            <w:r>
              <w:t xml:space="preserve">Livello di attivazione</w:t>
            </w:r>
          </w:p>
        </w:tc>
        <w:tc>
          <w:tcPr/>
          <w:p>
            <w:pPr>
              <w:pStyle w:val="Compact"/>
            </w:pPr>
            <w:r>
              <w:t xml:space="preserve">Molto, su due leve</w:t>
            </w:r>
          </w:p>
        </w:tc>
      </w:tr>
      <w:tr>
        <w:tc>
          <w:tcPr/>
          <w:p>
            <w:pPr>
              <w:pStyle w:val="Compact"/>
            </w:pPr>
            <w:r>
              <w:t xml:space="preserve">Entesite infiammatoria</w:t>
            </w:r>
          </w:p>
        </w:tc>
        <w:tc>
          <w:tcPr/>
          <w:p>
            <w:pPr>
              <w:pStyle w:val="Compact"/>
            </w:pPr>
            <w:r>
              <w:t xml:space="preserve">Rigidità mattutina oltre 30 minuti, più sedi</w:t>
            </w:r>
          </w:p>
        </w:tc>
        <w:tc>
          <w:tcPr/>
          <w:p>
            <w:pPr>
              <w:pStyle w:val="Compact"/>
            </w:pPr>
            <w:r>
              <w:t xml:space="preserve">Non è una tendinopatia da carico</w:t>
            </w:r>
          </w:p>
        </w:tc>
        <w:tc>
          <w:tcPr/>
          <w:p>
            <w:pPr>
              <w:pStyle w:val="Compact"/>
            </w:pPr>
            <w:r>
              <w:t xml:space="preserve">Niente — invio</w:t>
            </w:r>
          </w:p>
        </w:tc>
      </w:tr>
    </w:tbl>
    <w:p>
      <w:pPr>
        <w:pStyle w:val="BodyText"/>
      </w:pPr>
      <w:r>
        <w:rPr>
          <w:b/>
          <w:bCs/>
        </w:rPr>
        <w:t xml:space="preserve">Reattivo recente.</w:t>
      </w:r>
      <w:r>
        <w:t xml:space="preserve"> </w:t>
      </w:r>
      <w:r>
        <w:t xml:space="preserve">Il tendine è gonfio e dolente, ma la struttura è ancora in gran parte conservata. È la fase in cui il carico va gestito, non aumentato. Ed è la fase in cui il paziente migliora più in fretta di quanto tu ti aspetti. Il rischio qui è opposto a quello degli altri sottotipi: caricare troppo presto. Le leve sono due, ed entrambe tolgono invece di aggiungere —</w:t>
      </w:r>
      <w:r>
        <w:t xml:space="preserve"> </w:t>
      </w:r>
      <w:r>
        <w:rPr>
          <w:b/>
          <w:bCs/>
        </w:rPr>
        <w:t xml:space="preserve">togliere il picco</w:t>
      </w:r>
      <w:r>
        <w:t xml:space="preserve"> </w:t>
      </w:r>
      <w:r>
        <w:t xml:space="preserve">che ha acceso la reazione e</w:t>
      </w:r>
      <w:r>
        <w:t xml:space="preserve"> </w:t>
      </w:r>
      <w:r>
        <w:rPr>
          <w:b/>
          <w:bCs/>
        </w:rPr>
        <w:t xml:space="preserve">togliere la compressione posizionale</w:t>
      </w:r>
      <w:r>
        <w:t xml:space="preserve">. Intanto la mano lavora sulla muscolatura a monte e sul dolore che rende intollerabile il carico di oggi.</w:t>
      </w:r>
    </w:p>
    <w:p>
      <w:pPr>
        <w:pStyle w:val="BodyText"/>
      </w:pPr>
      <w:r>
        <w:rPr>
          <w:b/>
          <w:bCs/>
        </w:rPr>
        <w:t xml:space="preserve">Reattivo su degenerativo.</w:t>
      </w:r>
      <w:r>
        <w:t xml:space="preserve"> </w:t>
      </w:r>
      <w:r>
        <w:t xml:space="preserve">Una storia di anni, e sopra una riacutizzazione di giorni. In un adulto non sportivo è più frequente del reattivo puro. È</w:t>
      </w:r>
      <w:r>
        <w:t xml:space="preserve"> </w:t>
      </w:r>
      <w:r>
        <w:rPr>
          <w:b/>
          <w:bCs/>
        </w:rPr>
        <w:t xml:space="preserve">l’unico sottotipo in cui il nostro errore tipico è per eccesso</w:t>
      </w:r>
      <w:r>
        <w:t xml:space="preserve">: letto come «persistente da carico non gestito» riceve una progressione che lo peggiora. Lo riconosci dal contrasto fra la lunghezza della storia e la freschezza dei giorni. Lo tratti come reattivo finché la fase acuta non si spegne.</w:t>
      </w:r>
      <w:r>
        <w:t xml:space="preserve"> </w:t>
      </w: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lettura del continuum, che gli autori stessi hanno ridiscusso dichiarandone i limiti (Cook,</w:t>
      </w:r>
      <w:r>
        <w:t xml:space="preserve"> </w:t>
      </w:r>
      <w:r>
        <w:rPr>
          <w:i/>
          <w:iCs/>
        </w:rPr>
        <w:t xml:space="preserve">BJSM</w:t>
      </w:r>
      <w:r>
        <w:t xml:space="preserve">, 2016, PMID 27127294).</w:t>
      </w:r>
    </w:p>
    <w:p>
      <w:pPr>
        <w:pStyle w:val="BodyText"/>
      </w:pPr>
      <w:r>
        <w:rPr>
          <w:b/>
          <w:bCs/>
        </w:rPr>
        <w:t xml:space="preserve">Persistente da carico non gestito.</w:t>
      </w:r>
      <w:r>
        <w:t xml:space="preserve"> </w:t>
      </w:r>
      <w:r>
        <w:t xml:space="preserve">È il più frequente, ed è il tuo. Mesi di storia, cicli di riposo e ricadute, tutore, un’infiltrazione. Il tendine è ispessito, il muscolo a monte è più debole del controlaterale, e la capacità è scesa sotto il livello della vita quotidiana del paziente. Qui la leva è tutta nel carico progressivo e nella gestione del gesto, e la parte manuale serve a rendere possibile il carico.</w:t>
      </w:r>
    </w:p>
    <w:p>
      <w:pPr>
        <w:pStyle w:val="BodyText"/>
      </w:pPr>
      <w:r>
        <w:rPr>
          <w:b/>
          <w:bCs/>
        </w:rPr>
        <w:t xml:space="preserve">Inserzionale, da compressione.</w:t>
      </w:r>
      <w:r>
        <w:t xml:space="preserve"> </w:t>
      </w:r>
      <w:r>
        <w:t xml:space="preserve">Il dolore è sull’osso, non due dita sopra. Peggiora salendo le scale, in salita, nelle posizioni di massimo allungamento, e con lo stretching che il paziente fa credendo di aiutarsi. È il sottotipo su cui l’errore più comune non è fare poco: è fare la cosa che peggiora.</w:t>
      </w:r>
    </w:p>
    <w:p>
      <w:pPr>
        <w:pStyle w:val="BodyText"/>
      </w:pPr>
      <w:r>
        <w:rPr>
          <w:b/>
          <w:bCs/>
        </w:rPr>
        <w:t xml:space="preserve">E «peggiora in allungamento» non basta come segnale se la sede non è l’achilleo.</w:t>
      </w:r>
      <w:r>
        <w:t xml:space="preserve"> </w:t>
      </w:r>
      <w:r>
        <w:t xml:space="preserve">La posizione che comprime cambia distretto per distretto, e la trovi nella tabella del capitolo «Le strutture in gioco»: l’anca in adduzione di chi dorme sul fianco, la dorsiflessione e il contrafforte della scarpa, la flessione profonda di ginocchio mantenuta. La distinzione dal medio-portale la fa l’ecografia, e quasi nessun paziente la porta con quel dettaglio.</w:t>
      </w:r>
    </w:p>
    <w:p>
      <w:pPr>
        <w:pStyle w:val="BodyText"/>
      </w:pPr>
      <w:r>
        <w:rPr>
          <w:b/>
          <w:bCs/>
        </w:rPr>
        <w:t xml:space="preserve">Con dolore allargato.</w:t>
      </w:r>
      <w:r>
        <w:t xml:space="preserve"> </w:t>
      </w:r>
      <w:r>
        <w:t xml:space="preserve">Il dolore ha superato i confini del tendine. È presente a riposo, disturba il sonno, e si accompagna a soglie di pressione basse anche in una sede che nessuno ha toccato.</w:t>
      </w:r>
      <w:r>
        <w:t xml:space="preserve"> </w:t>
      </w:r>
      <w:r>
        <w:rPr>
          <w:b/>
          <w:bCs/>
        </w:rPr>
        <w:t xml:space="preserve">È il sottotipo raro, non la fase avanzata a cui tutti arrivano.</w:t>
      </w:r>
      <w:r>
        <w:t xml:space="preserve"> </w:t>
      </w:r>
      <w:r>
        <w:t xml:space="preserve">Lo trovi molto più spesso al gomito e alla spalla che all’achilleo o alla rotula, per la ragione di distretto spiegata nel meccanismo del sistema del dolore che si è allargato.</w:t>
      </w:r>
    </w:p>
    <w:p>
      <w:pPr>
        <w:pStyle w:val="BodyText"/>
      </w:pPr>
      <w:r>
        <w:t xml:space="preserve">Non è un capolinea, ed è il sottotipo in cui hai</w:t>
      </w:r>
      <w:r>
        <w:t xml:space="preserve"> </w:t>
      </w:r>
      <w:r>
        <w:rPr>
          <w:b/>
          <w:bCs/>
        </w:rPr>
        <w:t xml:space="preserve">più</w:t>
      </w:r>
      <w:r>
        <w:t xml:space="preserve"> </w:t>
      </w:r>
      <w:r>
        <w:t xml:space="preserve">da fare, non meno. La leva è duplice: il carico a dose bassa, che riduce il dolore prima di cambiare il tessuto, e il lavoro sul livello di attivazione, che è lavoro manuale a tutti gli effetti. Il capitolo «Perché le mani possono cambiare qualcosa» dichiara l’etichetta esatta di entrambe.</w:t>
      </w:r>
    </w:p>
    <w:p>
      <w:pPr>
        <w:pStyle w:val="BlockText"/>
      </w:pPr>
      <w:r>
        <w:rPr>
          <w:b/>
          <w:bCs/>
        </w:rPr>
        <w:t xml:space="preserve">Definizione.</w:t>
      </w:r>
      <w:r>
        <w:t xml:space="preserve"> </w:t>
      </w:r>
      <w:r>
        <w:t xml:space="preserve">Il</w:t>
      </w:r>
      <w:r>
        <w:t xml:space="preserve"> </w:t>
      </w:r>
      <w:r>
        <w:rPr>
          <w:b/>
          <w:bCs/>
        </w:rPr>
        <w:t xml:space="preserve">livello di attivazione</w:t>
      </w:r>
      <w:r>
        <w:t xml:space="preserve"> </w:t>
      </w:r>
      <w:r>
        <w:t xml:space="preserve">è quanto il sistema di questo paziente sta rispondendo come se ci fosse una minaccia: soglia di dolore più bassa, respiro alto e corto, attenzione tutta sul punto che fa male. Non è una struttura e non si palpa: è uno stato, e si misura per differenza fra prima e dopo.</w:t>
      </w:r>
      <w:r>
        <w:t xml:space="preserve"> </w:t>
      </w:r>
      <w:r>
        <w:rPr>
          <w:b/>
          <w:bCs/>
        </w:rPr>
        <w:t xml:space="preserve">Ha due componenti, con due modelli e due etichette.</w:t>
      </w:r>
      <w:r>
        <w:t xml:space="preserve"> </w:t>
      </w:r>
      <w:r>
        <w:t xml:space="preserve">La prima è la</w:t>
      </w:r>
      <w:r>
        <w:t xml:space="preserve"> </w:t>
      </w:r>
      <w:r>
        <w:rPr>
          <w:b/>
          <w:bCs/>
        </w:rPr>
        <w:t xml:space="preserve">modulazione discendente della nocicezione</w:t>
      </w:r>
      <w:r>
        <w:t xml:space="preserve">, cioè la capacità del sistema nervoso di abbassare da solo il segnale doloroso (Neurologico, ed è la parte con le prove). La seconda è la</w:t>
      </w:r>
      <w:r>
        <w:t xml:space="preserve"> </w:t>
      </w:r>
      <w:r>
        <w:rPr>
          <w:b/>
          <w:bCs/>
        </w:rPr>
        <w:t xml:space="preserve">co-regolazione</w:t>
      </w:r>
      <w:r>
        <w:t xml:space="preserve">, cioè contatto lento, ritmo del respiro, tempo dedicato (Comportamentale, e su questa condizione non misurata).</w:t>
      </w:r>
      <w:r>
        <w:t xml:space="preserve"> </w:t>
      </w:r>
      <w:r>
        <w:rPr>
          <w:b/>
          <w:bCs/>
        </w:rPr>
        <w:t xml:space="preserve">Sulla co-regolazione l’assenza è stata cercata, e va dichiarata come tale:</w:t>
      </w:r>
      <w:r>
        <w:t xml:space="preserve"> </w:t>
      </w:r>
      <w:r>
        <w:t xml:space="preserve">non è misurata su questa condizione e non è stabilita nemmeno sul meccanismo. La letteratura sul tocco lento e sul tono autonomico esiste, ed è fatta di studi di laboratorio piccoli, con risultati misti e almeno un confronto nullo. L’etichetta IPOTESI qui non è un buco da riempire: è il risultato di una ricerca. Quando in questo documento leggi «livello di attivazione» è questo, ed è sempre questa formula.</w:t>
      </w:r>
    </w:p>
    <w:p>
      <w:pPr>
        <w:pStyle w:val="FirstParagraph"/>
      </w:pPr>
      <w:r>
        <w:rPr>
          <w:b/>
          <w:bCs/>
        </w:rPr>
        <w:t xml:space="preserve">Entesite infiammatoria.</w:t>
      </w:r>
      <w:r>
        <w:t xml:space="preserve"> </w:t>
      </w:r>
      <w:r>
        <w:t xml:space="preserve">Non appartiene a questo documento se non per riconoscerla. I segnali: rigidità mattutina che dura oltre mezz’ora e non si scioglie con il movimento; più sedi contemporaneamente;</w:t>
      </w:r>
      <w:r>
        <w:t xml:space="preserve"> </w:t>
      </w:r>
      <w:r>
        <w:rPr>
          <w:b/>
          <w:bCs/>
        </w:rPr>
        <w:t xml:space="preserve">dattilite</w:t>
      </w:r>
      <w:r>
        <w:t xml:space="preserve">, cioè un dito gonfio per intero, «a salsicciotto», non solo all’articolazione; storia o presenza di psoriasi, malattia infiammatoria intestinale, uveite; dolore lombare notturno che migliora muovendosi; familiarità. Uscita: reumatologo.</w:t>
      </w:r>
    </w:p>
    <w:p>
      <w:pPr>
        <w:pStyle w:val="BodyText"/>
      </w:pPr>
      <w:r>
        <w:rPr>
          <w:b/>
          <w:bCs/>
        </w:rPr>
        <w:t xml:space="preserve">Due quadri non sono sottotipi, ed escono qui</w:t>
      </w:r>
      <w:r>
        <w:t xml:space="preserve"> </w:t>
      </w:r>
      <w:r>
        <w:t xml:space="preserve">perché è dove li riconosci. Il primo è la</w:t>
      </w:r>
      <w:r>
        <w:t xml:space="preserve"> </w:t>
      </w:r>
      <w:r>
        <w:rPr>
          <w:b/>
          <w:bCs/>
        </w:rPr>
        <w:t xml:space="preserve">spalla iperalgica acuta con una calcificazione refertata</w:t>
      </w:r>
      <w:r>
        <w:t xml:space="preserve">: è una tendinopatia calcifica in fase riassorbitiva, e va all’ortopedico o al radiologo interventista, non al carico progressivo. Il secondo è il</w:t>
      </w:r>
      <w:r>
        <w:t xml:space="preserve"> </w:t>
      </w:r>
      <w:r>
        <w:rPr>
          <w:b/>
          <w:bCs/>
        </w:rPr>
        <w:t xml:space="preserve">dolore osseo focale che anticipa la sua comparsa nel gesto settimana dopo settimana</w:t>
      </w:r>
      <w:r>
        <w:t xml:space="preserve">: è la lesione da stress ossea del capitolo «Che cos’è davvero», e va all’ortopedico prima di qualunque progressione.</w:t>
      </w:r>
    </w:p>
    <w:bookmarkStart w:id="30" w:name="X8f21d619f527c1481e650a8ae25078750290672"/>
    <w:p>
      <w:pPr>
        <w:pStyle w:val="Heading3"/>
      </w:pPr>
      <w:r>
        <w:t xml:space="preserve">Come si presume il sottotipo quando l’ecografia non c’è</w:t>
      </w:r>
    </w:p>
    <w:p>
      <w:pPr>
        <w:pStyle w:val="FirstParagraph"/>
      </w:pPr>
      <w:r>
        <w:t xml:space="preserve">La maggioranza dei pazienti arriva senza ecografia, o con una che dice «tendinopatia» senza specificare la sede lungo il tendine. La distinzione inserzionale/medio-portale la fai allora per</w:t>
      </w:r>
      <w:r>
        <w:t xml:space="preserve"> </w:t>
      </w:r>
      <w:r>
        <w:rPr>
          <w:b/>
          <w:bCs/>
        </w:rPr>
        <w:t xml:space="preserve">presunzione di lavoro</w:t>
      </w:r>
      <w:r>
        <w:t xml:space="preserve">, non per diagnosi. Poggia su tre reperti: dove il paziente indica il dolore rispetto al rilievo osseo; come risponde a una posizione di massimo allungamento mantenuta; come risponde a un carico in corsa media rispetto allo stesso carico in fine corsa.</w:t>
      </w:r>
    </w:p>
    <w:p>
      <w:pPr>
        <w:pStyle w:val="BodyText"/>
      </w:pPr>
      <w:r>
        <w:rPr>
          <w:b/>
          <w:bCs/>
        </w:rPr>
        <w:t xml:space="preserve">La presunzione si scrive in cartella e si dice al paziente come presunzione:</w:t>
      </w:r>
      <w:r>
        <w:t xml:space="preserve"> </w:t>
      </w:r>
      <w:r>
        <w:rPr>
          <w:i/>
          <w:iCs/>
        </w:rPr>
        <w:t xml:space="preserve">«lavoro come se il punto fosse sull’osso, perché è dove lo indichi e perché peggiora allungando; se il quadro non si muove, quell’ipotesi va rivista e serve l’ecografia».</w:t>
      </w:r>
    </w:p>
    <w:p>
      <w:pPr>
        <w:pStyle w:val="BlockText"/>
      </w:pPr>
      <w:r>
        <w:rPr>
          <w:b/>
          <w:bCs/>
        </w:rPr>
        <w:t xml:space="preserve">Condizioni spesso associate:</w:t>
      </w:r>
      <w:r>
        <w:t xml:space="preserve"> </w:t>
      </w:r>
      <w:r>
        <w:t xml:space="preserve">se il paziente ha anche dolore in più articolazioni senza una sede dominante, vedi la Bibbia dei</w:t>
      </w:r>
      <w:r>
        <w:t xml:space="preserve"> </w:t>
      </w:r>
      <w:r>
        <w:rPr>
          <w:b/>
          <w:bCs/>
        </w:rPr>
        <w:t xml:space="preserve">Dolori articolari</w:t>
      </w:r>
      <w:r>
        <w:t xml:space="preserve">. Se il dolore del gomito o della spalla si accompagna a formicolio distale o a dolore cervicale, vedi</w:t>
      </w:r>
      <w:r>
        <w:t xml:space="preserve"> </w:t>
      </w:r>
      <w:r>
        <w:rPr>
          <w:b/>
          <w:bCs/>
        </w:rPr>
        <w:t xml:space="preserve">Cervicobrachialgia</w:t>
      </w:r>
      <w:r>
        <w:t xml:space="preserve"> </w:t>
      </w:r>
      <w:r>
        <w:t xml:space="preserve">e</w:t>
      </w:r>
      <w:r>
        <w:t xml:space="preserve"> </w:t>
      </w:r>
      <w:r>
        <w:rPr>
          <w:b/>
          <w:bCs/>
        </w:rPr>
        <w:t xml:space="preserve">Cervicalgia</w:t>
      </w:r>
      <w:r>
        <w:t xml:space="preserve">: i quadri condividono il territorio e vanno separati, non sommati.</w:t>
      </w:r>
    </w:p>
    <w:p>
      <w:pPr>
        <w:pStyle w:val="FirstParagraph"/>
      </w:pPr>
      <w:r>
        <w:rPr>
          <w:b/>
          <w:bCs/>
        </w:rPr>
        <w:t xml:space="preserve">Le tre cose da ricordare, più una</w:t>
      </w:r>
    </w:p>
    <w:p>
      <w:pPr>
        <w:pStyle w:val="Compact"/>
        <w:numPr>
          <w:ilvl w:val="0"/>
          <w:numId w:val="1021"/>
        </w:numPr>
      </w:pPr>
      <w:r>
        <w:t xml:space="preserve">Il sottotipo che cambia di più la condotta è l’inserzionale, e si riconosce dalla posizione che lo comprime — che non è la stessa in tutte le sedi. Senza ecografia lo presumi, e la presunzione si scrive come presunzione: altrimenti diventa una diagnosi che nessuno ha fatto.</w:t>
      </w:r>
    </w:p>
    <w:p>
      <w:pPr>
        <w:pStyle w:val="Compact"/>
        <w:numPr>
          <w:ilvl w:val="0"/>
          <w:numId w:val="1021"/>
        </w:numPr>
      </w:pPr>
      <w:r>
        <w:t xml:space="preserve">Il paziente con dolore allargato non è un paziente perso: è quello con due leve invece di una. Ed è raro, non è il capolinea di tutti.</w:t>
      </w:r>
    </w:p>
    <w:p>
      <w:pPr>
        <w:pStyle w:val="Compact"/>
        <w:numPr>
          <w:ilvl w:val="0"/>
          <w:numId w:val="1021"/>
        </w:numPr>
      </w:pPr>
      <w:r>
        <w:t xml:space="preserve">Il reattivo su degenerativo è l’unico in cui il tuo errore tipico è per eccesso: storia lunga, dieci giorni brutti, e una progressione che non doveva partire.</w:t>
      </w:r>
    </w:p>
    <w:p>
      <w:pPr>
        <w:pStyle w:val="Compact"/>
        <w:numPr>
          <w:ilvl w:val="0"/>
          <w:numId w:val="1021"/>
        </w:numPr>
      </w:pPr>
      <w:r>
        <w:rPr>
          <w:b/>
          <w:bCs/>
        </w:rPr>
        <w:t xml:space="preserve">Perché ci sei tu.</w:t>
      </w:r>
      <w:r>
        <w:t xml:space="preserve"> </w:t>
      </w:r>
      <w:r>
        <w:t xml:space="preserve">Sull’entesite infiammatoria non ci sei, e i criteri che la separano dalla tendinopatia da carico hanno una specificità dell’82,9% su 266 pazienti senza richiedere uno strumento (Rudwaleit, 2011, PMID 21109520). Questo ti autorizza a essere il primo del percorso che quelle domande le fa. Non ti autorizza ad aprire un ciclo su quel tendine in attesa della visita.</w:t>
      </w:r>
    </w:p>
    <w:p>
      <w:r>
        <w:pict>
          <v:rect style="width:0;height:1.5pt" o:hralign="center" o:hrstd="t" o:hr="t"/>
        </w:pict>
      </w:r>
    </w:p>
    <w:bookmarkEnd w:id="30"/>
    <w:bookmarkEnd w:id="31"/>
    <w:bookmarkStart w:id="37"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comandano il</w:t>
      </w:r>
      <w:r>
        <w:t xml:space="preserve"> </w:t>
      </w:r>
      <w:r>
        <w:rPr>
          <w:b/>
          <w:bCs/>
        </w:rPr>
        <w:t xml:space="preserve">Biomeccanico del carico</w:t>
      </w:r>
      <w:r>
        <w:t xml:space="preserve"> </w:t>
      </w:r>
      <w:r>
        <w:t xml:space="preserve">e il</w:t>
      </w:r>
      <w:r>
        <w:t xml:space="preserve"> </w:t>
      </w:r>
      <w:r>
        <w:rPr>
          <w:b/>
          <w:bCs/>
        </w:rPr>
        <w:t xml:space="preserve">Comportamentale</w:t>
      </w:r>
      <w:r>
        <w:t xml:space="preserve">, il</w:t>
      </w:r>
      <w:r>
        <w:t xml:space="preserve"> </w:t>
      </w:r>
      <w:r>
        <w:rPr>
          <w:b/>
          <w:bCs/>
        </w:rPr>
        <w:t xml:space="preserve">Metabolico</w:t>
      </w:r>
      <w:r>
        <w:t xml:space="preserve"> </w:t>
      </w:r>
      <w:r>
        <w:t xml:space="preserve">decide quanto in alto puoi salire, il</w:t>
      </w:r>
      <w:r>
        <w:t xml:space="preserve"> </w:t>
      </w:r>
      <w:r>
        <w:rPr>
          <w:b/>
          <w:bCs/>
        </w:rPr>
        <w:t xml:space="preserve">Neurologico</w:t>
      </w:r>
      <w:r>
        <w:t xml:space="preserve"> </w:t>
      </w:r>
      <w:r>
        <w:t xml:space="preserve">apre la porta dentro la seduta, e il</w:t>
      </w:r>
      <w:r>
        <w:t xml:space="preserve"> </w:t>
      </w:r>
      <w:r>
        <w:rPr>
          <w:b/>
          <w:bCs/>
        </w:rPr>
        <w:t xml:space="preserve">Respiratorio-Circolatorio</w:t>
      </w:r>
      <w:r>
        <w:t xml:space="preserve"> </w:t>
      </w:r>
      <w:r>
        <w:t xml:space="preserve">ha un raggio d’azione talmente ristretto che dichiararlo vale più che invocarlo.</w:t>
      </w:r>
    </w:p>
    <w:bookmarkStart w:id="32" w:name="biomeccanico-strutturale"/>
    <w:p>
      <w:pPr>
        <w:pStyle w:val="Heading3"/>
      </w:pPr>
      <w:r>
        <w:t xml:space="preserve">Biomeccanico-Strutturale</w:t>
      </w:r>
    </w:p>
    <w:p>
      <w:pPr>
        <w:pStyle w:val="FirstParagraph"/>
      </w:pPr>
      <w:r>
        <w:rPr>
          <w:b/>
          <w:bCs/>
        </w:rPr>
        <w:t xml:space="preserve">Cosa governa qui.</w:t>
      </w:r>
      <w:r>
        <w:t xml:space="preserve"> </w:t>
      </w:r>
      <w:r>
        <w:t xml:space="preserve">Tre cose: la corsa disponibile dell’articolazione adiacente, il punto della corsa in cui il gesto viene eseguito, e la compressione che l’entesi riceve a fine corsa.</w:t>
      </w:r>
      <w:r>
        <w:t xml:space="preserve"> </w:t>
      </w:r>
      <w:r>
        <w:rPr>
          <w:b/>
          <w:bCs/>
        </w:rPr>
        <w:t xml:space="preserve">Gli attori:</w:t>
      </w:r>
      <w:r>
        <w:t xml:space="preserve"> </w:t>
      </w:r>
      <w:r>
        <w:t xml:space="preserve">l’articolazione a monte e a valle, il ventre muscolare, l’entesi, il paratenonio.</w:t>
      </w:r>
      <w:r>
        <w:t xml:space="preserve"> </w:t>
      </w:r>
      <w:r>
        <w:rPr>
          <w:b/>
          <w:bCs/>
        </w:rPr>
        <w:t xml:space="preserve">Quali meccanismi governa:</w:t>
      </w:r>
      <w:r>
        <w:t xml:space="preserve"> </w:t>
      </w:r>
      <w:r>
        <w:t xml:space="preserve">il primo e il quinto.</w:t>
      </w:r>
    </w:p>
    <w:p>
      <w:pPr>
        <w:pStyle w:val="BodyText"/>
      </w:pPr>
      <w:r>
        <w:rPr>
          <w:b/>
          <w:bCs/>
        </w:rPr>
        <w:t xml:space="preserve">I segnali che ti dicono che pesa in questo paziente.</w:t>
      </w:r>
      <w:r>
        <w:t xml:space="preserve"> </w:t>
      </w:r>
      <w:r>
        <w:t xml:space="preserve">Il primo è un’asimmetria della corsa articolare adiacente rispetto al lato sano</w:t>
      </w:r>
      <w:r>
        <w:t xml:space="preserve"> </w:t>
      </w:r>
      <w:r>
        <w:rPr>
          <w:b/>
          <w:bCs/>
        </w:rPr>
        <w:t xml:space="preserve">di almeno 10 gradi o 1 centimetro</w:t>
      </w:r>
      <w:r>
        <w:t xml:space="preserve">. È la stessa soglia che usi come marker, e sotto quel valore l’asimmetria non si conta: senza soglia ogni paziente ha un’asimmetria, e il piano meno dimostrato dei cinque si prende automaticamente la dominanza. Gli altri due segnali: dolore che compare solo in una porzione precisa del gesto e non in tutto l’arco; sintomo che cambia quando modifichi temporaneamente la posizione di fine corsa.</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la compressione a fine corsa sia un fattore di carico distinto (Cook e Purdam, 2012, PMID 22113234).</w:t>
      </w:r>
      <w:r>
        <w:t xml:space="preserve"> </w:t>
      </w:r>
      <w:r>
        <w:rPr>
          <w:b/>
          <w:bCs/>
        </w:rPr>
        <w:t xml:space="preserve">IPOTESI</w:t>
      </w:r>
      <w:r>
        <w:t xml:space="preserve"> </w:t>
      </w:r>
      <w:r>
        <w:rPr>
          <w:i/>
          <w:iCs/>
        </w:rPr>
        <w:t xml:space="preserve">(meccanismo coerente, nessuno studio)</w:t>
      </w:r>
      <w:r>
        <w:t xml:space="preserve"> </w:t>
      </w:r>
      <w:r>
        <w:t xml:space="preserve">che ripristinare corsa altrove riduca il carico sul tendine, e qui con prove discordanti (Quarmby, 2023, PMID 36685067).</w:t>
      </w:r>
    </w:p>
    <w:bookmarkEnd w:id="32"/>
    <w:bookmarkStart w:id="33" w:name="respiratorio-circolatorio"/>
    <w:p>
      <w:pPr>
        <w:pStyle w:val="Heading3"/>
      </w:pPr>
      <w:r>
        <w:t xml:space="preserve">Respiratorio-Circolatorio</w:t>
      </w:r>
    </w:p>
    <w:p>
      <w:pPr>
        <w:pStyle w:val="FirstParagraph"/>
      </w:pPr>
      <w:r>
        <w:t xml:space="preserve">Qui si usa</w:t>
      </w:r>
      <w:r>
        <w:t xml:space="preserve"> </w:t>
      </w:r>
      <w:r>
        <w:rPr>
          <w:b/>
          <w:bCs/>
        </w:rPr>
        <w:t xml:space="preserve">soltanto</w:t>
      </w:r>
      <w:r>
        <w:t xml:space="preserve"> </w:t>
      </w:r>
      <w:r>
        <w:t xml:space="preserve">la metà ventilatoria, come componente di co-regolazione dentro il livello di attivazione. Gli attori sono il diaframma e il ritmo del respiro, non una pompa per il tendine, e il modello non governa nessun meccanismo in proprio. I segnali che lo attivano sono due, e sono osservabili: respiro alto e corto, apnea durante il compito di carico.</w:t>
      </w:r>
    </w:p>
    <w:p>
      <w:pPr>
        <w:pStyle w:val="BodyText"/>
      </w:pPr>
      <w:r>
        <w:rPr>
          <w:b/>
          <w:bCs/>
        </w:rPr>
        <w:t xml:space="preserve">La metà circolatoria — ritorno venoso, drenaggio linfatico, gradienti pressori — qui non è pertinente e non viene invocata.</w:t>
      </w:r>
      <w:r>
        <w:t xml:space="preserve"> </w:t>
      </w:r>
      <w:r>
        <w:t xml:space="preserve">Nessuno ha misurato la perfusione tendinea prima e dopo un trattamento manuale, in nessuna popolazione. Se ti trovi a spiegare una tendinopatia con un problema di drenaggio, sei fuori da quello che qualcuno ha misurato.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per entrambe le metà, e per ragioni diverse: la ventilatoria non è mai stata misurata su questa condizione, la circolatoria non è mai stata misurata su questo tessuto.</w:t>
      </w:r>
    </w:p>
    <w:bookmarkEnd w:id="33"/>
    <w:bookmarkStart w:id="34" w:name="neurologico"/>
    <w:p>
      <w:pPr>
        <w:pStyle w:val="Heading3"/>
      </w:pPr>
      <w:r>
        <w:t xml:space="preserve">Neurologico</w:t>
      </w:r>
    </w:p>
    <w:p>
      <w:pPr>
        <w:pStyle w:val="FirstParagraph"/>
      </w:pPr>
      <w:r>
        <w:rPr>
          <w:b/>
          <w:bCs/>
        </w:rPr>
        <w:t xml:space="preserve">Cosa governa qui.</w:t>
      </w:r>
      <w:r>
        <w:t xml:space="preserve"> </w:t>
      </w:r>
      <w:r>
        <w:t xml:space="preserve">Due cose: la soglia a cui il carico diventa dolore, e la</w:t>
      </w:r>
      <w:r>
        <w:t xml:space="preserve"> </w:t>
      </w:r>
      <w:r>
        <w:rPr>
          <w:b/>
          <w:bCs/>
        </w:rPr>
        <w:t xml:space="preserve">modulazione discendente della nocicezione</w:t>
      </w:r>
      <w:r>
        <w:t xml:space="preserve"> </w:t>
      </w:r>
      <w:r>
        <w:t xml:space="preserve">che ottieni con il tocco e con il carico stesso. È il modello che apre la porta dentro la seduta.</w:t>
      </w:r>
    </w:p>
    <w:p>
      <w:pPr>
        <w:pStyle w:val="BodyText"/>
      </w:pPr>
      <w:r>
        <w:rPr>
          <w:b/>
          <w:bCs/>
        </w:rPr>
        <w:t xml:space="preserve">Gli attori.</w:t>
      </w:r>
      <w:r>
        <w:t xml:space="preserve"> </w:t>
      </w:r>
      <w:r>
        <w:t xml:space="preserve">I recettori sensibili alla deformazione e all’ambiente chimico nella parte integra del tendine, e le vie inibitorie discendenti.</w:t>
      </w:r>
      <w:r>
        <w:t xml:space="preserve"> </w:t>
      </w:r>
      <w:r>
        <w:rPr>
          <w:b/>
          <w:bCs/>
        </w:rPr>
        <w:t xml:space="preserve">Non</w:t>
      </w:r>
      <w:r>
        <w:t xml:space="preserve"> </w:t>
      </w:r>
      <w:r>
        <w:t xml:space="preserve">i farmaci, che stanno nel Metabolico-Energetico per la ragione di meccanismo dichiarata lì.</w:t>
      </w:r>
    </w:p>
    <w:p>
      <w:pPr>
        <w:pStyle w:val="BodyText"/>
      </w:pPr>
      <w:r>
        <w:rPr>
          <w:b/>
          <w:bCs/>
        </w:rPr>
        <w:t xml:space="preserve">E il sonno sta qui, non nel Metabolico.</w:t>
      </w:r>
      <w:r>
        <w:t xml:space="preserve"> </w:t>
      </w:r>
      <w:r>
        <w:t xml:space="preserve">La privazione di sonno abbassa la soglia del dolore. L’effetto è medio nei confronti fra gruppi (SMD 0,62; IC95% 0,12-1,12) su cinque studi e 190 soggetti, e grande entro gruppo (SMD 1,49) su dieci studi e 266 (Schrimpf,</w:t>
      </w:r>
      <w:r>
        <w:t xml:space="preserve"> </w:t>
      </w:r>
      <w:r>
        <w:rPr>
          <w:i/>
          <w:iCs/>
        </w:rPr>
        <w:t xml:space="preserve">Sleep Med</w:t>
      </w:r>
      <w:r>
        <w:t xml:space="preserve">, 2015, PMID 26498229).</w:t>
      </w:r>
      <w:r>
        <w:t xml:space="preserve"> </w:t>
      </w:r>
      <w:r>
        <w:rPr>
          <w:i/>
          <w:iCs/>
        </w:rPr>
        <w:t xml:space="preserve">Misurato su soggetti sani in privazione sperimentale di sonno, non su pazienti con tendinopatia, e gli autori dichiarano che la rilevanza clinica resta da chiarire.</w:t>
      </w:r>
      <w:r>
        <w:t xml:space="preserve"> </w:t>
      </w:r>
      <w:r>
        <w:rPr>
          <w:b/>
          <w:bCs/>
        </w:rPr>
        <w:t xml:space="preserve">Quello che è misurato è un effetto sulla percezione del dolore, non sulla capacità del tessuto.</w:t>
      </w:r>
      <w:r>
        <w:t xml:space="preserve"> </w:t>
      </w:r>
      <w:r>
        <w:t xml:space="preserve">È la ragione per cui il sonno non torna nel Metabolico, e per cui da qui non si deduce nessuna leva sul tendine.</w:t>
      </w:r>
    </w:p>
    <w:p>
      <w:pPr>
        <w:pStyle w:val="BodyText"/>
      </w:pPr>
      <w:r>
        <w:rPr>
          <w:b/>
          <w:bCs/>
        </w:rPr>
        <w:t xml:space="preserve">Quali meccanismi governa.</w:t>
      </w:r>
      <w:r>
        <w:t xml:space="preserve"> </w:t>
      </w:r>
      <w:r>
        <w:t xml:space="preserve">Il terzo, cioè il sistema del dolore allargato, e in parte il primo.</w:t>
      </w:r>
    </w:p>
    <w:p>
      <w:pPr>
        <w:pStyle w:val="BodyText"/>
      </w:pPr>
      <w:r>
        <w:rPr>
          <w:b/>
          <w:bCs/>
        </w:rPr>
        <w:t xml:space="preserve">I segnali che ti dicono che pesa in questo paziente.</w:t>
      </w:r>
      <w:r>
        <w:t xml:space="preserve"> </w:t>
      </w:r>
      <w:r>
        <w:t xml:space="preserve">Dolore presente a riposo e di notte. Sintomo allargato oltre il tendine.</w:t>
      </w:r>
      <w:r>
        <w:t xml:space="preserve"> </w:t>
      </w:r>
      <w:r>
        <w:rPr>
          <w:b/>
          <w:bCs/>
        </w:rPr>
        <w:t xml:space="preserve">Al gomito e alla spalla</w:t>
      </w:r>
      <w:r>
        <w:t xml:space="preserve">, soglia di pressione bassa in una sede che non hai toccato. E un dolore che cambia molto fra una seduta e l’altra senza che il carico sia cambiato.</w:t>
      </w:r>
    </w:p>
    <w:p>
      <w:pPr>
        <w:pStyle w:val="BodyText"/>
      </w:pPr>
      <w:r>
        <w:rPr>
          <w:b/>
          <w:bCs/>
        </w:rPr>
        <w:t xml:space="preserve">Come funziona la via, e perché cambia cosa interpreti come segno che sta funzionando.</w:t>
      </w:r>
      <w:r>
        <w:t xml:space="preserve"> </w:t>
      </w:r>
      <w:r>
        <w:t xml:space="preserve">L’ipoalgesia da terapia manuale, qui, non è un effetto calmante. È un’inibizione discendente</w:t>
      </w:r>
      <w:r>
        <w:t xml:space="preserve"> </w:t>
      </w:r>
      <w:r>
        <w:rPr>
          <w:b/>
          <w:bCs/>
        </w:rPr>
        <w:t xml:space="preserve">non oppioide</w:t>
      </w:r>
      <w:r>
        <w:t xml:space="preserve">, accompagnata da un</w:t>
      </w:r>
      <w:r>
        <w:t xml:space="preserve"> </w:t>
      </w:r>
      <w:r>
        <w:rPr>
          <w:b/>
          <w:bCs/>
        </w:rPr>
        <w:t xml:space="preserve">aumento</w:t>
      </w:r>
      <w:r>
        <w:t xml:space="preserve"> </w:t>
      </w:r>
      <w:r>
        <w:t xml:space="preserve">dell’attività simpatica: frequenza cardiaca, pressione, funzione sudomotoria e vasomotoria, con le due misure correlate a r = 0,82 (Vicenzino,</w:t>
      </w:r>
      <w:r>
        <w:t xml:space="preserve"> </w:t>
      </w:r>
      <w:r>
        <w:rPr>
          <w:i/>
          <w:iCs/>
        </w:rPr>
        <w:t xml:space="preserve">JMPT</w:t>
      </w:r>
      <w:r>
        <w:t xml:space="preserve">, 1998, PMID 9777544; Paungmali,</w:t>
      </w:r>
      <w:r>
        <w:t xml:space="preserve"> </w:t>
      </w:r>
      <w:r>
        <w:rPr>
          <w:i/>
          <w:iCs/>
        </w:rPr>
        <w:t xml:space="preserve">Phys Ther</w:t>
      </w:r>
      <w:r>
        <w:t xml:space="preserve">, 2003, PMID 12665408). Se il paziente si</w:t>
      </w:r>
      <w:r>
        <w:t xml:space="preserve"> </w:t>
      </w:r>
      <w:r>
        <w:rPr>
          <w:b/>
          <w:bCs/>
        </w:rPr>
        <w:t xml:space="preserve">attiva</w:t>
      </w:r>
      <w:r>
        <w:t xml:space="preserve"> </w:t>
      </w:r>
      <w:r>
        <w:t xml:space="preserve">invece di rilassarsi, è il profilo atteso della via, non un segno che stai sbagliando. È il fiato corto di quando ti alzi di scatto: sale, e non vuol dire che stai male.</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la sensibilizzazione, e solo all’arto superiore; il dato per esteso, con la sua spaccatura per distretto, sta nel meccanismo del sistema del dolore che si è allargato (Plinsinga, 2015, PMID 26390275; Rio, 2021, PMID 33383996).</w:t>
      </w:r>
      <w:r>
        <w:t xml:space="preserve"> </w:t>
      </w:r>
      <w:r>
        <w:rPr>
          <w:b/>
          <w:bCs/>
        </w:rPr>
        <w:t xml:space="preserve">DIMOSTRATO</w:t>
      </w:r>
      <w:r>
        <w:t xml:space="preserve"> </w:t>
      </w:r>
      <w:r>
        <w:rPr>
          <w:i/>
          <w:iCs/>
        </w:rPr>
        <w:t xml:space="preserve">(studi sull’uomo, solidi)</w:t>
      </w:r>
      <w:r>
        <w:t xml:space="preserve"> </w:t>
      </w:r>
      <w:r>
        <w:t xml:space="preserve">l’ipoalgesia immediata da singola tecnica manuale</w:t>
      </w:r>
      <w:r>
        <w:t xml:space="preserve"> </w:t>
      </w:r>
      <w:r>
        <w:rPr>
          <w:b/>
          <w:bCs/>
        </w:rPr>
        <w:t xml:space="preserve">nell’epicondilalgia laterale</w:t>
      </w:r>
      <w:r>
        <w:t xml:space="preserve">, con gli effetti piccoli come limite accanto al grado: i disegni e i numeri stanno per esteso nella terza leva di «Perché le mani possono cambiare qualcosa» (Vicenzino, PMID 9252000 e PMID 9777544; Lucado, 2019, PMID 29705077).</w:t>
      </w:r>
      <w:r>
        <w:t xml:space="preserve"> </w:t>
      </w:r>
      <w:r>
        <w:rPr>
          <w:b/>
          <w:bCs/>
        </w:rPr>
        <w:t xml:space="preserve">Il salto è di sede:</w:t>
      </w:r>
      <w:r>
        <w:t xml:space="preserve"> </w:t>
      </w:r>
      <w:r>
        <w:t xml:space="preserve">tutto questo è misurato sul</w:t>
      </w:r>
      <w:r>
        <w:t xml:space="preserve"> </w:t>
      </w:r>
      <w:r>
        <w:rPr>
          <w:b/>
          <w:bCs/>
        </w:rPr>
        <w:t xml:space="preserve">gomito</w:t>
      </w:r>
      <w:r>
        <w:t xml:space="preserve">, e fuori dal gomito la stessa affermazione porta</w:t>
      </w:r>
      <w:r>
        <w:t xml:space="preserve"> </w:t>
      </w:r>
      <w:r>
        <w:rPr>
          <w:b/>
          <w:bCs/>
        </w:rPr>
        <w:t xml:space="preserve">PROBABILE</w:t>
      </w:r>
      <w:r>
        <w:t xml:space="preserve">. E l’effetto è immediato: dice che l’ipoalgesia esiste, non che dura.</w:t>
      </w:r>
      <w:r>
        <w:t xml:space="preserve"> </w:t>
      </w:r>
      <w:r>
        <w:rPr>
          <w:b/>
          <w:bCs/>
        </w:rPr>
        <w:t xml:space="preserve">PROBABILE</w:t>
      </w:r>
      <w:r>
        <w:t xml:space="preserve"> </w:t>
      </w:r>
      <w:r>
        <w:rPr>
          <w:i/>
          <w:iCs/>
        </w:rPr>
        <w:t xml:space="preserve">(razionale forte, prove parziali)</w:t>
      </w:r>
      <w:r>
        <w:t xml:space="preserve"> </w:t>
      </w:r>
      <w:r>
        <w:t xml:space="preserve">l’effetto della privazione di sonno sulla soglia del dolore, misurato su sani in condizione sperimentale (Schrimpf, 2015, PMID 26498229).</w:t>
      </w:r>
    </w:p>
    <w:p>
      <w:pPr>
        <w:pStyle w:val="BlockText"/>
      </w:pPr>
      <w:r>
        <w:rPr>
          <w:b/>
          <w:bCs/>
        </w:rPr>
        <w:t xml:space="preserve">Attenzione — la zona.</w:t>
      </w:r>
      <w:r>
        <w:t xml:space="preserve"> </w:t>
      </w:r>
      <w:r>
        <w:t xml:space="preserve">La tecnica dello studio del 1996 è una</w:t>
      </w:r>
      <w:r>
        <w:t xml:space="preserve"> </w:t>
      </w:r>
      <w:r>
        <w:rPr>
          <w:b/>
          <w:bCs/>
        </w:rPr>
        <w:t xml:space="preserve">mobilizzazione del rachide cervicale</w:t>
      </w:r>
      <w:r>
        <w:t xml:space="preserve"> </w:t>
      </w:r>
      <w:r>
        <w:t xml:space="preserve">in pazienti con dolore al gomito, non un gesto sul gomito. Quella regione ha un profilo di rischio vascolare proprio, raro e grave. Prima di qualunque intervento su quella regione esiste un quadro anamnestico internazionale di riferimento, che copre</w:t>
      </w:r>
      <w:r>
        <w:t xml:space="preserve"> </w:t>
      </w:r>
      <w:r>
        <w:rPr>
          <w:b/>
          <w:bCs/>
        </w:rPr>
        <w:t xml:space="preserve">la mobilizzazione oltre alla manipolazione</w:t>
      </w:r>
      <w:r>
        <w:t xml:space="preserve"> </w:t>
      </w:r>
      <w:r>
        <w:t xml:space="preserve">(IFOMPT Cervical Framework, Rushton,</w:t>
      </w:r>
      <w:r>
        <w:t xml:space="preserve"> </w:t>
      </w:r>
      <w:r>
        <w:rPr>
          <w:i/>
          <w:iCs/>
        </w:rPr>
        <w:t xml:space="preserve">JOSPT</w:t>
      </w:r>
      <w:r>
        <w:t xml:space="preserve">, 2023, PMID 36099171). Qui ti serve sapere che esiste; come si applica sta nella Procedura.</w:t>
      </w:r>
    </w:p>
    <w:bookmarkEnd w:id="34"/>
    <w:bookmarkStart w:id="35" w:name="metabolico-energetico"/>
    <w:p>
      <w:pPr>
        <w:pStyle w:val="Heading3"/>
      </w:pPr>
      <w:r>
        <w:t xml:space="preserve">Metabolico-Energetico</w:t>
      </w:r>
    </w:p>
    <w:p>
      <w:pPr>
        <w:pStyle w:val="FirstParagraph"/>
      </w:pPr>
      <w:r>
        <w:rPr>
          <w:b/>
          <w:bCs/>
        </w:rPr>
        <w:t xml:space="preserve">Cosa governa qui.</w:t>
      </w:r>
      <w:r>
        <w:t xml:space="preserve"> </w:t>
      </w:r>
      <w:r>
        <w:t xml:space="preserve">La</w:t>
      </w:r>
      <w:r>
        <w:t xml:space="preserve"> </w:t>
      </w:r>
      <w:r>
        <w:rPr>
          <w:b/>
          <w:bCs/>
        </w:rPr>
        <w:t xml:space="preserve">capacità di partenza</w:t>
      </w:r>
      <w:r>
        <w:t xml:space="preserve"> </w:t>
      </w:r>
      <w:r>
        <w:t xml:space="preserve">del tessuto e l’</w:t>
      </w:r>
      <w:r>
        <w:rPr>
          <w:b/>
          <w:bCs/>
        </w:rPr>
        <w:t xml:space="preserve">economia del recupero</w:t>
      </w:r>
      <w:r>
        <w:t xml:space="preserve"> </w:t>
      </w:r>
      <w:r>
        <w:t xml:space="preserve">fra un carico e l’altro. Non il meccanismo del sintomo.</w:t>
      </w:r>
    </w:p>
    <w:p>
      <w:pPr>
        <w:pStyle w:val="BodyText"/>
      </w:pPr>
      <w:r>
        <w:rPr>
          <w:b/>
          <w:bCs/>
        </w:rPr>
        <w:t xml:space="preserve">Gli attori.</w:t>
      </w:r>
      <w:r>
        <w:t xml:space="preserve"> </w:t>
      </w:r>
      <w:r>
        <w:t xml:space="preserve">Glicemia e durata del diabete, assetto lipidico, peso, età. E i</w:t>
      </w:r>
      <w:r>
        <w:t xml:space="preserve"> </w:t>
      </w:r>
      <w:r>
        <w:rPr>
          <w:b/>
          <w:bCs/>
        </w:rPr>
        <w:t xml:space="preserve">farmaci che aggrediscono la matrice</w:t>
      </w:r>
      <w:r>
        <w:t xml:space="preserve">: chinoloni, cortisone prolungato o infiltrativo ripetuto. Stanno qui e non nel Neurologico per una ragione di meccanismo. I fluorochinoloni aumentano l’attività delle metalloproteasi, riducono la sintesi di collagene e proteoglicani, favoriscono la morte dei tenociti. Non spostano la soglia del dolore:</w:t>
      </w:r>
      <w:r>
        <w:t xml:space="preserve"> </w:t>
      </w:r>
      <w:r>
        <w:rPr>
          <w:b/>
          <w:bCs/>
        </w:rPr>
        <w:t xml:space="preserve">abbassano la resistenza del tessuto</w:t>
      </w:r>
      <w:r>
        <w:t xml:space="preserve">, che è ciò che questo modello governa. Il</w:t>
      </w:r>
      <w:r>
        <w:t xml:space="preserve"> </w:t>
      </w:r>
      <w:r>
        <w:rPr>
          <w:b/>
          <w:bCs/>
        </w:rPr>
        <w:t xml:space="preserve">sonno</w:t>
      </w:r>
      <w:r>
        <w:t xml:space="preserve">, per la ragione opposta, non sta qui ma nel Neurologico.</w:t>
      </w:r>
    </w:p>
    <w:p>
      <w:pPr>
        <w:pStyle w:val="BodyText"/>
      </w:pPr>
      <w:r>
        <w:rPr>
          <w:b/>
          <w:bCs/>
        </w:rPr>
        <w:t xml:space="preserve">Quali meccanismi governa.</w:t>
      </w:r>
      <w:r>
        <w:t xml:space="preserve"> </w:t>
      </w:r>
      <w:r>
        <w:t xml:space="preserve">Nessuno in proprio.</w:t>
      </w:r>
      <w:r>
        <w:t xml:space="preserve"> </w:t>
      </w:r>
      <w:r>
        <w:rPr>
          <w:b/>
          <w:bCs/>
        </w:rPr>
        <w:t xml:space="preserve">Sposta la capacità</w:t>
      </w:r>
      <w:r>
        <w:t xml:space="preserve"> </w:t>
      </w:r>
      <w:r>
        <w:t xml:space="preserve">su cui agiscono il primo e il quarto, e decide quanto in alto una progressione può salire.</w:t>
      </w:r>
      <w:r>
        <w:t xml:space="preserve"> </w:t>
      </w:r>
      <w:r>
        <w:rPr>
          <w:b/>
          <w:bCs/>
        </w:rPr>
        <w:t xml:space="preserve">I segnali:</w:t>
      </w:r>
      <w:r>
        <w:t xml:space="preserve"> </w:t>
      </w:r>
      <w:r>
        <w:t xml:space="preserve">diabete noto e di lunga durata; tendinopatie in più sedi senza un carico che le spieghi; una resa del lavoro attivo molto inferiore all’atteso a parità di aderenza; un ciclo di chinolone recente.</w:t>
      </w:r>
    </w:p>
    <w:p>
      <w:pPr>
        <w:pStyle w:val="BodyText"/>
      </w:pPr>
      <w:r>
        <w:rPr>
          <w:b/>
          <w:bCs/>
        </w:rPr>
        <w:t xml:space="preserve">I numeri, con il loro denominatore.</w:t>
      </w:r>
      <w:r>
        <w:t xml:space="preserve"> </w:t>
      </w:r>
      <w:r>
        <w:t xml:space="preserve">La revisione dedicata al diabete dà tre stime. In</w:t>
      </w:r>
      <w:r>
        <w:t xml:space="preserve"> </w:t>
      </w:r>
      <w:r>
        <w:rPr>
          <w:b/>
          <w:bCs/>
        </w:rPr>
        <w:t xml:space="preserve">17 studi</w:t>
      </w:r>
      <w:r>
        <w:t xml:space="preserve"> </w:t>
      </w:r>
      <w:r>
        <w:t xml:space="preserve">la tendinopatia era più frequente nelle persone con diabete, con odds ratio</w:t>
      </w:r>
      <w:r>
        <w:t xml:space="preserve"> </w:t>
      </w:r>
      <w:r>
        <w:rPr>
          <w:b/>
          <w:bCs/>
        </w:rPr>
        <w:t xml:space="preserve">3,67</w:t>
      </w:r>
      <w:r>
        <w:t xml:space="preserve">. In</w:t>
      </w:r>
      <w:r>
        <w:t xml:space="preserve"> </w:t>
      </w:r>
      <w:r>
        <w:rPr>
          <w:b/>
          <w:bCs/>
        </w:rPr>
        <w:t xml:space="preserve">5 studi</w:t>
      </w:r>
      <w:r>
        <w:t xml:space="preserve"> </w:t>
      </w:r>
      <w:r>
        <w:t xml:space="preserve">il diabete era più frequente nelle persone con tendinopatia, con odds ratio 1,28. In</w:t>
      </w:r>
      <w:r>
        <w:t xml:space="preserve"> </w:t>
      </w:r>
      <w:r>
        <w:rPr>
          <w:b/>
          <w:bCs/>
        </w:rPr>
        <w:t xml:space="preserve">6 studi</w:t>
      </w:r>
      <w:r>
        <w:t xml:space="preserve"> </w:t>
      </w:r>
      <w:r>
        <w:t xml:space="preserve">chi aveva entrambe le condizioni aveva in media</w:t>
      </w:r>
      <w:r>
        <w:t xml:space="preserve"> </w:t>
      </w:r>
      <w:r>
        <w:rPr>
          <w:b/>
          <w:bCs/>
        </w:rPr>
        <w:t xml:space="preserve">5,26 anni in più di durata del diabete</w:t>
      </w:r>
      <w:r>
        <w:t xml:space="preserve">. La revisione ne include 31 in tutto, e 31 non è la base di nessuna delle tre stime (Ranger,</w:t>
      </w:r>
      <w:r>
        <w:t xml:space="preserve"> </w:t>
      </w:r>
      <w:r>
        <w:rPr>
          <w:i/>
          <w:iCs/>
        </w:rPr>
        <w:t xml:space="preserve">Br J Sports Med</w:t>
      </w:r>
      <w:r>
        <w:t xml:space="preserve">, 2016, PMID 26598716).</w:t>
      </w:r>
    </w:p>
    <w:p>
      <w:pPr>
        <w:pStyle w:val="BodyText"/>
      </w:pPr>
      <w:r>
        <w:rPr>
          <w:b/>
          <w:bCs/>
        </w:rPr>
        <w:t xml:space="preserve">Sui lipidi</w:t>
      </w:r>
      <w:r>
        <w:t xml:space="preserve"> </w:t>
      </w:r>
      <w:r>
        <w:t xml:space="preserve">il dato viene da 17 studi e 2.612 partecipanti. Chi ha una struttura tendinea alterata o dolore al tendine ha colesterolo totale, LDL e trigliceridi più alti, e HDL più basso: le differenze medie sono 0,66, 1,00, 0,33 e -0,19 mmol/L (Tilley,</w:t>
      </w:r>
      <w:r>
        <w:t xml:space="preserve"> </w:t>
      </w:r>
      <w:r>
        <w:rPr>
          <w:i/>
          <w:iCs/>
        </w:rPr>
        <w:t xml:space="preserve">Br J Sports Med</w:t>
      </w:r>
      <w:r>
        <w:t xml:space="preserve">, 2015, PMID 26474596). Gli autori scrivono che</w:t>
      </w:r>
      <w:r>
        <w:t xml:space="preserve"> </w:t>
      </w:r>
      <w:r>
        <w:rPr>
          <w:b/>
          <w:bCs/>
        </w:rPr>
        <w:t xml:space="preserve">la causalità non è stabilita</w:t>
      </w:r>
      <w:r>
        <w:t xml:space="preserve"> </w:t>
      </w:r>
      <w:r>
        <w:t xml:space="preserve">e che servono studi longitudinali. E il recupero fra un carico e l’altro si conta in giorni, non in ore: il dato per esteso sta in «Come funziona quando funziona» (Miller, 2005, PMID 16002437).</w:t>
      </w:r>
    </w:p>
    <w:p>
      <w:pPr>
        <w:pStyle w:val="BodyText"/>
      </w:pPr>
      <w:r>
        <w:rPr>
          <w:b/>
          <w:bCs/>
        </w:rPr>
        <w:t xml:space="preserve">Per te:</w:t>
      </w:r>
      <w:r>
        <w:t xml:space="preserve"> </w:t>
      </w:r>
      <w:r>
        <w:t xml:space="preserve">il numero che ti riguarda è il 3,67, perché descrive la direzione in cui incontri il problema — il diabete c’era prima. Cambia due cose. Lo chiedi e lo scrivi prima di programmare qualunque progressione. E quando la resa è più bassa dell’atteso, non concludi che il paziente non ha fatto gli esercizi. La leva è vera ed è fuori dalle tue mani: si nomina e si rinvia al curante.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l’associazione con il diabete — meta-analisi dedicata. Non è dimostrata la direzione causale, e nessuno studio mostra che agire sulla glicemia migliori la tendinopatia.</w:t>
      </w:r>
      <w:r>
        <w:t xml:space="preserve"> </w:t>
      </w:r>
      <w:r>
        <w:rPr>
          <w:b/>
          <w:bCs/>
        </w:rPr>
        <w:t xml:space="preserve">PROBABILE</w:t>
      </w:r>
      <w:r>
        <w:t xml:space="preserve"> </w:t>
      </w:r>
      <w:r>
        <w:rPr>
          <w:i/>
          <w:iCs/>
        </w:rPr>
        <w:t xml:space="preserve">(razionale forte, prove parziali)</w:t>
      </w:r>
      <w:r>
        <w:t xml:space="preserve"> </w:t>
      </w:r>
      <w:r>
        <w:t xml:space="preserve">l’associazione con l’assetto lipidico: studi caso-controllo e trasversali, con la direzione dichiarata non stabilita dagli autori stessi (Tilley, 2015, PMID 26474596).</w:t>
      </w:r>
      <w:r>
        <w:t xml:space="preserve"> </w:t>
      </w:r>
      <w:r>
        <w:rPr>
          <w:b/>
          <w:bCs/>
        </w:rPr>
        <w:t xml:space="preserve">DIMOSTRATO</w:t>
      </w:r>
      <w:r>
        <w:t xml:space="preserve"> </w:t>
      </w:r>
      <w:r>
        <w:rPr>
          <w:i/>
          <w:iCs/>
        </w:rPr>
        <w:t xml:space="preserve">(studi sull’uomo, solidi)</w:t>
      </w:r>
      <w:r>
        <w:t xml:space="preserve"> </w:t>
      </w:r>
      <w:r>
        <w:t xml:space="preserve">il decorso della sintesi di collagene dopo un carico, su volontari sani.</w:t>
      </w:r>
    </w:p>
    <w:bookmarkEnd w:id="35"/>
    <w:bookmarkStart w:id="36"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Cosa il paziente fa fra una seduta e l’altra: se carica, se evita, se porta il tutore, se ha capito perché.</w:t>
      </w:r>
      <w:r>
        <w:t xml:space="preserve"> </w:t>
      </w:r>
      <w:r>
        <w:rPr>
          <w:b/>
          <w:bCs/>
        </w:rPr>
        <w:t xml:space="preserve">Gli attori:</w:t>
      </w:r>
      <w:r>
        <w:t xml:space="preserve"> </w:t>
      </w:r>
      <w:r>
        <w:t xml:space="preserve">la credenza «è consumato, devo stare fermo», la</w:t>
      </w:r>
      <w:r>
        <w:t xml:space="preserve"> </w:t>
      </w:r>
      <w:r>
        <w:rPr>
          <w:b/>
          <w:bCs/>
        </w:rPr>
        <w:t xml:space="preserve">catastrofizzazione</w:t>
      </w:r>
      <w:r>
        <w:t xml:space="preserve">, la paura di peggiorare, l’aspettativa sul trattamento, l’aderenza a un programma lungo.</w:t>
      </w:r>
      <w:r>
        <w:t xml:space="preserve"> </w:t>
      </w:r>
      <w:r>
        <w:rPr>
          <w:b/>
          <w:bCs/>
        </w:rPr>
        <w:t xml:space="preserve">Quali meccanismi governa:</w:t>
      </w:r>
      <w:r>
        <w:t xml:space="preserve"> </w:t>
      </w:r>
      <w:r>
        <w:t xml:space="preserve">il quarto quasi per intero, e parte del terzo.</w:t>
      </w:r>
    </w:p>
    <w:p>
      <w:pPr>
        <w:pStyle w:val="BodyText"/>
      </w:pPr>
      <w:r>
        <w:rPr>
          <w:b/>
          <w:bCs/>
        </w:rPr>
        <w:t xml:space="preserve">I segnali che ti dicono che pesa in questo paziente.</w:t>
      </w:r>
      <w:r>
        <w:t xml:space="preserve"> </w:t>
      </w:r>
      <w:r>
        <w:t xml:space="preserve">Tutore portato per mesi senza che nessuno glielo togliesse. Attività non dolorose abbandonate. La parola «consumato». Il permesso chiesto prima di ogni gesto.</w:t>
      </w:r>
    </w:p>
    <w:p>
      <w:pPr>
        <w:pStyle w:val="BodyText"/>
      </w:pPr>
      <w:r>
        <w:rPr>
          <w:b/>
          <w:bCs/>
        </w:rPr>
        <w:t xml:space="preserve">Quale costrutto regge, e quale no.</w:t>
      </w:r>
      <w:r>
        <w:t xml:space="preserve"> </w:t>
      </w:r>
      <w:r>
        <w:t xml:space="preserve">La meta-analisi dedicata trova due cose. Chi ha una tendinopatia persistente</w:t>
      </w:r>
      <w:r>
        <w:t xml:space="preserve"> </w:t>
      </w:r>
      <w:r>
        <w:rPr>
          <w:b/>
          <w:bCs/>
        </w:rPr>
        <w:t xml:space="preserve">catastrofizza di più</w:t>
      </w:r>
      <w:r>
        <w:t xml:space="preserve">, cioè si aspetta il peggio dal dolore, lo rumina e si sente impotente davanti a lui. E all’</w:t>
      </w:r>
      <w:r>
        <w:rPr>
          <w:b/>
          <w:bCs/>
        </w:rPr>
        <w:t xml:space="preserve">arto inferiore</w:t>
      </w:r>
      <w:r>
        <w:t xml:space="preserve"> </w:t>
      </w:r>
      <w:r>
        <w:t xml:space="preserve">ha punteggi più alti di depressione e ansia.</w:t>
      </w:r>
      <w:r>
        <w:t xml:space="preserve"> </w:t>
      </w:r>
      <w:r>
        <w:rPr>
          <w:b/>
          <w:bCs/>
        </w:rPr>
        <w:t xml:space="preserve">Non</w:t>
      </w:r>
      <w:r>
        <w:t xml:space="preserve"> </w:t>
      </w:r>
      <w:r>
        <w:t xml:space="preserve">trova nessuna differenza di</w:t>
      </w:r>
      <w:r>
        <w:t xml:space="preserve"> </w:t>
      </w:r>
      <w:r>
        <w:rPr>
          <w:b/>
          <w:bCs/>
        </w:rPr>
        <w:t xml:space="preserve">chinesiofobia</w:t>
      </w:r>
      <w:r>
        <w:t xml:space="preserve">, autoefficacia generale, estroversione o nevroticismo (Mest,</w:t>
      </w:r>
      <w:r>
        <w:t xml:space="preserve"> </w:t>
      </w:r>
      <w:r>
        <w:rPr>
          <w:i/>
          <w:iCs/>
        </w:rPr>
        <w:t xml:space="preserve">JOSPT</w:t>
      </w:r>
      <w:r>
        <w:t xml:space="preserve">, 2025, PMID 41308022).</w:t>
      </w:r>
      <w:r>
        <w:t xml:space="preserve"> </w:t>
      </w:r>
      <w:r>
        <w:rPr>
          <w:i/>
          <w:iCs/>
        </w:rPr>
        <w:t xml:space="preserve">È un confronto fra chi ha e chi non ha la condizione, non uno studio di esito: dice che i due gruppi differiscono, non che quel tratto abbia causato la tendinopatia né che spostarlo cambi il risultato.</w:t>
      </w:r>
      <w:r>
        <w:t xml:space="preserve"> </w:t>
      </w:r>
      <w:r>
        <w:t xml:space="preserve">Quando più avanti leggi «la paura del carico» come bersaglio di una leva, questa riga è il suo limite.</w:t>
      </w:r>
    </w:p>
    <w:p>
      <w:pPr>
        <w:pStyle w:val="BodyText"/>
      </w:pPr>
      <w:r>
        <w:t xml:space="preserve">Sulla tendinopatia glutea,</w:t>
      </w:r>
      <w:r>
        <w:t xml:space="preserve"> </w:t>
      </w:r>
      <w:r>
        <w:rPr>
          <w:b/>
          <w:bCs/>
        </w:rPr>
        <w:t xml:space="preserve">educazione alla gestione del carico più esercizio</w:t>
      </w:r>
      <w:r>
        <w:t xml:space="preserve"> </w:t>
      </w:r>
      <w:r>
        <w:t xml:space="preserve">ha battuto l’infiltrazione a un anno in un randomizzato multicentrico. I numeri a otto e a cinquantadue settimane stanno per esteso in «Cosa può fare il paziente da solo» (Mellor,</w:t>
      </w:r>
      <w:r>
        <w:t xml:space="preserve"> </w:t>
      </w:r>
      <w:r>
        <w:rPr>
          <w:i/>
          <w:iCs/>
        </w:rPr>
        <w:t xml:space="preserve">BMJ</w:t>
      </w:r>
      <w:r>
        <w:t xml:space="preserve">, 2018, PMID 29720374).</w:t>
      </w:r>
    </w:p>
    <w:p>
      <w:pPr>
        <w:pStyle w:val="BodyText"/>
      </w:pPr>
      <w:r>
        <w:rPr>
          <w:b/>
          <w:bCs/>
        </w:rPr>
        <w:t xml:space="preserve">Per te:</w:t>
      </w:r>
      <w:r>
        <w:t xml:space="preserve"> </w:t>
      </w:r>
      <w:r>
        <w:t xml:space="preserve">su questa sede il pacchetto che il paziente esegue batte l’infiltrazione a un anno. Questo cambia cosa gli offri alla prima seduta: non «un ciclo di mani», ma un ciclo che contiene il carico. Non è il tuo numero tale e quale: erano quattordici sedute erogate da fisioterapisti formati su un protocollo, e la parte tua è quella educativa.</w:t>
      </w:r>
    </w:p>
    <w:p>
      <w:pPr>
        <w:pStyle w:val="BodyText"/>
      </w:pPr>
      <w:r>
        <w:rPr>
          <w:b/>
          <w:bCs/>
        </w:rPr>
        <w:t xml:space="preserve">E c’è una variabile da cui dipende tutto il resto, perché il paziente esegue la leva principale da solo per mesi: l’aderenza.</w:t>
      </w:r>
      <w:r>
        <w:t xml:space="preserve"> </w:t>
      </w:r>
      <w:r>
        <w:t xml:space="preserve">Le barriere documentate e le leve che le spostano stanno nel capitolo «Cosa può fare il paziente da solo».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l’effetto del pacchetto educazione più esercizio — randomizzato multicentrico, valutatore cieco, 204 partecipanti, follow-up a un anno. Due salti da dichiarare: di</w:t>
      </w:r>
      <w:r>
        <w:t xml:space="preserve"> </w:t>
      </w:r>
      <w:r>
        <w:rPr>
          <w:b/>
          <w:bCs/>
        </w:rPr>
        <w:t xml:space="preserve">popolazione e sede</w:t>
      </w:r>
      <w:r>
        <w:t xml:space="preserve"> </w:t>
      </w:r>
      <w:r>
        <w:t xml:space="preserve">(tendinopatia glutea, non tutte le tendinopatie) e di</w:t>
      </w:r>
      <w:r>
        <w:t xml:space="preserve"> </w:t>
      </w:r>
      <w:r>
        <w:rPr>
          <w:b/>
          <w:bCs/>
        </w:rPr>
        <w:t xml:space="preserve">inseparabilità</w:t>
      </w:r>
      <w:r>
        <w:t xml:space="preserve"> </w:t>
      </w:r>
      <w:r>
        <w:t xml:space="preserve">(educazione ed esercizio erano un intervento solo).</w:t>
      </w:r>
      <w:r>
        <w:t xml:space="preserve"> </w:t>
      </w:r>
      <w:r>
        <w:rPr>
          <w:b/>
          <w:bCs/>
        </w:rPr>
        <w:t xml:space="preserve">PROBABILE</w:t>
      </w:r>
      <w:r>
        <w:t xml:space="preserve"> </w:t>
      </w:r>
      <w:r>
        <w:rPr>
          <w:i/>
          <w:iCs/>
        </w:rPr>
        <w:t xml:space="preserve">(razionale forte, prove parziali)</w:t>
      </w:r>
      <w:r>
        <w:t xml:space="preserve"> </w:t>
      </w:r>
      <w:r>
        <w:t xml:space="preserve">il profilo psicologico differente (Mest, 2025, PMID 41308022): è un confronto fra gruppi e non uno studio longitudinale.</w:t>
      </w:r>
    </w:p>
    <w:p>
      <w:pPr>
        <w:pStyle w:val="FirstParagraph"/>
      </w:pPr>
      <w:r>
        <w:rPr>
          <w:b/>
          <w:bCs/>
        </w:rPr>
        <w:t xml:space="preserve">Le tre cose da ricordare, più una</w:t>
      </w:r>
    </w:p>
    <w:p>
      <w:pPr>
        <w:pStyle w:val="Compact"/>
        <w:numPr>
          <w:ilvl w:val="0"/>
          <w:numId w:val="1022"/>
        </w:numPr>
      </w:pPr>
      <w:r>
        <w:t xml:space="preserve">Due modelli qui non comandano, per ragioni diverse. La metà circolatoria del Respiratorio non si invoca perché le misure non esistono. Il Metabolico non governa nessun meccanismo: decide quanto in alto puoi salire, e ci stanno il diabete, i lipidi, il recupero fra un carico e l’altro e i farmaci che aggrediscono la matrice.</w:t>
      </w:r>
    </w:p>
    <w:p>
      <w:pPr>
        <w:pStyle w:val="Compact"/>
        <w:numPr>
          <w:ilvl w:val="0"/>
          <w:numId w:val="1022"/>
        </w:numPr>
      </w:pPr>
      <w:r>
        <w:t xml:space="preserve">Il modello Comportamentale, qui, non è un contorno: è la metà del pacchetto che nessuno ha isolato, e proprio quella mancata separazione la rende indispensabile da erogare, non dimostrata da sola.</w:t>
      </w:r>
    </w:p>
    <w:p>
      <w:pPr>
        <w:pStyle w:val="Compact"/>
        <w:numPr>
          <w:ilvl w:val="0"/>
          <w:numId w:val="1022"/>
        </w:numPr>
      </w:pPr>
      <w:r>
        <w:t xml:space="preserve">L’ipoalgesia manuale arriva con un</w:t>
      </w:r>
      <w:r>
        <w:t xml:space="preserve"> </w:t>
      </w:r>
      <w:r>
        <w:rPr>
          <w:b/>
          <w:bCs/>
        </w:rPr>
        <w:t xml:space="preserve">aumento</w:t>
      </w:r>
      <w:r>
        <w:t xml:space="preserve"> </w:t>
      </w:r>
      <w:r>
        <w:t xml:space="preserve">dell’attività simpatica, non con un rilassamento: un paziente che si attiva sotto le tue mani non ti sta dicendo che stai sbagliando.</w:t>
      </w:r>
    </w:p>
    <w:p>
      <w:pPr>
        <w:pStyle w:val="Compact"/>
        <w:numPr>
          <w:ilvl w:val="0"/>
          <w:numId w:val="1022"/>
        </w:numPr>
      </w:pPr>
      <w:r>
        <w:rPr>
          <w:b/>
          <w:bCs/>
        </w:rPr>
        <w:t xml:space="preserve">Perché ci sei tu.</w:t>
      </w:r>
      <w:r>
        <w:t xml:space="preserve"> </w:t>
      </w:r>
      <w:r>
        <w:t xml:space="preserve">Chi ha il diabete ha una probabilità più che tripla di avere una tendinopatia — odds ratio 3,67 su 17 studi (Ranger, 2016, PMID 26598716). Questo ti autorizza a fare due domande che nessuno nel percorso fa, e a leggere una resa bassa come capacità bassa invece che come non-aderenza. Non ti autorizza a toccare quella leva: si nomina, si scrive e si rinvia al curante.</w:t>
      </w:r>
    </w:p>
    <w:p>
      <w:r>
        <w:pict>
          <v:rect style="width:0;height:1.5pt" o:hralign="center" o:hrstd="t" o:hr="t"/>
        </w:pict>
      </w:r>
    </w:p>
    <w:bookmarkEnd w:id="36"/>
    <w:bookmarkEnd w:id="37"/>
    <w:bookmarkStart w:id="45"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la domanda resta quale piano comanda; su questa condizione la risposta è quasi sempre il carico, e la gerarchia serve a ordinare l’indagine, non a decidere dove metti le mani.</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tutto questo capitolo. È il modo in cui decido su quale modello agire per primo, non una serie di fatti dimostrati.</w:t>
      </w:r>
    </w:p>
    <w:bookmarkStart w:id="38" w:name="la-punta-e-il-sommerso"/>
    <w:p>
      <w:pPr>
        <w:pStyle w:val="Heading3"/>
      </w:pPr>
      <w:r>
        <w:t xml:space="preserve">La punta e il sommerso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FirstParagraph"/>
      </w:pPr>
      <w:r>
        <w:t xml:space="preserve">La punta è il punto del tendine che fa male. Il sommerso è quasi sempre una di quattro cose: la dose di carico, la corsa dell’articolazione vicina, il livello di attivazione, la capacità metabolica del tessuto.</w:t>
      </w:r>
    </w:p>
    <w:p>
      <w:pPr>
        <w:pStyle w:val="BodyText"/>
      </w:pPr>
      <w:r>
        <w:rPr>
          <w:b/>
          <w:bCs/>
        </w:rPr>
        <w:t xml:space="preserve">Delle quattro, una comanda e le altre compensano, e distinguerle è tutto il lavoro di questo capitolo.</w:t>
      </w:r>
      <w:r>
        <w:t xml:space="preserve"> </w:t>
      </w:r>
      <w:r>
        <w:t xml:space="preserve">Il</w:t>
      </w:r>
      <w:r>
        <w:t xml:space="preserve"> </w:t>
      </w:r>
      <w:r>
        <w:rPr>
          <w:b/>
          <w:bCs/>
        </w:rPr>
        <w:t xml:space="preserve">compenso</w:t>
      </w:r>
      <w:r>
        <w:t xml:space="preserve"> </w:t>
      </w:r>
      <w:r>
        <w:t xml:space="preserve">è l’adattamento che costa qualcosa e regge finché può, definito in «Cosa si rompe». Spiega perché il sintomo compare dove il compenso ha ceduto e non dove il problema è nato. La corsa ridotta di un’articolazione vicina, per esempio, è spesso essa stessa un compenso, e trattarla come il comando è l’errore tipico di questo documento. Il piano che comanda è quello che, lasciato dov’è, rende impossibile muovere gli altri. È il collega che non consegna: finché non lo fa, nessun altro può andare avanti.</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Tre pazienti con un tendine che duole, e tre sommersi diversi.</w:t>
      </w:r>
    </w:p>
    <w:p>
      <w:pPr>
        <w:pStyle w:val="BodyText"/>
      </w:pPr>
      <w:r>
        <w:rPr>
          <w:b/>
          <w:bCs/>
        </w:rPr>
        <w:t xml:space="preserve">Paziente A — il muratore che ha finito un cantiere di corsa.</w:t>
      </w:r>
      <w:r>
        <w:t xml:space="preserve"> </w:t>
      </w:r>
      <w:r>
        <w:rPr>
          <w:i/>
          <w:iCs/>
        </w:rPr>
        <w:t xml:space="preserve">Storia:</w:t>
      </w:r>
      <w:r>
        <w:t xml:space="preserve"> </w:t>
      </w:r>
      <w:r>
        <w:t xml:space="preserve">sei settimane di lavoro doppio, dolore in dieci giorni, tendine gonfio, corsa articolare simmetrica, nessun farmaco, nessun diabete, una fascia addosso quasi sempre.</w:t>
      </w:r>
      <w:r>
        <w:t xml:space="preserve"> </w:t>
      </w:r>
      <w:r>
        <w:rPr>
          <w:i/>
          <w:iCs/>
        </w:rPr>
        <w:t xml:space="preserve">Sommerso:</w:t>
      </w:r>
      <w:r>
        <w:t xml:space="preserve"> </w:t>
      </w:r>
      <w:r>
        <w:t xml:space="preserve">competono la dose e la zona che ha smesso di essere caricata.</w:t>
      </w:r>
      <w:r>
        <w:t xml:space="preserve"> </w:t>
      </w:r>
      <w:r>
        <w:rPr>
          <w:b/>
          <w:bCs/>
        </w:rPr>
        <w:t xml:space="preserve">Li separa un’osservazione sola:</w:t>
      </w:r>
      <w:r>
        <w:t xml:space="preserve"> </w:t>
      </w:r>
      <w:r>
        <w:t xml:space="preserve">la forza del lato malato è pari a quella del sano, quindi quella zona non è stata davvero scaricata, e resta la dose.</w:t>
      </w:r>
      <w:r>
        <w:t xml:space="preserve"> </w:t>
      </w:r>
      <w:r>
        <w:rPr>
          <w:i/>
          <w:iCs/>
        </w:rPr>
        <w:t xml:space="preserve">Cosa fai:</w:t>
      </w:r>
      <w:r>
        <w:t xml:space="preserve"> </w:t>
      </w:r>
      <w:r>
        <w:t xml:space="preserve">riduci il carico irritativo senza fermarlo, lavori sulla tolleranza del gesto e sulla muscolatura a monte, imposti il conteggio settimanale del carico.</w:t>
      </w:r>
      <w:r>
        <w:t xml:space="preserve"> </w:t>
      </w:r>
      <w:r>
        <w:rPr>
          <w:i/>
          <w:iCs/>
        </w:rPr>
        <w:t xml:space="preserve">Marker fuori piano:</w:t>
      </w:r>
      <w:r>
        <w:t xml:space="preserve"> </w:t>
      </w:r>
      <w:r>
        <w:t xml:space="preserve">qui non c’è, perché la corsa adiacente è simmetrica. La chiave di volta è</w:t>
      </w:r>
      <w:r>
        <w:t xml:space="preserve"> </w:t>
      </w:r>
      <w:r>
        <w:rPr>
          <w:b/>
          <w:bCs/>
        </w:rPr>
        <w:t xml:space="preserve">differita</w:t>
      </w:r>
      <w:r>
        <w:t xml:space="preserve">: decide il conteggio settimanale del carico contro il sintomo a una settimana di distanza, perché il guadagno capacitivo appartiene alle settimane.</w:t>
      </w:r>
    </w:p>
    <w:p>
      <w:pPr>
        <w:pStyle w:val="BodyText"/>
      </w:pPr>
      <w:r>
        <w:rPr>
          <w:b/>
          <w:bCs/>
        </w:rPr>
        <w:t xml:space="preserve">Paziente B — l’impiegata con la spalla e il torace fermi.</w:t>
      </w:r>
      <w:r>
        <w:t xml:space="preserve"> </w:t>
      </w:r>
      <w:r>
        <w:rPr>
          <w:i/>
          <w:iCs/>
        </w:rPr>
        <w:t xml:space="preserve">Storia:</w:t>
      </w:r>
      <w:r>
        <w:t xml:space="preserve"> </w:t>
      </w:r>
      <w:r>
        <w:t xml:space="preserve">otto mesi, dolore solo negli ultimi gradi di elevazione, estensione toracica molto ridotta, rotazione di spalla asimmetrica di oltre 10 gradi.</w:t>
      </w:r>
      <w:r>
        <w:t xml:space="preserve"> </w:t>
      </w:r>
      <w:r>
        <w:rPr>
          <w:i/>
          <w:iCs/>
        </w:rPr>
        <w:t xml:space="preserve">Sommerso:</w:t>
      </w:r>
      <w:r>
        <w:t xml:space="preserve"> </w:t>
      </w:r>
      <w:r>
        <w:t xml:space="preserve">la corsa a monte.</w:t>
      </w:r>
      <w:r>
        <w:t xml:space="preserve"> </w:t>
      </w:r>
      <w:r>
        <w:rPr>
          <w:i/>
          <w:iCs/>
        </w:rPr>
        <w:t xml:space="preserve">Cosa fai:</w:t>
      </w:r>
      <w:r>
        <w:t xml:space="preserve"> </w:t>
      </w:r>
      <w:r>
        <w:t xml:space="preserve">lavori sulla corsa toracica e scapolare.</w:t>
      </w:r>
      <w:r>
        <w:t xml:space="preserve"> </w:t>
      </w:r>
      <w:r>
        <w:rPr>
          <w:i/>
          <w:iCs/>
        </w:rPr>
        <w:t xml:space="preserve">Marker fuori piano:</w:t>
      </w:r>
      <w:r>
        <w:t xml:space="preserve"> </w:t>
      </w:r>
      <w:r>
        <w:t xml:space="preserve">il</w:t>
      </w:r>
      <w:r>
        <w:t xml:space="preserve"> </w:t>
      </w:r>
      <w:r>
        <w:rPr>
          <w:b/>
          <w:bCs/>
        </w:rPr>
        <w:t xml:space="preserve">test di carico sul tendine</w:t>
      </w:r>
      <w:r>
        <w:t xml:space="preserve">, contato in ripetizioni prima della soglia di dolore. Se il torace era il piano dominante, quelle ripetizioni salgono senza che tu abbia toccato la spalla.</w:t>
      </w:r>
    </w:p>
    <w:p>
      <w:pPr>
        <w:pStyle w:val="BodyText"/>
      </w:pPr>
      <w:r>
        <w:rPr>
          <w:b/>
          <w:bCs/>
        </w:rPr>
        <w:t xml:space="preserve">Paziente C — il paziente con il dolore che si è allargato.</w:t>
      </w:r>
      <w:r>
        <w:t xml:space="preserve"> </w:t>
      </w:r>
      <w:r>
        <w:rPr>
          <w:i/>
          <w:iCs/>
        </w:rPr>
        <w:t xml:space="preserve">Storia:</w:t>
      </w:r>
      <w:r>
        <w:t xml:space="preserve"> </w:t>
      </w:r>
      <w:r>
        <w:t xml:space="preserve">un anno, dolore anche a riposo e di notte, allargato oltre il tendine, soglie di pressione basse anche dal lato sano, sintomo comparso nei mesi di una separazione, tessuti che rimbalzano ogni correzione.</w:t>
      </w:r>
      <w:r>
        <w:t xml:space="preserve"> </w:t>
      </w:r>
      <w:r>
        <w:rPr>
          <w:i/>
          <w:iCs/>
        </w:rPr>
        <w:t xml:space="preserve">Sommerso:</w:t>
      </w:r>
      <w:r>
        <w:t xml:space="preserve"> </w:t>
      </w:r>
      <w:r>
        <w:t xml:space="preserve">il livello di attivazione.</w:t>
      </w:r>
      <w:r>
        <w:t xml:space="preserve"> </w:t>
      </w:r>
      <w:r>
        <w:rPr>
          <w:b/>
          <w:bCs/>
        </w:rPr>
        <w:t xml:space="preserve">Non è un capolinea: è l’indicazione più chiara che esista per la leva che sul livello di attivazione agisce</w:t>
      </w:r>
      <w:r>
        <w:t xml:space="preserve">, ed è lavoro manuale a tutti gli effetti.</w:t>
      </w:r>
      <w:r>
        <w:t xml:space="preserve"> </w:t>
      </w:r>
      <w:r>
        <w:rPr>
          <w:i/>
          <w:iCs/>
        </w:rPr>
        <w:t xml:space="preserve">Cosa fai:</w:t>
      </w:r>
      <w:r>
        <w:t xml:space="preserve"> </w:t>
      </w:r>
      <w:r>
        <w:t xml:space="preserve">lavori sulle due componenti dell’attivazione e sul carico a dose bassa insieme, non l’una prima o al posto dell’altra, e spieghi al paziente perché il dolore si è allargato.</w:t>
      </w:r>
      <w:r>
        <w:t xml:space="preserve"> </w:t>
      </w:r>
      <w:r>
        <w:rPr>
          <w:i/>
          <w:iCs/>
        </w:rPr>
        <w:t xml:space="preserve">Marker:</w:t>
      </w:r>
      <w:r>
        <w:t xml:space="preserve"> </w:t>
      </w:r>
      <w:r>
        <w:t xml:space="preserve">con l’algometro, la soglia su un sito remoto confrontata con la sua stessa misura di poco prima; senza algometro, la</w:t>
      </w:r>
      <w:r>
        <w:t xml:space="preserve"> </w:t>
      </w:r>
      <w:r>
        <w:rPr>
          <w:b/>
          <w:bCs/>
        </w:rPr>
        <w:t xml:space="preserve">frequenza respiratoria a riposo</w:t>
      </w:r>
      <w:r>
        <w:t xml:space="preserve"> </w:t>
      </w:r>
      <w:r>
        <w:t xml:space="preserve">contata su sessanta secondi, prima e dopo.</w:t>
      </w:r>
    </w:p>
    <w:p>
      <w:pPr>
        <w:pStyle w:val="BodyText"/>
      </w:pPr>
      <w:r>
        <w:t xml:space="preserve">Le due componenti portano etichette diverse e vanno tenute separate. La</w:t>
      </w:r>
      <w:r>
        <w:t xml:space="preserve"> </w:t>
      </w:r>
      <w:r>
        <w:rPr>
          <w:b/>
          <w:bCs/>
        </w:rPr>
        <w:t xml:space="preserve">modulazione discendente</w:t>
      </w:r>
      <w:r>
        <w:t xml:space="preserve"> </w:t>
      </w:r>
      <w:r>
        <w:t xml:space="preserve">da gesto manuale è</w:t>
      </w:r>
      <w:r>
        <w:t xml:space="preserve"> </w:t>
      </w:r>
      <w:r>
        <w:rPr>
          <w:b/>
          <w:bCs/>
        </w:rPr>
        <w:t xml:space="preserve">DIMOSTRATO</w:t>
      </w:r>
      <w:r>
        <w:t xml:space="preserve"> </w:t>
      </w:r>
      <w:r>
        <w:rPr>
          <w:i/>
          <w:iCs/>
        </w:rPr>
        <w:t xml:space="preserve">(studi sull’uomo, solidi)</w:t>
      </w:r>
      <w:r>
        <w:t xml:space="preserve"> </w:t>
      </w:r>
      <w:r>
        <w:t xml:space="preserve">come effetto immediato sul gomito, e</w:t>
      </w:r>
      <w:r>
        <w:t xml:space="preserve"> </w:t>
      </w:r>
      <w:r>
        <w:rPr>
          <w:b/>
          <w:bCs/>
        </w:rPr>
        <w:t xml:space="preserve">PROBABILE</w:t>
      </w:r>
      <w:r>
        <w:t xml:space="preserve"> </w:t>
      </w:r>
      <w:r>
        <w:rPr>
          <w:i/>
          <w:iCs/>
        </w:rPr>
        <w:t xml:space="preserve">(razionale forte, prove parziali)</w:t>
      </w:r>
      <w:r>
        <w:t xml:space="preserve"> </w:t>
      </w:r>
      <w:r>
        <w:t xml:space="preserve">nelle altre sedi. Che ripetendola la soglia si sposti in modo durevole è</w:t>
      </w:r>
      <w:r>
        <w:t xml:space="preserve"> </w:t>
      </w:r>
      <w:r>
        <w:rPr>
          <w:b/>
          <w:bCs/>
        </w:rPr>
        <w:t xml:space="preserve">IPOTESI</w:t>
      </w:r>
      <w:r>
        <w:t xml:space="preserve"> </w:t>
      </w:r>
      <w:r>
        <w:rPr>
          <w:i/>
          <w:iCs/>
        </w:rPr>
        <w:t xml:space="preserve">(meccanismo coerente, nessuno studio)</w:t>
      </w:r>
      <w:r>
        <w:t xml:space="preserve">. La</w:t>
      </w:r>
      <w:r>
        <w:t xml:space="preserve"> </w:t>
      </w:r>
      <w:r>
        <w:rPr>
          <w:b/>
          <w:bCs/>
        </w:rPr>
        <w:t xml:space="preserve">co-regolazione</w:t>
      </w:r>
      <w:r>
        <w:t xml:space="preserve"> </w:t>
      </w:r>
      <w:r>
        <w:t xml:space="preserve">è</w:t>
      </w:r>
      <w:r>
        <w:t xml:space="preserve"> </w:t>
      </w:r>
      <w:r>
        <w:rPr>
          <w:b/>
          <w:bCs/>
        </w:rPr>
        <w:t xml:space="preserve">IPOTESI</w:t>
      </w:r>
      <w:r>
        <w:t xml:space="preserve"> </w:t>
      </w:r>
      <w:r>
        <w:t xml:space="preserve">in proprio: le vie sono plausibili, nessuno le ha misurate qui, e non possono appoggiarsi all’etichetta dell’altra leva, che ha per giunta un profilo autonomico opposto.</w:t>
      </w:r>
    </w:p>
    <w:bookmarkEnd w:id="38"/>
    <w:bookmarkStart w:id="39" w:name="il-passo-0-che-cosa-prende"/>
    <w:p>
      <w:pPr>
        <w:pStyle w:val="Heading3"/>
      </w:pPr>
      <w:r>
        <w:t xml:space="preserve">Il passo 0 — che cosa prende</w:t>
      </w:r>
    </w:p>
    <w:p>
      <w:pPr>
        <w:pStyle w:val="FirstParagraph"/>
      </w:pPr>
      <w:r>
        <w:t xml:space="preserve">Prima di qualunque ragionamento clinico c’è un filtro di sicurezza. Viene prima perché se scatta cambia l’uscita del triage, non l’ordine delle leve.</w:t>
      </w:r>
      <w:r>
        <w:t xml:space="preserve"> </w:t>
      </w:r>
      <w:r>
        <w:rPr>
          <w:b/>
          <w:bCs/>
        </w:rPr>
        <w:t xml:space="preserve">Non è uno dei passi della Road Map e non conta nei cinque.</w:t>
      </w:r>
    </w:p>
    <w:p>
      <w:pPr>
        <w:pStyle w:val="BodyText"/>
      </w:pPr>
      <w:r>
        <w:t xml:space="preserve">Sei famiglie da cercare, sempre. Costano due minuti tutte insieme.</w:t>
      </w:r>
    </w:p>
    <w:p>
      <w:pPr>
        <w:pStyle w:val="Compact"/>
        <w:numPr>
          <w:ilvl w:val="0"/>
          <w:numId w:val="1023"/>
        </w:numPr>
      </w:pPr>
      <w:r>
        <w:rPr>
          <w:b/>
          <w:bCs/>
        </w:rPr>
        <w:t xml:space="preserve">Chinoloni</w:t>
      </w:r>
      <w:r>
        <w:t xml:space="preserve"> </w:t>
      </w:r>
      <w:r>
        <w:t xml:space="preserve">— durante il ciclo</w:t>
      </w:r>
      <w:r>
        <w:t xml:space="preserve"> </w:t>
      </w:r>
      <w:r>
        <w:rPr>
          <w:b/>
          <w:bCs/>
        </w:rPr>
        <w:t xml:space="preserve">o nei mesi successivi alla sua fine</w:t>
      </w:r>
      <w:r>
        <w:t xml:space="preserve">. La finestra è larga, ed è larga in tutti e tre i punti in cui questo documento la nomina: il danno tendineo può comparire entro due giorni dall’inizio, ma anche mesi dopo la sospensione. Su 15 studi osservazionali l’associazione è di</w:t>
      </w:r>
      <w:r>
        <w:t xml:space="preserve"> </w:t>
      </w:r>
      <w:r>
        <w:rPr>
          <w:b/>
          <w:bCs/>
        </w:rPr>
        <w:t xml:space="preserve">3,95</w:t>
      </w:r>
      <w:r>
        <w:t xml:space="preserve"> </w:t>
      </w:r>
      <w:r>
        <w:t xml:space="preserve">per la tendinite achillea e</w:t>
      </w:r>
      <w:r>
        <w:t xml:space="preserve"> </w:t>
      </w:r>
      <w:r>
        <w:rPr>
          <w:b/>
          <w:bCs/>
        </w:rPr>
        <w:t xml:space="preserve">2,52</w:t>
      </w:r>
      <w:r>
        <w:t xml:space="preserve"> </w:t>
      </w:r>
      <w:r>
        <w:t xml:space="preserve">per la rottura, e resta sopra i 60 anni e con cortisone concomitante (Alves,</w:t>
      </w:r>
      <w:r>
        <w:t xml:space="preserve"> </w:t>
      </w:r>
      <w:r>
        <w:rPr>
          <w:i/>
          <w:iCs/>
        </w:rPr>
        <w:t xml:space="preserve">Eur J Clin Pharmacol</w:t>
      </w:r>
      <w:r>
        <w:t xml:space="preserve">, 2019, PMID 31270563).</w:t>
      </w:r>
    </w:p>
    <w:p>
      <w:pPr>
        <w:pStyle w:val="Compact"/>
        <w:numPr>
          <w:ilvl w:val="0"/>
          <w:numId w:val="1023"/>
        </w:numPr>
      </w:pPr>
      <w:r>
        <w:rPr>
          <w:b/>
          <w:bCs/>
        </w:rPr>
        <w:t xml:space="preserve">Cortisone</w:t>
      </w:r>
      <w:r>
        <w:t xml:space="preserve">, prolungato per via generale o infiltrativo ripetuto sulla stessa sede.</w:t>
      </w:r>
    </w:p>
    <w:p>
      <w:pPr>
        <w:pStyle w:val="Compact"/>
        <w:numPr>
          <w:ilvl w:val="0"/>
          <w:numId w:val="1023"/>
        </w:numPr>
      </w:pPr>
      <w:r>
        <w:rPr>
          <w:b/>
          <w:bCs/>
        </w:rPr>
        <w:t xml:space="preserve">Diabete noto</w:t>
      </w:r>
      <w:r>
        <w:t xml:space="preserve">, e da quanti anni.</w:t>
      </w:r>
    </w:p>
    <w:p>
      <w:pPr>
        <w:pStyle w:val="Compact"/>
        <w:numPr>
          <w:ilvl w:val="0"/>
          <w:numId w:val="1023"/>
        </w:numPr>
      </w:pPr>
      <w:r>
        <w:rPr>
          <w:b/>
          <w:bCs/>
        </w:rPr>
        <w:t xml:space="preserve">Ormonoterapia adiuvante in corso</w:t>
      </w:r>
      <w:r>
        <w:t xml:space="preserve"> </w:t>
      </w:r>
      <w:r>
        <w:t xml:space="preserve">— inibitori dell’aromatasi: anastrozolo, letrozolo, exemestane. La sindrome muscoloscheletrica che ne deriva riguarda</w:t>
      </w:r>
      <w:r>
        <w:t xml:space="preserve"> </w:t>
      </w:r>
      <w:r>
        <w:rPr>
          <w:b/>
          <w:bCs/>
        </w:rPr>
        <w:t xml:space="preserve">oltre il 50%</w:t>
      </w:r>
      <w:r>
        <w:t xml:space="preserve"> </w:t>
      </w:r>
      <w:r>
        <w:t xml:space="preserve">delle donne che li assumono ed esordisce entro 8 settimane nel 75% delle sintomatiche. Il reperto chiave è una</w:t>
      </w:r>
      <w:r>
        <w:t xml:space="preserve"> </w:t>
      </w:r>
      <w:r>
        <w:rPr>
          <w:b/>
          <w:bCs/>
        </w:rPr>
        <w:t xml:space="preserve">tenosinovite focale di mani e piedi</w:t>
      </w:r>
      <w:r>
        <w:t xml:space="preserve"> </w:t>
      </w:r>
      <w:r>
        <w:t xml:space="preserve">senza segni di malattia autoimmune (Singer e Mandl,</w:t>
      </w:r>
      <w:r>
        <w:t xml:space="preserve"> </w:t>
      </w:r>
      <w:r>
        <w:rPr>
          <w:i/>
          <w:iCs/>
        </w:rPr>
        <w:t xml:space="preserve">Arthritis Care Res</w:t>
      </w:r>
      <w:r>
        <w:t xml:space="preserve">, 2012, PMID 22730307). L’incidenza di tenosinovite stenosante e tunnel carpale può salire fino a dieci volte rispetto al tamoxifene. E l’autosospensione del farmaco da parte della paziente è documentata (Chung,</w:t>
      </w:r>
      <w:r>
        <w:t xml:space="preserve"> </w:t>
      </w:r>
      <w:r>
        <w:rPr>
          <w:i/>
          <w:iCs/>
        </w:rPr>
        <w:t xml:space="preserve">Plast Reconstr Surg</w:t>
      </w:r>
      <w:r>
        <w:t xml:space="preserve">, 2022, PMID 35196681). Uscita: GIALLO prioritario.</w:t>
      </w:r>
    </w:p>
    <w:p>
      <w:pPr>
        <w:pStyle w:val="Compact"/>
        <w:numPr>
          <w:ilvl w:val="0"/>
          <w:numId w:val="1023"/>
        </w:numPr>
      </w:pPr>
      <w:r>
        <w:rPr>
          <w:b/>
          <w:bCs/>
        </w:rPr>
        <w:t xml:space="preserve">Statine, e da quanto tempo.</w:t>
      </w:r>
      <w:r>
        <w:t xml:space="preserve"> </w:t>
      </w:r>
      <w:r>
        <w:t xml:space="preserve">L’evidenza è discorde (Deren,</w:t>
      </w:r>
      <w:r>
        <w:t xml:space="preserve"> </w:t>
      </w:r>
      <w:r>
        <w:rPr>
          <w:i/>
          <w:iCs/>
        </w:rPr>
        <w:t xml:space="preserve">JBJS Rev</w:t>
      </w:r>
      <w:r>
        <w:t xml:space="preserve">, 2016, PMID 27490216) e non è una bandiera rossa. La chiedi perché è il farmaco che il paziente incolperà da solo, ed è quello che non deve sospendere.</w:t>
      </w:r>
    </w:p>
    <w:p>
      <w:pPr>
        <w:pStyle w:val="Compact"/>
        <w:numPr>
          <w:ilvl w:val="0"/>
          <w:numId w:val="1023"/>
        </w:numPr>
      </w:pPr>
      <w:r>
        <w:rPr>
          <w:b/>
          <w:bCs/>
        </w:rPr>
        <w:t xml:space="preserve">Pregressi su quell’arto</w:t>
      </w:r>
      <w:r>
        <w:t xml:space="preserve"> </w:t>
      </w:r>
      <w:r>
        <w:t xml:space="preserve">— rotture, interventi, immobilizzazioni, distorsioni. Abbassano la capacità di partenza come il diabete, e spiegano un’asimmetria di corsa che altrimenti leggeresti come disfunzione attuale. È anche uno dei pochi fattori con un appoggio prospettico: una precedente tendinopatia o frattura all’arto inferiore è fra i nove che dieci coorti identificano (van der Vlist, 2019, PMID 30718234).</w:t>
      </w:r>
    </w:p>
    <w:p>
      <w:pPr>
        <w:pStyle w:val="FirstParagraph"/>
      </w:pPr>
      <w:r>
        <w:t xml:space="preserve">E una settima domanda, che costa quanto le altre:</w:t>
      </w:r>
      <w:r>
        <w:t xml:space="preserve"> </w:t>
      </w:r>
      <w:r>
        <w:rPr>
          <w:b/>
          <w:bCs/>
        </w:rPr>
        <w:t xml:space="preserve">storia di neoplasia.</w:t>
      </w:r>
      <w:r>
        <w:t xml:space="preserve"> </w:t>
      </w:r>
      <w:r>
        <w:t xml:space="preserve">La riga «dolore notturno che cresce» da sola non la copre.</w:t>
      </w:r>
    </w:p>
    <w:p>
      <w:pPr>
        <w:pStyle w:val="BodyText"/>
      </w:pPr>
      <w:r>
        <w:rPr>
          <w:b/>
          <w:bCs/>
        </w:rPr>
        <w:t xml:space="preserve">Per te:</w:t>
      </w:r>
      <w:r>
        <w:t xml:space="preserve"> </w:t>
      </w:r>
      <w:r>
        <w:t xml:space="preserve">i due numeri che cambiano la condotta sono il</w:t>
      </w:r>
      <w:r>
        <w:t xml:space="preserve"> </w:t>
      </w:r>
      <w:r>
        <w:rPr>
          <w:b/>
          <w:bCs/>
        </w:rPr>
        <w:t xml:space="preserve">3,95</w:t>
      </w:r>
      <w:r>
        <w:t xml:space="preserve"> </w:t>
      </w:r>
      <w:r>
        <w:t xml:space="preserve">del chinolone e l’</w:t>
      </w:r>
      <w:r>
        <w:rPr>
          <w:b/>
          <w:bCs/>
        </w:rPr>
        <w:t xml:space="preserve">oltre 50%</w:t>
      </w:r>
      <w:r>
        <w:t xml:space="preserve"> </w:t>
      </w:r>
      <w:r>
        <w:t xml:space="preserve">dell’inibitore dell’aromatasi. Il primo ti dice di non caricare quel tendine e di scrivere al curante oggi. Il secondo ti dice questo: davanti a una donna in ormonoterapia con dolore a mani e polsi la spiegazione più probabile non è il suo gesto. È il farmaco, e la conversazione è con l’oncologo. Nessuno dei due è una stima di rischio per</w:t>
      </w:r>
      <w:r>
        <w:t xml:space="preserve"> </w:t>
      </w:r>
      <w:r>
        <w:rPr>
          <w:b/>
          <w:bCs/>
        </w:rPr>
        <w:t xml:space="preserve">questo</w:t>
      </w:r>
      <w:r>
        <w:t xml:space="preserve"> </w:t>
      </w:r>
      <w:r>
        <w:t xml:space="preserve">paziente: sono associazioni di popolazione, e servono a decidere dove mandarlo, non quanto è probabile che si rompa.</w:t>
      </w:r>
    </w:p>
    <w:p>
      <w:pPr>
        <w:pStyle w:val="BodyText"/>
      </w:pPr>
      <w:r>
        <w:t xml:space="preserve">Nessuno di questi si sospende: la decisione appartiene a chi prescrive. Ma</w:t>
      </w:r>
      <w:r>
        <w:t xml:space="preserve"> </w:t>
      </w:r>
      <w:r>
        <w:rPr>
          <w:b/>
          <w:bCs/>
        </w:rPr>
        <w:t xml:space="preserve">il silenzio non è la regola giusta per tutti.</w:t>
      </w:r>
      <w:r>
        <w:t xml:space="preserve"> </w:t>
      </w:r>
      <w:r>
        <w:t xml:space="preserve">Sul chinolone la comunicazione è dovuta, e «Dove finisce il nostro campo» dice con quali parole.</w:t>
      </w:r>
    </w:p>
    <w:bookmarkEnd w:id="39"/>
    <w:bookmarkStart w:id="40" w:name="perché-si-indaga-da-monte"/>
    <w:p>
      <w:pPr>
        <w:pStyle w:val="Heading3"/>
      </w:pPr>
      <w:r>
        <w:t xml:space="preserve">Perché si indaga da monte</w:t>
      </w:r>
    </w:p>
    <w:p>
      <w:pPr>
        <w:pStyle w:val="FirstParagraph"/>
      </w:pPr>
      <w:r>
        <w:rPr>
          <w:b/>
          <w:bCs/>
        </w:rPr>
        <w:t xml:space="preserve">«A monte» non è una coordinata anatomica: non vuol dire più vicino alla testa.</w:t>
      </w:r>
      <w:r>
        <w:t xml:space="preserve"> </w:t>
      </w:r>
      <w:r>
        <w:t xml:space="preserve">Vuol dire più vicino alla causa sul piano funzionale. Qui il piano più a monte è quasi sempre il</w:t>
      </w:r>
      <w:r>
        <w:t xml:space="preserve"> </w:t>
      </w:r>
      <w:r>
        <w:rPr>
          <w:b/>
          <w:bCs/>
        </w:rPr>
        <w:t xml:space="preserve">carico</w:t>
      </w:r>
      <w:r>
        <w:t xml:space="preserve">, che nella gerarchia classica sta in fondo. Applicare la gerarchia alla lettera sarebbe un errore, perché</w:t>
      </w:r>
      <w:r>
        <w:t xml:space="preserve"> </w:t>
      </w:r>
      <w:r>
        <w:rPr>
          <w:b/>
          <w:bCs/>
        </w:rPr>
        <w:t xml:space="preserve">ordina l’indagine, non la forza delle leve</w:t>
      </w:r>
      <w:r>
        <w:t xml:space="preserve">: la leva con le prove migliori appartiene al piano esecutore, e ordinare la Road Map per gerarchia di comando ti farebbe arrivare per ultimo alla cosa che funziona di più.</w:t>
      </w:r>
    </w:p>
    <w:p>
      <w:pPr>
        <w:pStyle w:val="BodyText"/>
      </w:pPr>
      <w:r>
        <w:t xml:space="preserve">Allo stesso modo va trattata un’altra regola del metodo, non di questa Bibbia ma generale:</w:t>
      </w:r>
      <w:r>
        <w:t xml:space="preserve"> </w:t>
      </w:r>
      <w:r>
        <w:rPr>
          <w:b/>
          <w:bCs/>
        </w:rPr>
        <w:t xml:space="preserve">«non trattare il punto in cui il paziente sente»</w:t>
      </w:r>
      <w:r>
        <w:t xml:space="preserve">. Qui</w:t>
      </w:r>
      <w:r>
        <w:t xml:space="preserve"> </w:t>
      </w:r>
      <w:r>
        <w:rPr>
          <w:b/>
          <w:bCs/>
        </w:rPr>
        <w:t xml:space="preserve">smette di essere un divieto</w:t>
      </w:r>
      <w:r>
        <w:t xml:space="preserve">. Gli interventi con le prove migliori su questa condizione — il carico progressivo, l’esercizio, la mobilizzazione con movimento del gomito — si applicano</w:t>
      </w:r>
      <w:r>
        <w:t xml:space="preserve"> </w:t>
      </w:r>
      <w:r>
        <w:rPr>
          <w:b/>
          <w:bCs/>
        </w:rPr>
        <w:t xml:space="preserve">esattamente</w:t>
      </w:r>
      <w:r>
        <w:t xml:space="preserve"> </w:t>
      </w:r>
      <w:r>
        <w:t xml:space="preserve">sulla regione che fa male. Sul tendine che duole si lavora.</w:t>
      </w:r>
    </w:p>
    <w:p>
      <w:pPr>
        <w:pStyle w:val="BodyText"/>
      </w:pPr>
      <w:r>
        <w:rPr>
          <w:b/>
          <w:bCs/>
        </w:rPr>
        <w:t xml:space="preserve">Ma non viene abolita: resta come regola di ricerca.</w:t>
      </w:r>
      <w:r>
        <w:t xml:space="preserve"> </w:t>
      </w:r>
      <w:r>
        <w:t xml:space="preserve">Il posto che duole ti dice</w:t>
      </w:r>
      <w:r>
        <w:t xml:space="preserve"> </w:t>
      </w:r>
      <w:r>
        <w:rPr>
          <w:b/>
          <w:bCs/>
        </w:rPr>
        <w:t xml:space="preserve">dove misurare</w:t>
      </w:r>
      <w:r>
        <w:t xml:space="preserve">, non</w:t>
      </w:r>
      <w:r>
        <w:t xml:space="preserve"> </w:t>
      </w:r>
      <w:r>
        <w:rPr>
          <w:b/>
          <w:bCs/>
        </w:rPr>
        <w:t xml:space="preserve">da dove arriva il carico</w:t>
      </w:r>
      <w:r>
        <w:t xml:space="preserve">. È la formulazione che tiene insieme il resto del documento: il carico che arriva da un’altra articolazione, il modello Biomeccanico, il Paziente B, la quinta leva del capitolo delle mani, e lo studio con l’unico effetto manuale dimostrato di tutto il documento, che è una tecnica</w:t>
      </w:r>
      <w:r>
        <w:t xml:space="preserve"> </w:t>
      </w:r>
      <w:r>
        <w:rPr>
          <w:b/>
          <w:bCs/>
        </w:rPr>
        <w:t xml:space="preserve">cervicale</w:t>
      </w:r>
      <w:r>
        <w:t xml:space="preserve"> </w:t>
      </w:r>
      <w:r>
        <w:t xml:space="preserve">su pazienti con dolore al</w:t>
      </w:r>
      <w:r>
        <w:t xml:space="preserve"> </w:t>
      </w:r>
      <w:r>
        <w:rPr>
          <w:b/>
          <w:bCs/>
        </w:rPr>
        <w:t xml:space="preserve">gomito</w:t>
      </w:r>
      <w:r>
        <w:t xml:space="preserve">. E resta intatta la regola di verifica che ne discende: il marker con cui rivaluti appartiene a un piano che non hai trattato.</w:t>
      </w:r>
    </w:p>
    <w:bookmarkEnd w:id="40"/>
    <w:bookmarkStart w:id="41" w:name="i-marker-di-questa-condizione"/>
    <w:p>
      <w:pPr>
        <w:pStyle w:val="Heading3"/>
      </w:pPr>
      <w:r>
        <w:t xml:space="preserve">I marker di questa condizione</w:t>
      </w:r>
    </w:p>
    <w:p>
      <w:pPr>
        <w:pStyle w:val="FirstParagraph"/>
      </w:pPr>
      <w:r>
        <w:t xml:space="preserve">Quattro condizioni perché un marker funzioni. Misurabile in meno di un minuto con lo stesso metodo prima e dopo. Scelto prima di trattare. Appartenente a un piano che non hai trattato. Con una soglia dichiarata.</w:t>
      </w:r>
    </w:p>
    <w:p>
      <w:pPr>
        <w:pStyle w:val="BodyText"/>
      </w:pPr>
      <w:r>
        <w:t xml:space="preserve">E su questa condizione</w:t>
      </w:r>
      <w:r>
        <w:t xml:space="preserve"> </w:t>
      </w:r>
      <w:r>
        <w:rPr>
          <w:b/>
          <w:bCs/>
        </w:rPr>
        <w:t xml:space="preserve">il reperto che fonda il mandato e regge come marker non è la palpazione</w:t>
      </w:r>
      <w:r>
        <w:t xml:space="preserve">. Reggono la provocazione del dolore con un carico definito, l’escursione regionale misurata, il tempo o le ripetizioni su un compito funzionale, la soglia algometrica. La dolorabilità alla pressione resta orientamento: la trovi anche in persone senza sintomi.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w:t>
            </w:r>
          </w:p>
        </w:tc>
        <w:tc>
          <w:tcPr/>
          <w:p>
            <w:pPr>
              <w:pStyle w:val="Compact"/>
            </w:pPr>
            <w:r>
              <w:t xml:space="preserve">Provenienza della soglia</w:t>
            </w:r>
          </w:p>
        </w:tc>
      </w:tr>
      <w:tr>
        <w:tc>
          <w:tcPr/>
          <w:p>
            <w:pPr>
              <w:pStyle w:val="Compact"/>
            </w:pPr>
            <w:r>
              <w:t xml:space="preserve">Ripetizioni al test di carico</w:t>
            </w:r>
          </w:p>
        </w:tc>
        <w:tc>
          <w:tcPr/>
          <w:p>
            <w:pPr>
              <w:pStyle w:val="Compact"/>
            </w:pPr>
            <w:r>
              <w:t xml:space="preserve">Stesso compito, stesso ritmo</w:t>
            </w:r>
          </w:p>
        </w:tc>
        <w:tc>
          <w:tcPr/>
          <w:p>
            <w:pPr>
              <w:pStyle w:val="Compact"/>
            </w:pPr>
            <w:r>
              <w:t xml:space="preserve">+30%</w:t>
            </w:r>
          </w:p>
        </w:tc>
        <w:tc>
          <w:tcPr/>
          <w:p>
            <w:pPr>
              <w:pStyle w:val="Compact"/>
            </w:pPr>
            <w:r>
              <w:t xml:space="preserve">Convenzione, sopra l’errore di conteggio</w:t>
            </w:r>
          </w:p>
        </w:tc>
      </w:tr>
      <w:tr>
        <w:tc>
          <w:tcPr/>
          <w:p>
            <w:pPr>
              <w:pStyle w:val="Compact"/>
            </w:pPr>
            <w:r>
              <w:t xml:space="preserve">Dolore al test di carico</w:t>
            </w:r>
          </w:p>
        </w:tc>
        <w:tc>
          <w:tcPr/>
          <w:p>
            <w:pPr>
              <w:pStyle w:val="Compact"/>
            </w:pPr>
            <w:r>
              <w:t xml:space="preserve">NRS 0-10, stesso carico</w:t>
            </w:r>
          </w:p>
        </w:tc>
        <w:tc>
          <w:tcPr/>
          <w:p>
            <w:pPr>
              <w:pStyle w:val="Compact"/>
            </w:pPr>
            <w:r>
              <w:t xml:space="preserve">2 punti</w:t>
            </w:r>
          </w:p>
        </w:tc>
        <w:tc>
          <w:tcPr/>
          <w:p>
            <w:pPr>
              <w:pStyle w:val="Compact"/>
            </w:pPr>
            <w:r>
              <w:t xml:space="preserve">Convenzione clinica dichiarata</w:t>
            </w:r>
          </w:p>
        </w:tc>
      </w:tr>
      <w:tr>
        <w:tc>
          <w:tcPr/>
          <w:p>
            <w:pPr>
              <w:pStyle w:val="Compact"/>
            </w:pPr>
            <w:r>
              <w:t xml:space="preserve">Corsa dell’articolazione adiacente</w:t>
            </w:r>
          </w:p>
        </w:tc>
        <w:tc>
          <w:tcPr/>
          <w:p>
            <w:pPr>
              <w:pStyle w:val="Compact"/>
            </w:pPr>
            <w:r>
              <w:t xml:space="preserve">Goniometro o distanza al muro</w:t>
            </w:r>
          </w:p>
        </w:tc>
        <w:tc>
          <w:tcPr/>
          <w:p>
            <w:pPr>
              <w:pStyle w:val="Compact"/>
            </w:pPr>
            <w:r>
              <w:t xml:space="preserve">10 gradi o 1 cm</w:t>
            </w:r>
          </w:p>
        </w:tc>
        <w:tc>
          <w:tcPr/>
          <w:p>
            <w:pPr>
              <w:pStyle w:val="Compact"/>
            </w:pPr>
            <w:r>
              <w:t xml:space="preserve">Doppio dell’errore dello strumento</w:t>
            </w:r>
          </w:p>
        </w:tc>
      </w:tr>
      <w:tr>
        <w:tc>
          <w:tcPr/>
          <w:p>
            <w:pPr>
              <w:pStyle w:val="Compact"/>
            </w:pPr>
            <w:r>
              <w:t xml:space="preserve">Soglia di pressione, sito remoto</w:t>
            </w:r>
          </w:p>
        </w:tc>
        <w:tc>
          <w:tcPr/>
          <w:p>
            <w:pPr>
              <w:pStyle w:val="Compact"/>
            </w:pPr>
            <w:r>
              <w:t xml:space="preserve">Algometro, stesso sito, pre/post</w:t>
            </w:r>
          </w:p>
        </w:tc>
        <w:tc>
          <w:tcPr/>
          <w:p>
            <w:pPr>
              <w:pStyle w:val="Compact"/>
            </w:pPr>
            <w:r>
              <w:t xml:space="preserve">20%</w:t>
            </w:r>
          </w:p>
        </w:tc>
        <w:tc>
          <w:tcPr/>
          <w:p>
            <w:pPr>
              <w:pStyle w:val="Compact"/>
            </w:pPr>
            <w:r>
              <w:t xml:space="preserve">Convenzione, sopra la variabilità</w:t>
            </w:r>
          </w:p>
        </w:tc>
      </w:tr>
    </w:tbl>
    <w:p>
      <w:pPr>
        <w:pStyle w:val="BodyText"/>
      </w:pPr>
      <w:r>
        <w:t xml:space="preserve">Nessuna di queste soglie viene da uno studio che abbia pubblicato il cambiamento minimo rilevabile su questa condizione.</w:t>
      </w:r>
      <w:r>
        <w:t xml:space="preserve"> </w:t>
      </w:r>
      <w:r>
        <w:rPr>
          <w:b/>
          <w:bCs/>
        </w:rPr>
        <w:t xml:space="preserve">Sono tutte e quattro convenzioni di metodo, scelte sopra l’errore dello strumento, e sono dichiarate per questo.</w:t>
      </w:r>
      <w:r>
        <w:t xml:space="preserve"> </w:t>
      </w:r>
      <w:r>
        <w:t xml:space="preserve">Un guadagno di cinque gradi non è un risultato: è rumore.</w:t>
      </w:r>
    </w:p>
    <w:p>
      <w:pPr>
        <w:pStyle w:val="BodyText"/>
      </w:pPr>
      <w:r>
        <w:t xml:space="preserve">Due precisazioni, entrambe sul quarto marker.</w:t>
      </w:r>
      <w:r>
        <w:t xml:space="preserve"> </w:t>
      </w:r>
      <w:r>
        <w:rPr>
          <w:b/>
          <w:bCs/>
        </w:rPr>
        <w:t xml:space="preserve">La prima: non si confronta con il lato sano.</w:t>
      </w:r>
      <w:r>
        <w:t xml:space="preserve"> </w:t>
      </w:r>
      <w:r>
        <w:t xml:space="preserve">Il quadro che deve rilevare è bilaterale quando c’è, quindi il lato sano come riferimento rende il marker cieco proprio dove il meccanismo esiste. Si misura lo</w:t>
      </w:r>
      <w:r>
        <w:t xml:space="preserve"> </w:t>
      </w:r>
      <w:r>
        <w:rPr>
          <w:b/>
          <w:bCs/>
        </w:rPr>
        <w:t xml:space="preserve">stesso sito remoto</w:t>
      </w:r>
      <w:r>
        <w:t xml:space="preserve"> </w:t>
      </w:r>
      <w:r>
        <w:t xml:space="preserve">nello stesso paziente, prima e dopo — negli studi è l’epicondilo laterale controlaterale.</w:t>
      </w:r>
    </w:p>
    <w:p>
      <w:pPr>
        <w:pStyle w:val="BodyText"/>
      </w:pPr>
      <w:r>
        <w:rPr>
          <w:b/>
          <w:bCs/>
        </w:rPr>
        <w:t xml:space="preserve">La seconda: se l’algometro non c’è, l’alternativa dichiarata è la frequenza respiratoria a riposo.</w:t>
      </w:r>
      <w:r>
        <w:t xml:space="preserve"> </w:t>
      </w:r>
      <w:r>
        <w:t xml:space="preserve">Si conta su sessanta secondi prima e dopo, con una soglia di tre atti e la stessa provenienza convenzionale. Non è un segno di stato autonomico — quel claim non regge — ed è buona solo come differenza sullo stesso paziente nella stessa seduta.</w:t>
      </w:r>
    </w:p>
    <w:bookmarkEnd w:id="41"/>
    <w:bookmarkStart w:id="42" w:name="la-prova-della-chiave-di-volta"/>
    <w:p>
      <w:pPr>
        <w:pStyle w:val="Heading3"/>
      </w:pPr>
      <w:r>
        <w:t xml:space="preserve">La prova della chiave di volta</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FirstParagraph"/>
      </w:pPr>
      <w:r>
        <w:t xml:space="preserve">Qui la lesione primaria, quando riesci a ricostruirla, quasi mai è una struttura: è un</w:t>
      </w:r>
      <w:r>
        <w:t xml:space="preserve"> </w:t>
      </w:r>
      <w:r>
        <w:rPr>
          <w:b/>
          <w:bCs/>
        </w:rPr>
        <w:t xml:space="preserve">evento di carico</w:t>
      </w:r>
      <w:r>
        <w:t xml:space="preserve">. Scriverla come struttura — «l’anca rigida ha causato il tendine» — è la versione che il documento non ti autorizza a usare.</w:t>
      </w:r>
    </w:p>
    <w:p>
      <w:pPr>
        <w:pStyle w:val="BodyText"/>
      </w:pPr>
      <w:r>
        <w:t xml:space="preserve">Tratti in prova il piano che sospetti dominante, poi rimisuri. La regola è una sola:</w:t>
      </w:r>
      <w:r>
        <w:t xml:space="preserve"> </w:t>
      </w:r>
      <w:r>
        <w:rPr>
          <w:b/>
          <w:bCs/>
        </w:rPr>
        <w:t xml:space="preserve">il marker che decide appartiene a un piano che non hai trattato.</w:t>
      </w:r>
      <w:r>
        <w:t xml:space="preserve"> </w:t>
      </w:r>
      <w:r>
        <w:t xml:space="preserve">Non è fisso, quindi: dipende da dove hai lavorato, e i marker della tabella sono già fuori piano l’uno rispetto all’altro. Un marker preso sul piano che hai appena trattato ti dice che il gesto è cambiato, non che l’ipotesi ha retto.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 agisci su…</w:t>
            </w:r>
          </w:p>
        </w:tc>
        <w:tc>
          <w:tcPr/>
          <w:p>
            <w:pPr>
              <w:pStyle w:val="Compact"/>
            </w:pPr>
            <w:r>
              <w:t xml:space="preserve">Il marker che decide è…</w:t>
            </w:r>
          </w:p>
        </w:tc>
      </w:tr>
      <w:tr>
        <w:tc>
          <w:tcPr/>
          <w:p>
            <w:pPr>
              <w:pStyle w:val="Compact"/>
            </w:pPr>
            <w:r>
              <w:t xml:space="preserve">La dose di carico (passi 1-2)</w:t>
            </w:r>
          </w:p>
        </w:tc>
        <w:tc>
          <w:tcPr/>
          <w:p>
            <w:pPr>
              <w:pStyle w:val="Compact"/>
            </w:pPr>
            <w:r>
              <w:t xml:space="preserve">La corsa dell’articolazione adiacente</w:t>
            </w:r>
          </w:p>
        </w:tc>
      </w:tr>
      <w:tr>
        <w:tc>
          <w:tcPr/>
          <w:p>
            <w:pPr>
              <w:pStyle w:val="Compact"/>
            </w:pPr>
            <w:r>
              <w:t xml:space="preserve">La corsa a monte (passo 3)</w:t>
            </w:r>
          </w:p>
        </w:tc>
        <w:tc>
          <w:tcPr/>
          <w:p>
            <w:pPr>
              <w:pStyle w:val="Compact"/>
            </w:pPr>
            <w:r>
              <w:t xml:space="preserve">Test di carico: ripetizioni o NRS</w:t>
            </w:r>
          </w:p>
        </w:tc>
      </w:tr>
      <w:tr>
        <w:tc>
          <w:tcPr/>
          <w:p>
            <w:pPr>
              <w:pStyle w:val="Compact"/>
            </w:pPr>
            <w:r>
              <w:t xml:space="preserve">Il livello di attivazione (passo 4)</w:t>
            </w:r>
          </w:p>
        </w:tc>
        <w:tc>
          <w:tcPr/>
          <w:p>
            <w:pPr>
              <w:pStyle w:val="Compact"/>
            </w:pPr>
            <w:r>
              <w:t xml:space="preserve">La soglia algometrica remota, o la frequenza respiratoria</w:t>
            </w:r>
          </w:p>
        </w:tc>
      </w:tr>
    </w:tbl>
    <w:p>
      <w:pPr>
        <w:pStyle w:val="BodyText"/>
      </w:pPr>
      <w:r>
        <w:rPr>
          <w:b/>
          <w:bCs/>
        </w:rPr>
        <w:t xml:space="preserve">La terza riga è un’eccezione dichiarata.</w:t>
      </w:r>
      <w:r>
        <w:t xml:space="preserve"> </w:t>
      </w:r>
      <w:r>
        <w:t xml:space="preserve">La soglia remota è un</w:t>
      </w:r>
      <w:r>
        <w:t xml:space="preserve"> </w:t>
      </w:r>
      <w:r>
        <w:rPr>
          <w:i/>
          <w:iCs/>
        </w:rPr>
        <w:t xml:space="preserve">sito</w:t>
      </w:r>
      <w:r>
        <w:t xml:space="preserve"> </w:t>
      </w:r>
      <w:r>
        <w:t xml:space="preserve">che non hai toccato, ma è il</w:t>
      </w:r>
      <w:r>
        <w:t xml:space="preserve"> </w:t>
      </w:r>
      <w:r>
        <w:rPr>
          <w:i/>
          <w:iCs/>
        </w:rPr>
        <w:t xml:space="preserve">piano</w:t>
      </w:r>
      <w:r>
        <w:t xml:space="preserve"> </w:t>
      </w:r>
      <w:r>
        <w:t xml:space="preserve">che hai appena trattato: misura l’effetto, non prova l’ipotesi. E quando attivazione e carico si lavorano insieme, come nel Paziente C, nessun piano resta fuori. Lì decide il comportamento alla seduta successiva, cioè il carico che il paziente ha effettivamente fatto.</w:t>
      </w:r>
    </w:p>
    <w:p>
      <w:pPr>
        <w:pStyle w:val="BodyText"/>
      </w:pPr>
      <w:r>
        <w:rPr>
          <w:b/>
          <w:bCs/>
        </w:rPr>
        <w:t xml:space="preserve">La prova esiste anche senza algometro.</w:t>
      </w:r>
      <w:r>
        <w:t xml:space="preserve"> </w:t>
      </w:r>
      <w:r>
        <w:t xml:space="preserve">Lo strumento resta l’acquisto giusto per il paziente con dolore allargato, non la condizione di esistenza del metodo.</w:t>
      </w:r>
    </w:p>
    <w:p>
      <w:pPr>
        <w:pStyle w:val="BlockText"/>
      </w:pPr>
      <w:r>
        <w:rPr>
          <w:b/>
          <w:bCs/>
        </w:rPr>
        <w:t xml:space="preserve">Attenzione.</w:t>
      </w:r>
      <w:r>
        <w:t xml:space="preserve"> </w:t>
      </w:r>
      <w:r>
        <w:t xml:space="preserve">Un marker fuori piano può restare fermo anche quando il tuo lavoro sta funzionando. Una soglia remota che non si muove dice che in questo paziente la componente di sensibilizzazione non è quella che stai spostando: non smentisce il lavoro sul carico. E se il tendine è all’achilleo, alla rotula o al gluteo, resta fermo per una ragione</w:t>
      </w:r>
      <w:r>
        <w:t xml:space="preserve"> </w:t>
      </w:r>
      <w:r>
        <w:rPr>
          <w:b/>
          <w:bCs/>
        </w:rPr>
        <w:t xml:space="preserve">sistematica</w:t>
      </w:r>
      <w:r>
        <w:t xml:space="preserve"> </w:t>
      </w:r>
      <w:r>
        <w:t xml:space="preserve">e non individuale — in quel distretto la soglia remota, negli studi, è normale. Un marker fuori piano interpretato come verdetto assoluto produce l’errore opposto a quello che dovrebbe evitare.</w:t>
      </w:r>
    </w:p>
    <w:bookmarkEnd w:id="42"/>
    <w:bookmarkStart w:id="43" w:name="la-road-map"/>
    <w:p>
      <w:pPr>
        <w:pStyle w:val="Heading3"/>
      </w:pPr>
      <w:r>
        <w:t xml:space="preserve">La Road Map</w:t>
      </w:r>
    </w:p>
    <w:p>
      <w:pPr>
        <w:pStyle w:val="FirstParagraph"/>
      </w:pPr>
      <w:r>
        <w:t xml:space="preserve">Cinque passi, in ordine di priorità. Le bandiere rosse stanno</w:t>
      </w:r>
      <w:r>
        <w:t xml:space="preserve"> </w:t>
      </w:r>
      <w:r>
        <w:rPr>
          <w:b/>
          <w:bCs/>
        </w:rPr>
        <w:t xml:space="preserve">fuori</w:t>
      </w:r>
      <w:r>
        <w:t xml:space="preserve"> </w:t>
      </w:r>
      <w:r>
        <w:t xml:space="preserve">da questa lista, come cancello che la precede: sono un criterio d’ingresso, non un piano da indagare.</w:t>
      </w:r>
    </w:p>
    <w:p>
      <w:pPr>
        <w:pStyle w:val="Compact"/>
        <w:numPr>
          <w:ilvl w:val="0"/>
          <w:numId w:val="1024"/>
        </w:numPr>
      </w:pPr>
      <w:r>
        <w:rPr>
          <w:b/>
          <w:bCs/>
        </w:rPr>
        <w:t xml:space="preserve">Quanto carico riceve questo tendine, e cosa è cambiato nelle sei settimane prima dell’esordio?</w:t>
      </w:r>
      <w:r>
        <w:t xml:space="preserve"> </w:t>
      </w:r>
      <w:r>
        <w:t xml:space="preserve">È la domanda con il razionale più forte, e quella che nessuno ha fatto.</w:t>
      </w:r>
    </w:p>
    <w:p>
      <w:pPr>
        <w:pStyle w:val="Compact"/>
        <w:numPr>
          <w:ilvl w:val="0"/>
          <w:numId w:val="1024"/>
        </w:numPr>
      </w:pPr>
      <w:r>
        <w:rPr>
          <w:b/>
          <w:bCs/>
        </w:rPr>
        <w:t xml:space="preserve">La zona è stata scaricata?</w:t>
      </w:r>
      <w:r>
        <w:t xml:space="preserve"> </w:t>
      </w:r>
      <w:r>
        <w:t xml:space="preserve">Riposo, tutore, attività abbandonate, forza del lato malato rispetto al sano. Se sì, la capacità di oggi è più bassa di quella di quando è iniziato.</w:t>
      </w:r>
    </w:p>
    <w:p>
      <w:pPr>
        <w:pStyle w:val="Compact"/>
        <w:numPr>
          <w:ilvl w:val="0"/>
          <w:numId w:val="1024"/>
        </w:numPr>
      </w:pPr>
      <w:r>
        <w:rPr>
          <w:b/>
          <w:bCs/>
        </w:rPr>
        <w:t xml:space="preserve">La corsa dell’articolazione adiacente è simmetrica, e il sintomo compare in fine corsa?</w:t>
      </w:r>
      <w:r>
        <w:t xml:space="preserve"> </w:t>
      </w:r>
      <w:r>
        <w:t xml:space="preserve">È il passo che decide se il carico locale arriva da una posizione o da una quantità.</w:t>
      </w:r>
    </w:p>
    <w:p>
      <w:pPr>
        <w:pStyle w:val="Compact"/>
        <w:numPr>
          <w:ilvl w:val="0"/>
          <w:numId w:val="1024"/>
        </w:numPr>
      </w:pPr>
      <w:r>
        <w:rPr>
          <w:b/>
          <w:bCs/>
        </w:rPr>
        <w:t xml:space="preserve">Il dolore segue ancora il carico?</w:t>
      </w:r>
      <w:r>
        <w:t xml:space="preserve"> </w:t>
      </w:r>
      <w:r>
        <w:t xml:space="preserve">Se compare a riposo, di notte, allargato, il piano che consuma di più è quello dell’attivazione, e la leva cambia — non sparisce.</w:t>
      </w:r>
    </w:p>
    <w:p>
      <w:pPr>
        <w:pStyle w:val="Compact"/>
        <w:numPr>
          <w:ilvl w:val="0"/>
          <w:numId w:val="1024"/>
        </w:numPr>
      </w:pPr>
      <w:r>
        <w:rPr>
          <w:b/>
          <w:bCs/>
        </w:rPr>
        <w:t xml:space="preserve">C’è una ragione metabolica o farmacologica che abbassa la capacità?</w:t>
      </w:r>
      <w:r>
        <w:t xml:space="preserve"> </w:t>
      </w:r>
      <w:r>
        <w:t xml:space="preserve">Diabete, chinoloni, cortisone, ormonoterapia adiuvante, un pregresso su quell’arto. Non si lavora con le mani: si nomina, si scrive, si rinvia.</w:t>
      </w:r>
    </w:p>
    <w:p>
      <w:pPr>
        <w:pStyle w:val="FirstParagraph"/>
      </w:pPr>
      <w:r>
        <w:rPr>
          <w:b/>
          <w:bCs/>
        </w:rPr>
        <w:t xml:space="preserve">Quando rispondono sì più passi</w:t>
      </w:r>
      <w:r>
        <w:t xml:space="preserve"> </w:t>
      </w:r>
      <w:r>
        <w:t xml:space="preserve">— che è il caso normale — il piano dominante è quello che, lasciato dov’è,</w:t>
      </w:r>
      <w:r>
        <w:t xml:space="preserve"> </w:t>
      </w:r>
      <w:r>
        <w:rPr>
          <w:b/>
          <w:bCs/>
        </w:rPr>
        <w:t xml:space="preserve">rende impossibile muovere gli altri</w:t>
      </w:r>
      <w:r>
        <w:t xml:space="preserve">. Se rispondono sì solo 1 e 2, il piano è uno ed è la dose. Se risponde sì il 4, l’attivazione si lavora</w:t>
      </w:r>
      <w:r>
        <w:t xml:space="preserve"> </w:t>
      </w:r>
      <w:r>
        <w:rPr>
          <w:b/>
          <w:bCs/>
        </w:rPr>
        <w:t xml:space="preserve">insieme</w:t>
      </w:r>
      <w:r>
        <w:t xml:space="preserve"> </w:t>
      </w:r>
      <w:r>
        <w:t xml:space="preserve">al carico, non prima e non al posto. Se risponde sì il 5, non è un piano su cui agisci: è un</w:t>
      </w:r>
      <w:r>
        <w:t xml:space="preserve"> </w:t>
      </w:r>
      <w:r>
        <w:rPr>
          <w:b/>
          <w:bCs/>
        </w:rPr>
        <w:t xml:space="preserve">tetto</w:t>
      </w:r>
      <w:r>
        <w:t xml:space="preserve"> </w:t>
      </w:r>
      <w:r>
        <w:t xml:space="preserve">che abbassa la progressione e anticipa la comunicazione al curante.</w:t>
      </w:r>
    </w:p>
    <w:bookmarkEnd w:id="43"/>
    <w:bookmarkStart w:id="44" w:name="i-tre-stati-del-paziente"/>
    <w:p>
      <w:pPr>
        <w:pStyle w:val="Heading3"/>
      </w:pPr>
      <w:r>
        <w:t xml:space="preserve">I tre stati del paziente</w:t>
      </w:r>
    </w:p>
    <w:p>
      <w:pPr>
        <w:pStyle w:val="FirstParagraph"/>
      </w:pPr>
      <w:r>
        <w:t xml:space="preserve">I segnali del modello Comportamentale li raccogli nell’anamnesi; questi tre stati li leggi in tempo reale sul lettino. È lo stesso piano guardato prima e durante, non due elenchi da ricordare.</w:t>
      </w:r>
    </w:p>
    <w:p>
      <w:pPr>
        <w:pStyle w:val="Compact"/>
        <w:numPr>
          <w:ilvl w:val="0"/>
          <w:numId w:val="1025"/>
        </w:numPr>
      </w:pPr>
      <w:r>
        <w:rPr>
          <w:b/>
          <w:bCs/>
        </w:rPr>
        <w:t xml:space="preserve">In difesa</w:t>
      </w:r>
      <w:r>
        <w:t xml:space="preserve"> </w:t>
      </w:r>
      <w:r>
        <w:t xml:space="preserve">— teso, monosillabi, respiro corto. Parla al bisogno di sicurezza: contatto lento, ritmo calmo, e la frase che gli toglie la paura più grande, che caricare lo rovini.</w:t>
      </w:r>
    </w:p>
    <w:p>
      <w:pPr>
        <w:pStyle w:val="Compact"/>
        <w:numPr>
          <w:ilvl w:val="0"/>
          <w:numId w:val="1025"/>
        </w:numPr>
      </w:pPr>
      <w:r>
        <w:rPr>
          <w:b/>
          <w:bCs/>
        </w:rPr>
        <w:t xml:space="preserve">Emotivo</w:t>
      </w:r>
      <w:r>
        <w:t xml:space="preserve"> </w:t>
      </w:r>
      <w:r>
        <w:t xml:space="preserve">— racconta, associa il dolore a un periodo. Parla al bisogno di essere capito. È spesso qui che il livello di attivazione è dominante, ed è il paziente in cui il tempo dedicato è parte del trattamento.</w:t>
      </w:r>
    </w:p>
    <w:p>
      <w:pPr>
        <w:pStyle w:val="Compact"/>
        <w:numPr>
          <w:ilvl w:val="0"/>
          <w:numId w:val="1025"/>
        </w:numPr>
      </w:pPr>
      <w:r>
        <w:rPr>
          <w:b/>
          <w:bCs/>
        </w:rPr>
        <w:t xml:space="preserve">Razionale</w:t>
      </w:r>
      <w:r>
        <w:t xml:space="preserve"> </w:t>
      </w:r>
      <w:r>
        <w:t xml:space="preserve">— vuole capire, ha già letto. Parla al bisogno di logica: mostragli il conteggio delle ripetizioni prima e dopo, e la corsa articolare in gradi.</w:t>
      </w:r>
    </w:p>
    <w:p>
      <w:pPr>
        <w:pStyle w:val="FirstParagraph"/>
      </w:pPr>
      <w:r>
        <w:rPr>
          <w:b/>
          <w:bCs/>
        </w:rPr>
        <w:t xml:space="preserve">Le tre cose da ricordare, più una</w:t>
      </w:r>
    </w:p>
    <w:p>
      <w:pPr>
        <w:pStyle w:val="Compact"/>
        <w:numPr>
          <w:ilvl w:val="0"/>
          <w:numId w:val="1026"/>
        </w:numPr>
      </w:pPr>
      <w:r>
        <w:t xml:space="preserve">La domanda che apre tutto non è dove fa male: è cosa è cambiato sei settimane prima.</w:t>
      </w:r>
    </w:p>
    <w:p>
      <w:pPr>
        <w:pStyle w:val="Compact"/>
        <w:numPr>
          <w:ilvl w:val="0"/>
          <w:numId w:val="1026"/>
        </w:numPr>
      </w:pPr>
      <w:r>
        <w:t xml:space="preserve">La gerarchia ordina l’indagine, non la forza delle leve: qui la leva migliore sta sul piano esecutore.</w:t>
      </w:r>
    </w:p>
    <w:p>
      <w:pPr>
        <w:pStyle w:val="Compact"/>
        <w:numPr>
          <w:ilvl w:val="0"/>
          <w:numId w:val="1026"/>
        </w:numPr>
      </w:pPr>
      <w:r>
        <w:t xml:space="preserve">«Non trattare il punto che duole» qui non è più un divieto ed è ancora una regola di ricerca: il posto che duole dice dove misuri, non da dove arriva il carico. È la stessa regola in due tempi, e il secondo è che il marker con cui verifichi appartiene al piano che</w:t>
      </w:r>
      <w:r>
        <w:t xml:space="preserve"> </w:t>
      </w:r>
      <w:r>
        <w:rPr>
          <w:b/>
          <w:bCs/>
        </w:rPr>
        <w:t xml:space="preserve">non</w:t>
      </w:r>
      <w:r>
        <w:t xml:space="preserve"> </w:t>
      </w:r>
      <w:r>
        <w:t xml:space="preserve">hai trattato in quella seduta.</w:t>
      </w:r>
    </w:p>
    <w:p>
      <w:pPr>
        <w:pStyle w:val="Compact"/>
        <w:numPr>
          <w:ilvl w:val="0"/>
          <w:numId w:val="1026"/>
        </w:numPr>
      </w:pPr>
      <w:r>
        <w:rPr>
          <w:b/>
          <w:bCs/>
        </w:rPr>
        <w:t xml:space="preserve">Perché ci sei tu.</w:t>
      </w:r>
      <w:r>
        <w:t xml:space="preserve"> </w:t>
      </w:r>
      <w:r>
        <w:t xml:space="preserve">Il dolore attorno al tendine si accompagna a un valore di ecografia che nessuno può usare da solo:</w:t>
      </w:r>
      <w:r>
        <w:t xml:space="preserve"> </w:t>
      </w:r>
      <w:r>
        <w:rPr>
          <w:b/>
          <w:bCs/>
        </w:rPr>
        <w:t xml:space="preserve">in atleti senza dolore, su achilleo e rotula</w:t>
      </w:r>
      <w:r>
        <w:t xml:space="preserve">, l’anormalità ecografica predice il dolore futuro in poco più di un caso su quattro (Cushman, 2025, PMID 38864880). Questo ti autorizza a togliere l’immagine dal centro della conversazione e a mettere al suo posto una misura che fai tu e che si muove nella stessa seduta. Non ti autorizza a dire al paziente che l’ecografia non serve: quando è pulita, esclude parecchio.</w:t>
      </w:r>
    </w:p>
    <w:p>
      <w:r>
        <w:pict>
          <v:rect style="width:0;height:1.5pt" o:hralign="center" o:hrstd="t" o:hr="t"/>
        </w:pict>
      </w:r>
    </w:p>
    <w:bookmarkEnd w:id="44"/>
    <w:bookmarkEnd w:id="45"/>
    <w:bookmarkStart w:id="51"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qui il rischio non è la manovra: è il tendine che stai caricando mentre il paziente prende un antibiotico, e la malattia infiammatoria che scambi per un sovraccarico.</w:t>
      </w:r>
    </w:p>
    <w:bookmarkStart w:id="46" w:name="le-bandiere-rosse"/>
    <w:p>
      <w:pPr>
        <w:pStyle w:val="Heading3"/>
      </w:pPr>
      <w:r>
        <w:t xml:space="preserve">Le bandiere rosse</w:t>
      </w:r>
    </w:p>
    <w:p>
      <w:pPr>
        <w:pStyle w:val="FirstParagraph"/>
      </w:pPr>
      <w:r>
        <w:rPr>
          <w:b/>
          <w:bCs/>
        </w:rPr>
        <w:t xml:space="preserve">Da dove viene questa tabella, e come si usa.</w:t>
      </w:r>
      <w:r>
        <w:t xml:space="preserve"> </w:t>
      </w:r>
      <w:r>
        <w:t xml:space="preserve">La linea guida internazionale sulla tendinopatia achillea è una linea guida</w:t>
      </w:r>
      <w:r>
        <w:t xml:space="preserve"> </w:t>
      </w:r>
      <w:r>
        <w:rPr>
          <w:b/>
          <w:bCs/>
        </w:rPr>
        <w:t xml:space="preserve">di trattamento</w:t>
      </w:r>
      <w:r>
        <w:t xml:space="preserve">. Non ha una lista di bandiere rosse: ha una</w:t>
      </w:r>
      <w:r>
        <w:t xml:space="preserve"> </w:t>
      </w:r>
      <w:r>
        <w:rPr>
          <w:b/>
          <w:bCs/>
        </w:rPr>
        <w:t xml:space="preserve">diagnosi differenziale</w:t>
      </w:r>
      <w:r>
        <w:t xml:space="preserve">, ed è da lì che prendiamo le voci che altrimenti mancherebbero. La revisione corrente è Chimenti,</w:t>
      </w:r>
      <w:r>
        <w:t xml:space="preserve"> </w:t>
      </w:r>
      <w:r>
        <w:rPr>
          <w:i/>
          <w:iCs/>
        </w:rPr>
        <w:t xml:space="preserve">JOSPT</w:t>
      </w:r>
      <w:r>
        <w:t xml:space="preserve">, 2024, PMID 39611662, e sostituisce Martin 2018, PMID 29712543. Lì il dolore posteriore di caviglia non traumatico va differenziato da sette quadri: rottura parziale, borsite retrocalcaneare, impingement posteriore, irritazione del nervo surale,</w:t>
      </w:r>
      <w:r>
        <w:t xml:space="preserve"> </w:t>
      </w:r>
      <w:r>
        <w:rPr>
          <w:b/>
          <w:bCs/>
        </w:rPr>
        <w:t xml:space="preserve">frattura da stress tibiale o calcaneare</w:t>
      </w:r>
      <w:r>
        <w:t xml:space="preserve">, os trigonum e malattia infiammatoria sistemica. Le altre righe vengono da fonti citate una per una.</w:t>
      </w:r>
    </w:p>
    <w:p>
      <w:pPr>
        <w:pStyle w:val="BodyText"/>
      </w:pPr>
      <w:r>
        <w:rPr>
          <w:b/>
          <w:bCs/>
        </w:rPr>
        <w:t xml:space="preserve">La usi come rete, non come filtro.</w:t>
      </w:r>
      <w:r>
        <w:t xml:space="preserve"> </w:t>
      </w:r>
      <w:r>
        <w:t xml:space="preserve">Una riga presente ti fa fermare; tutte assenti non ti autorizzano a escludere niente. In cartella scrivi che l’hai passata in rassegna, non che il paziente è negativo.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Zona calda, rossa, gonfia, con tossicità sistemica</w:t>
            </w:r>
          </w:p>
        </w:tc>
        <w:tc>
          <w:tcPr/>
          <w:p>
            <w:pPr>
              <w:pStyle w:val="Compact"/>
            </w:pPr>
            <w:r>
              <w:t xml:space="preserve">Pronto soccorso</w:t>
            </w:r>
          </w:p>
        </w:tc>
        <w:tc>
          <w:tcPr/>
          <w:p>
            <w:pPr>
              <w:pStyle w:val="Compact"/>
            </w:pPr>
            <w:r>
              <w:t xml:space="preserve">112</w:t>
            </w:r>
          </w:p>
        </w:tc>
        <w:tc>
          <w:tcPr/>
          <w:p>
            <w:pPr>
              <w:pStyle w:val="Compact"/>
            </w:pPr>
            <w:r>
              <w:t xml:space="preserve">ROSSO IMMEDIATO</w:t>
            </w:r>
          </w:p>
        </w:tc>
      </w:tr>
      <w:tr>
        <w:tc>
          <w:tcPr/>
          <w:p>
            <w:pPr>
              <w:pStyle w:val="Compact"/>
            </w:pPr>
            <w:r>
              <w:t xml:space="preserve">Zona calda, rossa, gonfia, con febbre, paziente vigile</w:t>
            </w:r>
          </w:p>
        </w:tc>
        <w:tc>
          <w:tcPr/>
          <w:p>
            <w:pPr>
              <w:pStyle w:val="Compact"/>
            </w:pPr>
            <w:r>
              <w:t xml:space="preserve">Pronto soccorso</w:t>
            </w:r>
          </w:p>
        </w:tc>
        <w:tc>
          <w:tcPr/>
          <w:p>
            <w:pPr>
              <w:pStyle w:val="Compact"/>
            </w:pPr>
            <w:r>
              <w:t xml:space="preserve">In giornata, mezzi propri</w:t>
            </w:r>
          </w:p>
        </w:tc>
        <w:tc>
          <w:tcPr/>
          <w:p>
            <w:pPr>
              <w:pStyle w:val="Compact"/>
            </w:pPr>
            <w:r>
              <w:t xml:space="preserve">ROSSO IMMEDIATO</w:t>
            </w:r>
          </w:p>
        </w:tc>
      </w:tr>
      <w:tr>
        <w:tc>
          <w:tcPr/>
          <w:p>
            <w:pPr>
              <w:pStyle w:val="Compact"/>
            </w:pPr>
            <w:r>
              <w:t xml:space="preserve">Schiocco con perdita di funzione</w:t>
            </w:r>
          </w:p>
        </w:tc>
        <w:tc>
          <w:tcPr/>
          <w:p>
            <w:pPr>
              <w:pStyle w:val="Compact"/>
            </w:pPr>
            <w:r>
              <w:t xml:space="preserve">Pronto soccorso</w:t>
            </w:r>
          </w:p>
        </w:tc>
        <w:tc>
          <w:tcPr/>
          <w:p>
            <w:pPr>
              <w:pStyle w:val="Compact"/>
            </w:pPr>
            <w:r>
              <w:t xml:space="preserve">Urgente, in giornata</w:t>
            </w:r>
          </w:p>
        </w:tc>
        <w:tc>
          <w:tcPr/>
          <w:p>
            <w:pPr>
              <w:pStyle w:val="Compact"/>
            </w:pPr>
            <w:r>
              <w:t xml:space="preserve">ROSSO IMMEDIATO</w:t>
            </w:r>
          </w:p>
        </w:tc>
      </w:tr>
      <w:tr>
        <w:tc>
          <w:tcPr/>
          <w:p>
            <w:pPr>
              <w:pStyle w:val="Compact"/>
            </w:pPr>
            <w:r>
              <w:t xml:space="preserve">Gonfiore che cresce in fretta senza causa</w:t>
            </w:r>
          </w:p>
        </w:tc>
        <w:tc>
          <w:tcPr/>
          <w:p>
            <w:pPr>
              <w:pStyle w:val="Compact"/>
            </w:pPr>
            <w:r>
              <w:t xml:space="preserve">Pronto soccorso</w:t>
            </w:r>
          </w:p>
        </w:tc>
        <w:tc>
          <w:tcPr/>
          <w:p>
            <w:pPr>
              <w:pStyle w:val="Compact"/>
            </w:pPr>
            <w:r>
              <w:t xml:space="preserve">Urgente, entro 24 ore</w:t>
            </w:r>
          </w:p>
        </w:tc>
        <w:tc>
          <w:tcPr/>
          <w:p>
            <w:pPr>
              <w:pStyle w:val="Compact"/>
            </w:pPr>
            <w:r>
              <w:t xml:space="preserve">ROSSO IMMEDIATO</w:t>
            </w:r>
          </w:p>
        </w:tc>
      </w:tr>
      <w:tr>
        <w:tc>
          <w:tcPr/>
          <w:p>
            <w:pPr>
              <w:pStyle w:val="Compact"/>
            </w:pPr>
            <w:r>
              <w:t xml:space="preserve">Dolore su chinoloni: durante o nei mesi dopo</w:t>
            </w:r>
          </w:p>
        </w:tc>
        <w:tc>
          <w:tcPr/>
          <w:p>
            <w:pPr>
              <w:pStyle w:val="Compact"/>
            </w:pPr>
            <w:r>
              <w:t xml:space="preserve">Curante</w:t>
            </w:r>
          </w:p>
        </w:tc>
        <w:tc>
          <w:tcPr/>
          <w:p>
            <w:pPr>
              <w:pStyle w:val="Compact"/>
            </w:pPr>
            <w:r>
              <w:rPr>
                <w:b/>
                <w:bCs/>
              </w:rPr>
              <w:t xml:space="preserve">Oggi</w:t>
            </w:r>
            <w:r>
              <w:t xml:space="preserve">, e nessun carico</w:t>
            </w:r>
          </w:p>
        </w:tc>
        <w:tc>
          <w:tcPr/>
          <w:p>
            <w:pPr>
              <w:pStyle w:val="Compact"/>
            </w:pPr>
            <w:r>
              <w:t xml:space="preserve">ROSSO DIFFERITO</w:t>
            </w:r>
          </w:p>
        </w:tc>
      </w:tr>
      <w:tr>
        <w:tc>
          <w:tcPr/>
          <w:p>
            <w:pPr>
              <w:pStyle w:val="Compact"/>
            </w:pPr>
            <w:r>
              <w:t xml:space="preserve">Dolore osseo focale che anticipa nel gesto</w:t>
            </w:r>
          </w:p>
        </w:tc>
        <w:tc>
          <w:tcPr/>
          <w:p>
            <w:pPr>
              <w:pStyle w:val="Compact"/>
            </w:pPr>
            <w:r>
              <w:t xml:space="preserve">Ortopedico</w:t>
            </w:r>
          </w:p>
        </w:tc>
        <w:tc>
          <w:tcPr/>
          <w:p>
            <w:pPr>
              <w:pStyle w:val="Compact"/>
            </w:pPr>
            <w:r>
              <w:t xml:space="preserve">Invio, entro 48 ore</w:t>
            </w:r>
          </w:p>
        </w:tc>
        <w:tc>
          <w:tcPr/>
          <w:p>
            <w:pPr>
              <w:pStyle w:val="Compact"/>
            </w:pPr>
            <w:r>
              <w:t xml:space="preserve">ROSSO DIFFERITO</w:t>
            </w:r>
          </w:p>
        </w:tc>
      </w:tr>
      <w:tr>
        <w:tc>
          <w:tcPr/>
          <w:p>
            <w:pPr>
              <w:pStyle w:val="Compact"/>
            </w:pPr>
            <w:r>
              <w:t xml:space="preserve">Dolore notturno che cresce ogni settimana</w:t>
            </w:r>
          </w:p>
        </w:tc>
        <w:tc>
          <w:tcPr/>
          <w:p>
            <w:pPr>
              <w:pStyle w:val="Compact"/>
            </w:pPr>
            <w:r>
              <w:t xml:space="preserve">Curante, poi specialista</w:t>
            </w:r>
          </w:p>
        </w:tc>
        <w:tc>
          <w:tcPr/>
          <w:p>
            <w:pPr>
              <w:pStyle w:val="Compact"/>
            </w:pPr>
            <w:r>
              <w:t xml:space="preserve">Invio, entro 7 giorni</w:t>
            </w:r>
          </w:p>
        </w:tc>
        <w:tc>
          <w:tcPr/>
          <w:p>
            <w:pPr>
              <w:pStyle w:val="Compact"/>
            </w:pPr>
            <w:r>
              <w:t xml:space="preserve">ROSSO DIFFERITO</w:t>
            </w:r>
          </w:p>
        </w:tc>
      </w:tr>
      <w:tr>
        <w:tc>
          <w:tcPr/>
          <w:p>
            <w:pPr>
              <w:pStyle w:val="Compact"/>
            </w:pPr>
            <w:r>
              <w:t xml:space="preserve">Rigidità mattutina oltre 30 minuti, più sedi</w:t>
            </w:r>
          </w:p>
        </w:tc>
        <w:tc>
          <w:tcPr/>
          <w:p>
            <w:pPr>
              <w:pStyle w:val="Compact"/>
            </w:pPr>
            <w:r>
              <w:t xml:space="preserve">Reumatologo</w:t>
            </w:r>
          </w:p>
        </w:tc>
        <w:tc>
          <w:tcPr/>
          <w:p>
            <w:pPr>
              <w:pStyle w:val="Compact"/>
            </w:pPr>
            <w:r>
              <w:t xml:space="preserve">Invio, entro 7 giorni</w:t>
            </w:r>
          </w:p>
        </w:tc>
        <w:tc>
          <w:tcPr/>
          <w:p>
            <w:pPr>
              <w:pStyle w:val="Compact"/>
            </w:pPr>
            <w:r>
              <w:t xml:space="preserve">ROSSO DIFFERITO</w:t>
            </w:r>
          </w:p>
        </w:tc>
      </w:tr>
      <w:tr>
        <w:tc>
          <w:tcPr/>
          <w:p>
            <w:pPr>
              <w:pStyle w:val="Compact"/>
            </w:pPr>
            <w:r>
              <w:t xml:space="preserve">Deficit di forza netto e improvviso</w:t>
            </w:r>
          </w:p>
        </w:tc>
        <w:tc>
          <w:tcPr/>
          <w:p>
            <w:pPr>
              <w:pStyle w:val="Compact"/>
            </w:pPr>
            <w:r>
              <w:t xml:space="preserve">Ortopedico</w:t>
            </w:r>
          </w:p>
        </w:tc>
        <w:tc>
          <w:tcPr/>
          <w:p>
            <w:pPr>
              <w:pStyle w:val="Compact"/>
            </w:pPr>
            <w:r>
              <w:t xml:space="preserve">Invio, entro 48 ore</w:t>
            </w:r>
          </w:p>
        </w:tc>
        <w:tc>
          <w:tcPr/>
          <w:p>
            <w:pPr>
              <w:pStyle w:val="Compact"/>
            </w:pPr>
            <w:r>
              <w:t xml:space="preserve">ROSSO DIFFERITO</w:t>
            </w:r>
          </w:p>
        </w:tc>
      </w:tr>
      <w:tr>
        <w:tc>
          <w:tcPr/>
          <w:p>
            <w:pPr>
              <w:pStyle w:val="Compact"/>
            </w:pPr>
            <w:r>
              <w:t xml:space="preserve">Spalla iperalgica acuta con calcificazione refertata</w:t>
            </w:r>
          </w:p>
        </w:tc>
        <w:tc>
          <w:tcPr/>
          <w:p>
            <w:pPr>
              <w:pStyle w:val="Compact"/>
            </w:pPr>
            <w:r>
              <w:t xml:space="preserve">Ortopedico o radiologo</w:t>
            </w:r>
          </w:p>
        </w:tc>
        <w:tc>
          <w:tcPr/>
          <w:p>
            <w:pPr>
              <w:pStyle w:val="Compact"/>
            </w:pPr>
            <w:r>
              <w:t xml:space="preserve">Invio, entro 7 giorni</w:t>
            </w:r>
          </w:p>
        </w:tc>
        <w:tc>
          <w:tcPr/>
          <w:p>
            <w:pPr>
              <w:pStyle w:val="Compact"/>
            </w:pPr>
            <w:r>
              <w:t xml:space="preserve">ROSSO DIFFERITO</w:t>
            </w:r>
          </w:p>
        </w:tc>
      </w:tr>
      <w:tr>
        <w:tc>
          <w:tcPr/>
          <w:p>
            <w:pPr>
              <w:pStyle w:val="Compact"/>
            </w:pPr>
            <w:r>
              <w:t xml:space="preserve">Diabete lungo, cortisone, nefropatia, gotta, artrite</w:t>
            </w:r>
          </w:p>
        </w:tc>
        <w:tc>
          <w:tcPr/>
          <w:p>
            <w:pPr>
              <w:pStyle w:val="Compact"/>
            </w:pPr>
            <w:r>
              <w:t xml:space="preserve">Curante</w:t>
            </w:r>
          </w:p>
        </w:tc>
        <w:tc>
          <w:tcPr/>
          <w:p>
            <w:pPr>
              <w:pStyle w:val="Compact"/>
            </w:pPr>
            <w:r>
              <w:t xml:space="preserve">Invio programmato</w:t>
            </w:r>
          </w:p>
        </w:tc>
        <w:tc>
          <w:tcPr/>
          <w:p>
            <w:pPr>
              <w:pStyle w:val="Compact"/>
            </w:pPr>
            <w:r>
              <w:t xml:space="preserve">GIALLO prioritario</w:t>
            </w:r>
          </w:p>
        </w:tc>
      </w:tr>
      <w:tr>
        <w:tc>
          <w:tcPr/>
          <w:p>
            <w:pPr>
              <w:pStyle w:val="Compact"/>
            </w:pPr>
            <w:r>
              <w:t xml:space="preserve">Ormonoterapia adiuvante con dolore a mani e polsi</w:t>
            </w:r>
          </w:p>
        </w:tc>
        <w:tc>
          <w:tcPr/>
          <w:p>
            <w:pPr>
              <w:pStyle w:val="Compact"/>
            </w:pPr>
            <w:r>
              <w:t xml:space="preserve">Oncologo, per iscritto</w:t>
            </w:r>
          </w:p>
        </w:tc>
        <w:tc>
          <w:tcPr/>
          <w:p>
            <w:pPr>
              <w:pStyle w:val="Compact"/>
            </w:pPr>
            <w:r>
              <w:t xml:space="preserve">Invio programmato</w:t>
            </w:r>
          </w:p>
        </w:tc>
        <w:tc>
          <w:tcPr/>
          <w:p>
            <w:pPr>
              <w:pStyle w:val="Compact"/>
            </w:pPr>
            <w:r>
              <w:t xml:space="preserve">GIALLO prioritario</w:t>
            </w:r>
          </w:p>
        </w:tc>
      </w:tr>
    </w:tbl>
    <w:p>
      <w:pPr>
        <w:pStyle w:val="BodyText"/>
      </w:pPr>
      <w:r>
        <w:rPr>
          <w:b/>
          <w:bCs/>
        </w:rPr>
        <w:t xml:space="preserve">Come si leggono cinque righe della tabella, per esteso.</w:t>
      </w:r>
    </w:p>
    <w:p>
      <w:pPr>
        <w:pStyle w:val="Compact"/>
        <w:numPr>
          <w:ilvl w:val="0"/>
          <w:numId w:val="1027"/>
        </w:numPr>
      </w:pPr>
      <w:r>
        <w:rPr>
          <w:b/>
          <w:bCs/>
        </w:rPr>
        <w:t xml:space="preserve">Zona calda, rossa, gonfia, con febbre o malessere.</w:t>
      </w:r>
      <w:r>
        <w:t xml:space="preserve"> </w:t>
      </w:r>
      <w:r>
        <w:t xml:space="preserve">È un’infezione dei tessuti molli fino a prova contraria, ed è l’unica riga in cui le ore contano davvero: il paziente non sale sul lettino. Le due righe della tabella si separano su un criterio solo. Il</w:t>
      </w:r>
      <w:r>
        <w:t xml:space="preserve"> </w:t>
      </w:r>
      <w:r>
        <w:rPr>
          <w:b/>
          <w:bCs/>
        </w:rPr>
        <w:t xml:space="preserve">112</w:t>
      </w:r>
      <w:r>
        <w:t xml:space="preserve"> </w:t>
      </w:r>
      <w:r>
        <w:t xml:space="preserve">vale con tossicità sistemica o paziente non trasportabile, dove il sospetto è una fascite necrotizzante. Negli altri casi il canale proporzionato è il pronto soccorso in giornata. Un’uscita che sovrastima brucia credibilità sulle uscite che contano.</w:t>
      </w:r>
    </w:p>
    <w:p>
      <w:pPr>
        <w:pStyle w:val="Compact"/>
        <w:numPr>
          <w:ilvl w:val="0"/>
          <w:numId w:val="1027"/>
        </w:numPr>
      </w:pPr>
      <w:r>
        <w:rPr>
          <w:b/>
          <w:bCs/>
        </w:rPr>
        <w:t xml:space="preserve">Dolore al tendine comparso durante un ciclo di fluorochinoloni o nei mesi successivi alla sua fine.</w:t>
      </w:r>
      <w:r>
        <w:t xml:space="preserve"> </w:t>
      </w:r>
      <w:r>
        <w:t xml:space="preserve">La finestra è larga: il danno può comparire entro due giorni dall’inizio, ma anche mesi dopo la sospensione. Su 15 studi osservazionali l’associazione è di 3,95 per la tendinite achillea e 2,52 per la rottura, e resta sopra i 60 anni, con cortisone concomitante, nell’insufficienza renale e nei trapiantati (Alves, 2019, PMID 31270563).</w:t>
      </w:r>
      <w:r>
        <w:t xml:space="preserve"> </w:t>
      </w:r>
      <w:r>
        <w:rPr>
          <w:b/>
          <w:bCs/>
        </w:rPr>
        <w:t xml:space="preserve">Non si carica un tendine in quella finestra</w:t>
      </w:r>
      <w:r>
        <w:t xml:space="preserve">, e la comunicazione è in giornata — vedi «Il rapporto con il prescrittore».</w:t>
      </w:r>
    </w:p>
    <w:p>
      <w:pPr>
        <w:pStyle w:val="Compact"/>
        <w:numPr>
          <w:ilvl w:val="0"/>
          <w:numId w:val="1027"/>
        </w:numPr>
      </w:pPr>
      <w:r>
        <w:rPr>
          <w:b/>
          <w:bCs/>
        </w:rPr>
        <w:t xml:space="preserve">Dolore osseo focale che anticipa nel gesto settimana dopo settimana</w:t>
      </w:r>
      <w:r>
        <w:t xml:space="preserve">, dopo un aumento di carico di endurance, o in donna con amenorrea, basso peso o osteoporosi. È la lesione da stress ossea, l’unica differenziale in cui</w:t>
      </w:r>
      <w:r>
        <w:t xml:space="preserve"> </w:t>
      </w:r>
      <w:r>
        <w:rPr>
          <w:b/>
          <w:bCs/>
        </w:rPr>
        <w:t xml:space="preserve">il tuo intervento principale è il meccanismo del danno</w:t>
      </w:r>
      <w:r>
        <w:t xml:space="preserve">. La radiografia precoce è spesso negativa e non esclude.</w:t>
      </w:r>
    </w:p>
    <w:p>
      <w:pPr>
        <w:pStyle w:val="Compact"/>
        <w:numPr>
          <w:ilvl w:val="0"/>
          <w:numId w:val="1027"/>
        </w:numPr>
      </w:pPr>
      <w:r>
        <w:rPr>
          <w:b/>
          <w:bCs/>
        </w:rPr>
        <w:t xml:space="preserve">Rigidità mattutina oltre trenta minuti che non si scioglie muovendosi, in più di una sede.</w:t>
      </w:r>
      <w:r>
        <w:t xml:space="preserve"> </w:t>
      </w:r>
      <w:r>
        <w:t xml:space="preserve">Vale in chi ha psoriasi, malattia infiammatoria intestinale, uveite, un’infezione precedente, dolore lombare notturno o familiarità. È l’entesite dello spondiloartrite periferico: quei criteri hanno sensibilità 77,8% e specificità 82,9% su 266 pazienti (Rudwaleit, 2011, PMID 21109520). Sotto c’è una malattia che ha una terapia, e che ogni mese di ritardo peggiora.</w:t>
      </w:r>
      <w:r>
        <w:t xml:space="preserve"> </w:t>
      </w:r>
      <w:r>
        <w:rPr>
          <w:b/>
          <w:bCs/>
        </w:rPr>
        <w:t xml:space="preserve">Per te:</w:t>
      </w:r>
      <w:r>
        <w:t xml:space="preserve"> </w:t>
      </w:r>
      <w:r>
        <w:t xml:space="preserve">quei criteri non sono un test che esclude. Una specificità dell’82,9% vuol dire che quasi due persone su dieci senza la malattia risultano comunque positive. Servono a farti fare le domande e a mandare, non a decidere. La decisione è del reumatologo.</w:t>
      </w:r>
    </w:p>
    <w:p>
      <w:pPr>
        <w:pStyle w:val="Compact"/>
        <w:numPr>
          <w:ilvl w:val="0"/>
          <w:numId w:val="1027"/>
        </w:numPr>
      </w:pPr>
      <w:r>
        <w:rPr>
          <w:b/>
          <w:bCs/>
        </w:rPr>
        <w:t xml:space="preserve">Perdita di forza netta e improvvisa, con o senza schiocco riferito.</w:t>
      </w:r>
      <w:r>
        <w:t xml:space="preserve"> </w:t>
      </w:r>
      <w:r>
        <w:t xml:space="preserve">Una rottura parziale cambia il percorso, e caricarla è la sola cosa davvero dannosa che potresti fare qui.</w:t>
      </w:r>
    </w:p>
    <w:bookmarkEnd w:id="46"/>
    <w:bookmarkStart w:id="47" w:name="il-cancello-dingresso"/>
    <w:p>
      <w:pPr>
        <w:pStyle w:val="Heading3"/>
      </w:pPr>
      <w:r>
        <w:t xml:space="preserve">Il cancello d’ingresso</w:t>
      </w:r>
    </w:p>
    <w:p>
      <w:pPr>
        <w:pStyle w:val="FirstParagraph"/>
      </w:pPr>
      <w:r>
        <w:t xml:space="preserve">Il cancello non stabilisce se il paziente ha diritto al trattamento. Stabilisce</w:t>
      </w:r>
      <w:r>
        <w:t xml:space="preserve"> </w:t>
      </w:r>
      <w:r>
        <w:rPr>
          <w:b/>
          <w:bCs/>
        </w:rPr>
        <w:t xml:space="preserve">quale delle quattro situazioni hai davanti</w:t>
      </w:r>
      <w:r>
        <w:t xml:space="preserve">. Il tuo mandato</w:t>
      </w:r>
      <w:r>
        <w:t xml:space="preserve"> </w:t>
      </w:r>
      <w:r>
        <w:rPr>
          <w:b/>
          <w:bCs/>
        </w:rPr>
        <w:t xml:space="preserve">clinico</w:t>
      </w:r>
      <w:r>
        <w:t xml:space="preserve"> </w:t>
      </w:r>
      <w:r>
        <w:t xml:space="preserve">— avere qualcosa da trattare oggi — nasce da due cose: un reperto disfunzionale che hai trovato e documentato, e un marker che si muove quando lo tratti.</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t xml:space="preserve">Se hai quelli, hai un motivo per lavorare.</w:t>
      </w:r>
      <w:r>
        <w:t xml:space="preserve"> </w:t>
      </w:r>
      <w:r>
        <w:rPr>
          <w:b/>
          <w:bCs/>
        </w:rPr>
        <w:t xml:space="preserve">Se non li hai, non ce l’hai nemmeno con la diagnosi in mano.</w:t>
      </w:r>
      <w:r>
        <w:t xml:space="preserve"> </w:t>
      </w:r>
      <w:r>
        <w:t xml:space="preserve">La cornice resta quella del profilo: si opera in riferimento alla diagnosi di competenza medica, e quando l’inquadramento manca il canale medico si attiva</w:t>
      </w:r>
      <w:r>
        <w:t xml:space="preserve"> </w:t>
      </w:r>
      <w:r>
        <w:rPr>
          <w:b/>
          <w:bCs/>
        </w:rPr>
        <w:t xml:space="preserve">contestualmente</w:t>
      </w:r>
      <w:r>
        <w:t xml:space="preserve"> </w:t>
      </w:r>
      <w:r>
        <w:t xml:space="preserve">al tuo lavoro, non dopo.</w:t>
      </w:r>
    </w:p>
    <w:p>
      <w:pPr>
        <w:pStyle w:val="BodyText"/>
      </w:pPr>
      <w:r>
        <w:t xml:space="preserve">C’è un contrappeso, e va detto insieme:</w:t>
      </w:r>
      <w:r>
        <w:t xml:space="preserve"> </w:t>
      </w:r>
      <w:r>
        <w:rPr>
          <w:b/>
          <w:bCs/>
        </w:rPr>
        <w:t xml:space="preserve">un reperto positivo giustifica il tuo lavoro, non sostituisce l’inquadramento medico.</w:t>
      </w:r>
      <w:r>
        <w:t xml:space="preserve"> </w:t>
      </w:r>
      <w:r>
        <w:t xml:space="preserve">Un tendine dolente al carico e una caviglia corta non escludono nulla. Hai</w:t>
      </w:r>
      <w:r>
        <w:t xml:space="preserve"> </w:t>
      </w:r>
      <w:r>
        <w:rPr>
          <w:b/>
          <w:bCs/>
        </w:rPr>
        <w:t xml:space="preserve">qualcosa da trattare</w:t>
      </w:r>
      <w:r>
        <w:t xml:space="preserve">, non</w:t>
      </w:r>
      <w:r>
        <w:t xml:space="preserve"> </w:t>
      </w:r>
      <w:r>
        <w:rPr>
          <w:b/>
          <w:bCs/>
        </w:rPr>
        <w:t xml:space="preserve">sai cosa ha il paziente</w:t>
      </w:r>
      <w:r>
        <w:t xml:space="preserve">, e le due cose vanno dette al paziente come conviventi.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Uscita</w:t>
            </w:r>
          </w:p>
        </w:tc>
        <w:tc>
          <w:tcPr/>
          <w:p>
            <w:pPr>
              <w:pStyle w:val="Compact"/>
            </w:pPr>
            <w:r>
              <w:t xml:space="preserve">Quando</w:t>
            </w:r>
          </w:p>
        </w:tc>
        <w:tc>
          <w:tcPr/>
          <w:p>
            <w:pPr>
              <w:pStyle w:val="Compact"/>
            </w:pPr>
            <w:r>
              <w:t xml:space="preserve">Cosa fai sul tendine</w:t>
            </w:r>
          </w:p>
        </w:tc>
        <w:tc>
          <w:tcPr/>
          <w:p>
            <w:pPr>
              <w:pStyle w:val="Compact"/>
            </w:pPr>
            <w:r>
              <w:t xml:space="preserve">Tempo in calendario</w:t>
            </w:r>
          </w:p>
        </w:tc>
      </w:tr>
      <w:tr>
        <w:tc>
          <w:tcPr/>
          <w:p>
            <w:pPr>
              <w:pStyle w:val="Compact"/>
            </w:pPr>
            <w:r>
              <w:t xml:space="preserve">ROSSO IMMEDIATO</w:t>
            </w:r>
          </w:p>
        </w:tc>
        <w:tc>
          <w:tcPr/>
          <w:p>
            <w:pPr>
              <w:pStyle w:val="Compact"/>
            </w:pPr>
            <w:r>
              <w:t xml:space="preserve">Una riga rossa immediata</w:t>
            </w:r>
          </w:p>
        </w:tc>
        <w:tc>
          <w:tcPr/>
          <w:p>
            <w:pPr>
              <w:pStyle w:val="Compact"/>
            </w:pPr>
            <w:r>
              <w:t xml:space="preserve">Niente, e nessun ciclo aperto</w:t>
            </w:r>
          </w:p>
        </w:tc>
        <w:tc>
          <w:tcPr/>
          <w:p>
            <w:pPr>
              <w:pStyle w:val="Compact"/>
            </w:pPr>
            <w:r>
              <w:t xml:space="preserve">Indicazione medica scritta, subito</w:t>
            </w:r>
          </w:p>
        </w:tc>
      </w:tr>
      <w:tr>
        <w:tc>
          <w:tcPr/>
          <w:p>
            <w:pPr>
              <w:pStyle w:val="Compact"/>
            </w:pPr>
            <w:r>
              <w:t xml:space="preserve">ROSSO DIFFERITO</w:t>
            </w:r>
          </w:p>
        </w:tc>
        <w:tc>
          <w:tcPr/>
          <w:p>
            <w:pPr>
              <w:pStyle w:val="Compact"/>
            </w:pPr>
            <w:r>
              <w:t xml:space="preserve">Una riga rossa differita</w:t>
            </w:r>
          </w:p>
        </w:tc>
        <w:tc>
          <w:tcPr/>
          <w:p>
            <w:pPr>
              <w:pStyle w:val="Compact"/>
            </w:pPr>
            <w:r>
              <w:t xml:space="preserve">Niente; altro distretto sì, dichiarato</w:t>
            </w:r>
          </w:p>
        </w:tc>
        <w:tc>
          <w:tcPr/>
          <w:p>
            <w:pPr>
              <w:pStyle w:val="Compact"/>
            </w:pPr>
            <w:r>
              <w:t xml:space="preserve">Canale medico oggi, per iscritto</w:t>
            </w:r>
          </w:p>
        </w:tc>
      </w:tr>
      <w:tr>
        <w:tc>
          <w:tcPr/>
          <w:p>
            <w:pPr>
              <w:pStyle w:val="Compact"/>
            </w:pPr>
            <w:r>
              <w:t xml:space="preserve">GIALLO</w:t>
            </w:r>
          </w:p>
        </w:tc>
        <w:tc>
          <w:tcPr/>
          <w:p>
            <w:pPr>
              <w:pStyle w:val="Compact"/>
            </w:pPr>
            <w:r>
              <w:t xml:space="preserve">Nessuna rossa, inquadramento assente</w:t>
            </w:r>
          </w:p>
        </w:tc>
        <w:tc>
          <w:tcPr/>
          <w:p>
            <w:pPr>
              <w:pStyle w:val="Compact"/>
            </w:pPr>
            <w:r>
              <w:t xml:space="preserve">Si lavora, in parallelo</w:t>
            </w:r>
          </w:p>
        </w:tc>
        <w:tc>
          <w:tcPr/>
          <w:p>
            <w:pPr>
              <w:pStyle w:val="Compact"/>
            </w:pPr>
            <w:r>
              <w:t xml:space="preserve">Revisione entro sei settimane</w:t>
            </w:r>
          </w:p>
        </w:tc>
      </w:tr>
      <w:tr>
        <w:tc>
          <w:tcPr/>
          <w:p>
            <w:pPr>
              <w:pStyle w:val="Compact"/>
            </w:pPr>
            <w:r>
              <w:t xml:space="preserve">GIALLO prioritario</w:t>
            </w:r>
          </w:p>
        </w:tc>
        <w:tc>
          <w:tcPr/>
          <w:p>
            <w:pPr>
              <w:pStyle w:val="Compact"/>
            </w:pPr>
            <w:r>
              <w:t xml:space="preserve">Righe marcate e comorbilità note</w:t>
            </w:r>
          </w:p>
        </w:tc>
        <w:tc>
          <w:tcPr/>
          <w:p>
            <w:pPr>
              <w:pStyle w:val="Compact"/>
            </w:pPr>
            <w:r>
              <w:t xml:space="preserve">Si lavora, con due condizioni in più</w:t>
            </w:r>
          </w:p>
        </w:tc>
        <w:tc>
          <w:tcPr/>
          <w:p>
            <w:pPr>
              <w:pStyle w:val="Compact"/>
            </w:pPr>
            <w:r>
              <w:t xml:space="preserve">Revisione entro tre settimane</w:t>
            </w:r>
          </w:p>
        </w:tc>
      </w:tr>
      <w:tr>
        <w:tc>
          <w:tcPr/>
          <w:p>
            <w:pPr>
              <w:pStyle w:val="Compact"/>
            </w:pPr>
            <w:r>
              <w:t xml:space="preserve">VERDE</w:t>
            </w:r>
          </w:p>
        </w:tc>
        <w:tc>
          <w:tcPr/>
          <w:p>
            <w:pPr>
              <w:pStyle w:val="Compact"/>
            </w:pPr>
            <w:r>
              <w:t xml:space="preserve">Inquadramento medico già fatto</w:t>
            </w:r>
          </w:p>
        </w:tc>
        <w:tc>
          <w:tcPr/>
          <w:p>
            <w:pPr>
              <w:pStyle w:val="Compact"/>
            </w:pPr>
            <w:r>
              <w:t xml:space="preserve">Si procede</w:t>
            </w:r>
          </w:p>
        </w:tc>
        <w:tc>
          <w:tcPr/>
          <w:p>
            <w:pPr>
              <w:pStyle w:val="Compact"/>
            </w:pPr>
            <w:r>
              <w:t xml:space="preserve">Fino a cambio di quadro</w:t>
            </w:r>
          </w:p>
        </w:tc>
      </w:tr>
    </w:tbl>
    <w:p>
      <w:pPr>
        <w:pStyle w:val="BodyText"/>
      </w:pPr>
      <w:r>
        <w:rPr>
          <w:b/>
          <w:bCs/>
        </w:rPr>
        <w:t xml:space="preserve">ROSSO IMMEDIATO.</w:t>
      </w:r>
      <w:r>
        <w:t xml:space="preserve"> </w:t>
      </w:r>
      <w:r>
        <w:t xml:space="preserve">Nessuna eccezione, e</w:t>
      </w:r>
      <w:r>
        <w:t xml:space="preserve"> </w:t>
      </w:r>
      <w:r>
        <w:rPr>
          <w:b/>
          <w:bCs/>
        </w:rPr>
        <w:t xml:space="preserve">nessun reperto positivo scavalca questa uscita</w:t>
      </w:r>
      <w:r>
        <w:t xml:space="preserve">.</w:t>
      </w:r>
    </w:p>
    <w:p>
      <w:pPr>
        <w:pStyle w:val="BodyText"/>
      </w:pPr>
      <w:r>
        <w:rPr>
          <w:b/>
          <w:bCs/>
        </w:rPr>
        <w:t xml:space="preserve">ROSSO DIFFERITO.</w:t>
      </w:r>
      <w:r>
        <w:t xml:space="preserve"> </w:t>
      </w:r>
      <w:r>
        <w:t xml:space="preserve">Se coesiste una</w:t>
      </w:r>
      <w:r>
        <w:t xml:space="preserve"> </w:t>
      </w:r>
      <w:r>
        <w:rPr>
          <w:b/>
          <w:bCs/>
        </w:rPr>
        <w:t xml:space="preserve">disfunzione somatica</w:t>
      </w:r>
      <w:r>
        <w:t xml:space="preserve"> </w:t>
      </w:r>
      <w:r>
        <w:t xml:space="preserve">autonoma in un altro distretto, la puoi trattare. Ma la cartella dichiara che</w:t>
      </w:r>
      <w:r>
        <w:t xml:space="preserve"> </w:t>
      </w:r>
      <w:r>
        <w:rPr>
          <w:b/>
          <w:bCs/>
        </w:rPr>
        <w:t xml:space="preserve">il tendine è in attesa di inquadramento e non è il bersaglio</w:t>
      </w:r>
      <w:r>
        <w:t xml:space="preserve">.</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FirstParagraph"/>
      </w:pPr>
      <w:r>
        <w:rPr>
          <w:b/>
          <w:bCs/>
        </w:rPr>
        <w:t xml:space="preserve">GIALLO.</w:t>
      </w:r>
      <w:r>
        <w:t xml:space="preserve"> </w:t>
      </w:r>
      <w:r>
        <w:t xml:space="preserve">È la situazione più frequente, e non è un motivo per rimandare fuori il paziente. Quattro condizioni, tutte verificabili.</w:t>
      </w:r>
    </w:p>
    <w:p>
      <w:pPr>
        <w:pStyle w:val="Compact"/>
        <w:numPr>
          <w:ilvl w:val="0"/>
          <w:numId w:val="1028"/>
        </w:numPr>
      </w:pPr>
      <w:r>
        <w:rPr>
          <w:b/>
          <w:bCs/>
        </w:rPr>
        <w:t xml:space="preserve">Un reperto tuo, positivo e scritto in cartella.</w:t>
      </w:r>
      <w:r>
        <w:t xml:space="preserve"> </w:t>
      </w:r>
      <w:r>
        <w:t xml:space="preserve">Non «il paziente ha una tendinite», ma il numero di ripetizioni al test di carico prima della soglia di dolore, i gradi di corsa dell’articolazione adiacente, il dolore al carico definito. La dolorabilità alla palpazione resta orientamento e</w:t>
      </w:r>
      <w:r>
        <w:t xml:space="preserve"> </w:t>
      </w:r>
      <w:r>
        <w:rPr>
          <w:b/>
          <w:bCs/>
        </w:rPr>
        <w:t xml:space="preserve">non fonda il mandato</w:t>
      </w:r>
      <w:r>
        <w:t xml:space="preserve">.</w:t>
      </w:r>
    </w:p>
    <w:p>
      <w:pPr>
        <w:pStyle w:val="Compact"/>
        <w:numPr>
          <w:ilvl w:val="0"/>
          <w:numId w:val="1028"/>
        </w:numPr>
      </w:pPr>
      <w:r>
        <w:rPr>
          <w:b/>
          <w:bCs/>
        </w:rPr>
        <w:t xml:space="preserve">Il paziente sa cosa tratti e cosa no.</w:t>
      </w:r>
      <w:r>
        <w:t xml:space="preserve"> </w:t>
      </w:r>
      <w:r>
        <w:t xml:space="preserve">Frase da usare:</w:t>
      </w:r>
      <w:r>
        <w:t xml:space="preserve"> </w:t>
      </w:r>
      <w:r>
        <w:rPr>
          <w:i/>
          <w:iCs/>
        </w:rPr>
        <w:t xml:space="preserve">«io lavoro sulla componente meccanica che ho trovato — quanto carico regge il tendine oggi e da dove gli arriva. Il tendine va comunque inquadrato dal tuo medico, e nel frattempo io non aspetto.»</w:t>
      </w:r>
    </w:p>
    <w:p>
      <w:pPr>
        <w:pStyle w:val="Compact"/>
        <w:numPr>
          <w:ilvl w:val="0"/>
          <w:numId w:val="1028"/>
        </w:numPr>
      </w:pPr>
      <w:r>
        <w:rPr>
          <w:b/>
          <w:bCs/>
        </w:rPr>
        <w:t xml:space="preserve">Canale medico attivato senza interrompere il lavoro</w:t>
      </w:r>
      <w:r>
        <w:t xml:space="preserve"> </w:t>
      </w:r>
      <w:r>
        <w:t xml:space="preserve">— una comunicazione scritta al curante, non un rinvio del paziente.</w:t>
      </w:r>
    </w:p>
    <w:p>
      <w:pPr>
        <w:pStyle w:val="Compact"/>
        <w:numPr>
          <w:ilvl w:val="0"/>
          <w:numId w:val="1028"/>
        </w:numPr>
      </w:pPr>
      <w:r>
        <w:rPr>
          <w:b/>
          <w:bCs/>
        </w:rPr>
        <w:t xml:space="preserve">Tempo definito, contato in calendario e non in sedute.</w:t>
      </w:r>
      <w:r>
        <w:t xml:space="preserve"> </w:t>
      </w:r>
      <w:r>
        <w:t xml:space="preserve">La data di revisione si scrive in cartella il giorno in cui si apre il GIALLO. Cade</w:t>
      </w:r>
      <w:r>
        <w:t xml:space="preserve"> </w:t>
      </w:r>
      <w:r>
        <w:rPr>
          <w:b/>
          <w:bCs/>
        </w:rPr>
        <w:t xml:space="preserve">entro sei settimane</w:t>
      </w:r>
      <w:r>
        <w:t xml:space="preserve"> </w:t>
      </w:r>
      <w:r>
        <w:t xml:space="preserve">dalla prima seduta, qualunque sia il numero di sedute fatte. Altrimenti un paziente che dirada gli appuntamenti non fa scadere niente.</w:t>
      </w:r>
    </w:p>
    <w:p>
      <w:pPr>
        <w:pStyle w:val="FirstParagraph"/>
      </w:pPr>
      <w:r>
        <w:rPr>
          <w:b/>
          <w:bCs/>
        </w:rPr>
        <w:t xml:space="preserve">Se il tempo scade e il marker non si è mosso</w:t>
      </w:r>
      <w:r>
        <w:t xml:space="preserve">, non è una rinuncia: è un’informazione. Il tuo reperto non era quello che comandava, e la spinta sul canale medico da parallela diventa prioritaria.</w:t>
      </w:r>
    </w:p>
    <w:p>
      <w:pPr>
        <w:pStyle w:val="BodyText"/>
      </w:pPr>
      <w:r>
        <w:rPr>
          <w:b/>
          <w:bCs/>
        </w:rPr>
        <w:t xml:space="preserve">Se il tempo scade e il marker si è mosso</w:t>
      </w:r>
      <w:r>
        <w:t xml:space="preserve">, il ciclo prosegue e il canale medico</w:t>
      </w:r>
      <w:r>
        <w:t xml:space="preserve"> </w:t>
      </w:r>
      <w:r>
        <w:rPr>
          <w:b/>
          <w:bCs/>
        </w:rPr>
        <w:t xml:space="preserve">resta aperto</w:t>
      </w:r>
      <w:r>
        <w:t xml:space="preserve">: il miglioramento non è un inquadramento. In cartella si registra se la valutazione è arrivata; se non è arrivata, la comunicazione si ripete. È il ramo più frequente, ed è il modo in cui un’entesite arriva a un anno senza reumatologo: non per una bandiera rossa mancata, ma perché il paziente stava meglio e nessuno aveva più un motivo per insistere.</w:t>
      </w:r>
    </w:p>
    <w:p>
      <w:pPr>
        <w:pStyle w:val="BodyText"/>
      </w:pPr>
      <w:r>
        <w:rPr>
          <w:b/>
          <w:bCs/>
        </w:rPr>
        <w:t xml:space="preserve">GIALLO prioritario.</w:t>
      </w:r>
      <w:r>
        <w:t xml:space="preserve"> </w:t>
      </w:r>
      <w:r>
        <w:t xml:space="preserve">Vale per le righe marcate così, e per le situazioni note e stabili che abbassano la resistenza del tendine o alzano il rischio di rottura:</w:t>
      </w:r>
      <w:r>
        <w:t xml:space="preserve"> </w:t>
      </w:r>
      <w:r>
        <w:rPr>
          <w:b/>
          <w:bCs/>
        </w:rPr>
        <w:t xml:space="preserve">diabete di lunga durata</w:t>
      </w:r>
      <w:r>
        <w:t xml:space="preserve">,</w:t>
      </w:r>
      <w:r>
        <w:t xml:space="preserve"> </w:t>
      </w:r>
      <w:r>
        <w:rPr>
          <w:b/>
          <w:bCs/>
        </w:rPr>
        <w:t xml:space="preserve">cortisone prolungato o infiltrazione recente sulla stessa sede</w:t>
      </w:r>
      <w:r>
        <w:t xml:space="preserve">,</w:t>
      </w:r>
      <w:r>
        <w:t xml:space="preserve"> </w:t>
      </w:r>
      <w:r>
        <w:rPr>
          <w:b/>
          <w:bCs/>
        </w:rPr>
        <w:t xml:space="preserve">insufficienza renale cronica o dialisi</w:t>
      </w:r>
      <w:r>
        <w:t xml:space="preserve">,</w:t>
      </w:r>
      <w:r>
        <w:t xml:space="preserve"> </w:t>
      </w:r>
      <w:r>
        <w:rPr>
          <w:b/>
          <w:bCs/>
        </w:rPr>
        <w:t xml:space="preserve">trapianto d’organo con immunosoppressione</w:t>
      </w:r>
      <w:r>
        <w:t xml:space="preserve">,</w:t>
      </w:r>
      <w:r>
        <w:t xml:space="preserve"> </w:t>
      </w:r>
      <w:r>
        <w:rPr>
          <w:b/>
          <w:bCs/>
        </w:rPr>
        <w:t xml:space="preserve">gotta</w:t>
      </w:r>
      <w:r>
        <w:t xml:space="preserve">,</w:t>
      </w:r>
      <w:r>
        <w:t xml:space="preserve"> </w:t>
      </w:r>
      <w:r>
        <w:rPr>
          <w:b/>
          <w:bCs/>
        </w:rPr>
        <w:t xml:space="preserve">artrite reumatoide</w:t>
      </w:r>
      <w:r>
        <w:t xml:space="preserve"> </w:t>
      </w:r>
      <w:r>
        <w:t xml:space="preserve">(Deren,</w:t>
      </w:r>
      <w:r>
        <w:t xml:space="preserve"> </w:t>
      </w:r>
      <w:r>
        <w:rPr>
          <w:i/>
          <w:iCs/>
        </w:rPr>
        <w:t xml:space="preserve">JBJS Rev</w:t>
      </w:r>
      <w:r>
        <w:t xml:space="preserve">, 2016, PMID 27490216), e</w:t>
      </w:r>
      <w:r>
        <w:t xml:space="preserve"> </w:t>
      </w:r>
      <w:r>
        <w:rPr>
          <w:b/>
          <w:bCs/>
        </w:rPr>
        <w:t xml:space="preserve">ormonoterapia adiuvante in corso</w:t>
      </w:r>
      <w:r>
        <w:t xml:space="preserve">. Alle quattro condizioni del GIALLO se ne aggiungono due: la comunicazione al prescrittore parte</w:t>
      </w:r>
      <w:r>
        <w:t xml:space="preserve"> </w:t>
      </w:r>
      <w:r>
        <w:rPr>
          <w:b/>
          <w:bCs/>
        </w:rPr>
        <w:t xml:space="preserve">prima</w:t>
      </w:r>
      <w:r>
        <w:t xml:space="preserve"> </w:t>
      </w:r>
      <w:r>
        <w:t xml:space="preserve">della prima seduta, e la condizione va</w:t>
      </w:r>
      <w:r>
        <w:t xml:space="preserve"> </w:t>
      </w:r>
      <w:r>
        <w:rPr>
          <w:b/>
          <w:bCs/>
        </w:rPr>
        <w:t xml:space="preserve">nominata in cartella</w:t>
      </w:r>
      <w:r>
        <w:t xml:space="preserve"> </w:t>
      </w:r>
      <w:r>
        <w:t xml:space="preserve">come nota al momento di iniziare.</w:t>
      </w:r>
    </w:p>
    <w:p>
      <w:pPr>
        <w:pStyle w:val="BodyText"/>
      </w:pPr>
      <w:r>
        <w:rPr>
          <w:b/>
          <w:bCs/>
        </w:rPr>
        <w:t xml:space="preserve">VERDE.</w:t>
      </w:r>
      <w:r>
        <w:t xml:space="preserve"> </w:t>
      </w:r>
      <w:r>
        <w:t xml:space="preserve">Nessuna bandiera rossa, e una fra queste tre: valutazione ortopedica o fisiatrica già eseguita per questo tendine, con diagnosi formulata; ecografia muscolo-tendinea refertata, con quadro coerente; ciclo di fisioterapia in corso o concluso per questa sede.</w:t>
      </w:r>
    </w:p>
    <w:p>
      <w:pPr>
        <w:pStyle w:val="BodyText"/>
      </w:pPr>
      <w:r>
        <w:rPr>
          <w:b/>
          <w:bCs/>
        </w:rPr>
        <w:t xml:space="preserve">La scadenza.</w:t>
      </w:r>
      <w:r>
        <w:t xml:space="preserve"> </w:t>
      </w:r>
      <w:r>
        <w:t xml:space="preserve">L’inquadramento decade se il sintomo cambia carattere, sede o intensità rispetto all’ultima valutazione medica. Un dolore che passa dal carico al riposo, una forza che crolla, un gonfiore nuovo: si torna al triage dall’inizio.</w:t>
      </w:r>
    </w:p>
    <w:p>
      <w:pPr>
        <w:pStyle w:val="BodyText"/>
      </w:pPr>
      <w:r>
        <w:rPr>
          <w:b/>
          <w:bCs/>
        </w:rPr>
        <w:t xml:space="preserve">Il vincolo che non si negozia.</w:t>
      </w:r>
      <w:r>
        <w:t xml:space="preserve"> </w:t>
      </w:r>
      <w:r>
        <w:t xml:space="preserve">Tutte le uscite poggiano su qualcosa di</w:t>
      </w:r>
      <w:r>
        <w:t xml:space="preserve"> </w:t>
      </w:r>
      <w:r>
        <w:rPr>
          <w:b/>
          <w:bCs/>
        </w:rPr>
        <w:t xml:space="preserve">scritto</w:t>
      </w:r>
      <w:r>
        <w:t xml:space="preserve">: l’indicazione medica dei due rossi, il reperto in cartella e la comunicazione al curante del GIALLO, la revisione programmata di entrambi. Quello che non è scritto non esiste.</w:t>
      </w:r>
    </w:p>
    <w:bookmarkEnd w:id="47"/>
    <w:bookmarkStart w:id="48" w:name="il-confine-di-atto-su-questa-condizione"/>
    <w:p>
      <w:pPr>
        <w:pStyle w:val="Heading3"/>
      </w:pPr>
      <w:r>
        <w:t xml:space="preserve">Il confine di atto su questa condizione</w:t>
      </w:r>
    </w:p>
    <w:p>
      <w:pPr>
        <w:pStyle w:val="FirstParagraph"/>
      </w:pPr>
      <w:r>
        <w:t xml:space="preserve">Il perimetro qui non si definisce sul gesto, ma sull’</w:t>
      </w:r>
      <w:r>
        <w:rPr>
          <w:b/>
          <w:bCs/>
        </w:rPr>
        <w:t xml:space="preserve">unità in cui scrivi l’esito</w:t>
      </w:r>
      <w:r>
        <w:t xml:space="preserve">.</w:t>
      </w:r>
    </w:p>
    <w:p>
      <w:pPr>
        <w:pStyle w:val="Compact"/>
        <w:numPr>
          <w:ilvl w:val="0"/>
          <w:numId w:val="1029"/>
        </w:numPr>
      </w:pPr>
      <w:r>
        <w:rPr>
          <w:b/>
          <w:bCs/>
        </w:rPr>
        <w:t xml:space="preserve">Produrre una misura è fuori.</w:t>
      </w:r>
      <w:r>
        <w:t xml:space="preserve"> </w:t>
      </w:r>
      <w:r>
        <w:t xml:space="preserve">Lo spessore del tendine, la presenza di neovasi, l’integrità delle fibre, la sede della lesione lungo il tendine. Non si scrive «tendine ispessito di 8 millimetri» né «lesione parziale in via di risoluzione».</w:t>
      </w:r>
    </w:p>
    <w:p>
      <w:pPr>
        <w:pStyle w:val="Compact"/>
        <w:numPr>
          <w:ilvl w:val="0"/>
          <w:numId w:val="1029"/>
        </w:numPr>
      </w:pPr>
      <w:r>
        <w:rPr>
          <w:b/>
          <w:bCs/>
        </w:rPr>
        <w:t xml:space="preserve">Provocare una risposta è nostro.</w:t>
      </w:r>
      <w:r>
        <w:t xml:space="preserve"> </w:t>
      </w:r>
      <w:r>
        <w:t xml:space="preserve">Un carico definito, ripetuto, con la comparsa del sintomo cronometrata o contata. L’esito si scrive</w:t>
      </w:r>
      <w:r>
        <w:t xml:space="preserve"> </w:t>
      </w:r>
      <w:r>
        <w:rPr>
          <w:b/>
          <w:bCs/>
        </w:rPr>
        <w:t xml:space="preserve">nell’unità del marker</w:t>
      </w:r>
      <w:r>
        <w:t xml:space="preserve"> </w:t>
      </w:r>
      <w:r>
        <w:t xml:space="preserve">— ripetizioni, gradi, centimetri, punti di NRS al test — mai in millimetri di tendine.</w:t>
      </w:r>
    </w:p>
    <w:p>
      <w:pPr>
        <w:pStyle w:val="Compact"/>
        <w:numPr>
          <w:ilvl w:val="0"/>
          <w:numId w:val="1029"/>
        </w:numPr>
      </w:pPr>
      <w:r>
        <w:rPr>
          <w:b/>
          <w:bCs/>
        </w:rPr>
        <w:t xml:space="preserve">Due frasi sono fuori perimetro:</w:t>
      </w:r>
      <w:r>
        <w:t xml:space="preserve"> </w:t>
      </w:r>
      <w:r>
        <w:rPr>
          <w:i/>
          <w:iCs/>
        </w:rPr>
        <w:t xml:space="preserve">«il tuo tendine è lesionato»</w:t>
      </w:r>
      <w:r>
        <w:t xml:space="preserve"> </w:t>
      </w:r>
      <w:r>
        <w:t xml:space="preserve">e</w:t>
      </w:r>
      <w:r>
        <w:t xml:space="preserve"> </w:t>
      </w:r>
      <w:r>
        <w:rPr>
          <w:i/>
          <w:iCs/>
        </w:rPr>
        <w:t xml:space="preserve">«il tuo non è un problema infiammatorio»</w:t>
      </w:r>
      <w:r>
        <w:t xml:space="preserve">. La prima è una diagnosi che non ti compete. La seconda è un’esclusione diagnostica, ed è la più pericolosa delle due, perché è quella che manda a casa senza reumatologo un paziente con un’entesite.</w:t>
      </w:r>
    </w:p>
    <w:p>
      <w:pPr>
        <w:pStyle w:val="FirstParagraph"/>
      </w:pPr>
      <w:r>
        <w:rPr>
          <w:b/>
          <w:bCs/>
        </w:rPr>
        <w:t xml:space="preserve">E c’è un secondo confine, che qui conta quanto il primo</w:t>
      </w:r>
      <w:r>
        <w:t xml:space="preserve">, perché questo documento mette al centro del ciclo una leva che non è un gesto manuale. Il DPR 131/2021 definisce l’atto osteopatico come</w:t>
      </w:r>
      <w:r>
        <w:t xml:space="preserve"> </w:t>
      </w:r>
      <w:r>
        <w:rPr>
          <w:b/>
          <w:bCs/>
        </w:rPr>
        <w:t xml:space="preserve">esclusivamente manuale, non invasivo ed esterno</w:t>
      </w:r>
      <w:r>
        <w:t xml:space="preserve">, che ha per oggetto</w:t>
      </w:r>
      <w:r>
        <w:t xml:space="preserve"> </w:t>
      </w:r>
      <w:r>
        <w:rPr>
          <w:b/>
          <w:bCs/>
        </w:rPr>
        <w:t xml:space="preserve">disfunzioni somatiche non riconducibili a patologie</w:t>
      </w:r>
      <w:r>
        <w:t xml:space="preserve">, in riferimento alla diagnosi medica. Tre conseguenze.</w:t>
      </w:r>
    </w:p>
    <w:p>
      <w:pPr>
        <w:pStyle w:val="BodyText"/>
      </w:pPr>
      <w:r>
        <w:rPr>
          <w:b/>
          <w:bCs/>
        </w:rPr>
        <w:t xml:space="preserve">Uno:</w:t>
      </w:r>
      <w:r>
        <w:t xml:space="preserve"> </w:t>
      </w:r>
      <w:r>
        <w:t xml:space="preserve">la parte manuale del ciclo è l’atto, e si esercita sul reperto disfunzionale che hai documentato, non sulla tendinopatia come malattia.</w:t>
      </w:r>
      <w:r>
        <w:t xml:space="preserve"> </w:t>
      </w:r>
      <w:r>
        <w:rPr>
          <w:b/>
          <w:bCs/>
        </w:rPr>
        <w:t xml:space="preserve">Due:</w:t>
      </w:r>
      <w:r>
        <w:t xml:space="preserve"> </w:t>
      </w:r>
      <w:r>
        <w:t xml:space="preserve">la parte di carico non è un atto manuale. Sta dentro l’</w:t>
      </w:r>
      <w:r>
        <w:rPr>
          <w:b/>
          <w:bCs/>
        </w:rPr>
        <w:t xml:space="preserve">azione educativa e di autogestione</w:t>
      </w:r>
      <w:r>
        <w:t xml:space="preserve"> </w:t>
      </w:r>
      <w:r>
        <w:t xml:space="preserve">che il profilo prevede: si consegna come istruzione e si scrive in cartella come</w:t>
      </w:r>
      <w:r>
        <w:t xml:space="preserve"> </w:t>
      </w:r>
      <w:r>
        <w:rPr>
          <w:i/>
          <w:iCs/>
        </w:rPr>
        <w:t xml:space="preserve">educazione alla gestione del carico</w:t>
      </w:r>
      <w:r>
        <w:t xml:space="preserve">, mai come prescrizione di esercizio né in una scheda che somigli a un piano riabilitativo.</w:t>
      </w:r>
      <w:r>
        <w:t xml:space="preserve"> </w:t>
      </w:r>
      <w:r>
        <w:rPr>
          <w:b/>
          <w:bCs/>
        </w:rPr>
        <w:t xml:space="preserve">Tre:</w:t>
      </w:r>
      <w:r>
        <w:t xml:space="preserve"> </w:t>
      </w:r>
      <w:r>
        <w:t xml:space="preserve">se il paziente ha in corso un programma con un fisioterapista, il tuo carico non si sovrappone e non si corregge — si concorda per iscritto, o si lascia il campo.</w:t>
      </w:r>
    </w:p>
    <w:bookmarkEnd w:id="48"/>
    <w:bookmarkStart w:id="49" w:name="X1ac5a1b3cdf7e22e51df529af64ae60c55cc369"/>
    <w:p>
      <w:pPr>
        <w:pStyle w:val="Heading3"/>
      </w:pPr>
      <w:r>
        <w:t xml:space="preserve">Cosa dichiari nel consenso, su questa condizione</w:t>
      </w:r>
    </w:p>
    <w:p>
      <w:pPr>
        <w:pStyle w:val="FirstParagraph"/>
      </w:pPr>
      <w:r>
        <w:t xml:space="preserve">Tre righe che qui aggiungi e in un’altra Bibbia non scriveresti.</w:t>
      </w:r>
    </w:p>
    <w:p>
      <w:pPr>
        <w:pStyle w:val="Compact"/>
        <w:numPr>
          <w:ilvl w:val="0"/>
          <w:numId w:val="1030"/>
        </w:numPr>
      </w:pPr>
      <w:r>
        <w:t xml:space="preserve">L’oggetto del trattamento è</w:t>
      </w:r>
      <w:r>
        <w:t xml:space="preserve"> </w:t>
      </w:r>
      <w:r>
        <w:rPr>
          <w:b/>
          <w:bCs/>
        </w:rPr>
        <w:t xml:space="preserve">la tolleranza del tendine al carico e la corsa delle articolazioni collegate</w:t>
      </w:r>
      <w:r>
        <w:t xml:space="preserve">, non la riparazione del tessuto tendineo.</w:t>
      </w:r>
    </w:p>
    <w:p>
      <w:pPr>
        <w:pStyle w:val="Compact"/>
        <w:numPr>
          <w:ilvl w:val="0"/>
          <w:numId w:val="1030"/>
        </w:numPr>
      </w:pPr>
      <w:r>
        <w:t xml:space="preserve">Il trattamento comprende</w:t>
      </w:r>
      <w:r>
        <w:t xml:space="preserve"> </w:t>
      </w:r>
      <w:r>
        <w:rPr>
          <w:b/>
          <w:bCs/>
        </w:rPr>
        <w:t xml:space="preserve">un aumento programmato del carico</w:t>
      </w:r>
      <w:r>
        <w:t xml:space="preserve">. Un aumento di dolore temporaneo durante il percorso è previsto e non è un peggioramento. Questa riga è specifica di questa condizione, e va detta prima e non dopo.</w:t>
      </w:r>
    </w:p>
    <w:p>
      <w:pPr>
        <w:pStyle w:val="Compact"/>
        <w:numPr>
          <w:ilvl w:val="0"/>
          <w:numId w:val="1030"/>
        </w:numPr>
      </w:pPr>
      <w:r>
        <w:t xml:space="preserve">L’evidenza sulla parte manuale è limitata e a breve termine; la parte con le prove migliori è quella attiva, che il paziente esegue da solo.</w:t>
      </w:r>
    </w:p>
    <w:p>
      <w:pPr>
        <w:pStyle w:val="Compact"/>
        <w:numPr>
          <w:ilvl w:val="0"/>
          <w:numId w:val="1030"/>
        </w:numPr>
      </w:pPr>
      <w:r>
        <w:rPr>
          <w:b/>
          <w:bCs/>
        </w:rPr>
        <w:t xml:space="preserve">Nei confronti controllati su questa famiglia di condizioni, la parte manuale associata all’esercizio si accompagna a effetti indesiderati lievi e transitori in circa un paziente su tre, contro uno su dodici nei controlli</w:t>
      </w:r>
      <w:r>
        <w:t xml:space="preserve"> </w:t>
      </w:r>
      <w:r>
        <w:t xml:space="preserve">(31% contro 8%, Page,</w:t>
      </w:r>
      <w:r>
        <w:t xml:space="preserve"> </w:t>
      </w:r>
      <w:r>
        <w:rPr>
          <w:i/>
          <w:iCs/>
        </w:rPr>
        <w:t xml:space="preserve">Cochrane</w:t>
      </w:r>
      <w:r>
        <w:t xml:space="preserve">, 2016, PMID 27283590). È un dato che il documento possiede: non dichiararlo non è sanabile dopo.</w:t>
      </w:r>
      <w:r>
        <w:t xml:space="preserve"> </w:t>
      </w:r>
      <w:r>
        <w:rPr>
          <w:b/>
          <w:bCs/>
        </w:rPr>
        <w:t xml:space="preserve">Per te:</w:t>
      </w:r>
      <w:r>
        <w:t xml:space="preserve"> </w:t>
      </w:r>
      <w:r>
        <w:t xml:space="preserve">circa un paziente su tre segnala un fastidio lieve e passeggero, e la riga va detta</w:t>
      </w:r>
      <w:r>
        <w:t xml:space="preserve"> </w:t>
      </w:r>
      <w:r>
        <w:rPr>
          <w:b/>
          <w:bCs/>
        </w:rPr>
        <w:t xml:space="preserve">prima</w:t>
      </w:r>
      <w:r>
        <w:t xml:space="preserve">, non dopo il primo che chiama la sera. Non è un dato sul tuo gesto isolato: nello studio la mano stava dentro un pacchetto con esercizio.</w:t>
      </w:r>
    </w:p>
    <w:p>
      <w:pPr>
        <w:pStyle w:val="FirstParagraph"/>
      </w:pPr>
      <w:r>
        <w:t xml:space="preserve">E la riga sull’aumento di dolore va detta</w:t>
      </w:r>
      <w:r>
        <w:t xml:space="preserve"> </w:t>
      </w:r>
      <w:r>
        <w:rPr>
          <w:b/>
          <w:bCs/>
        </w:rPr>
        <w:t xml:space="preserve">con il suo confine</w:t>
      </w:r>
      <w:r>
        <w:t xml:space="preserve">, altrimenti autorizza a leggere come «previsto» anche un evento avverso vero:</w:t>
      </w:r>
      <w:r>
        <w:t xml:space="preserve"> </w:t>
      </w:r>
      <w:r>
        <w:rPr>
          <w:i/>
          <w:iCs/>
        </w:rPr>
        <w:t xml:space="preserve">è previsto entro la soglia concordata e deve rientrare entro il giorno successivo; un dolore che la supera, che non rientra, o una perdita di forza, non fanno parte del percorso e si riferiscono subito.</w:t>
      </w:r>
    </w:p>
    <w:bookmarkEnd w:id="49"/>
    <w:bookmarkStart w:id="50" w:name="X32e7432f7fdb78343ffa75d3d747d6c61dce583"/>
    <w:p>
      <w:pPr>
        <w:pStyle w:val="Heading3"/>
      </w:pPr>
      <w:r>
        <w:t xml:space="preserve">Il rapporto con il prescrittore, e i farmaci</w:t>
      </w:r>
    </w:p>
    <w:p>
      <w:pPr>
        <w:pStyle w:val="FirstParagraph"/>
      </w:pPr>
      <w:r>
        <w:rPr>
          <w:b/>
          <w:bCs/>
        </w:rPr>
        <w:t xml:space="preserve">L’antibiotico non si decide, e va comunicato.</w:t>
      </w:r>
      <w:r>
        <w:t xml:space="preserve"> </w:t>
      </w:r>
      <w:r>
        <w:t xml:space="preserve">Sono due cose diverse, e tenerle insieme è la correzione più importante di questo capitolo. La scheda tecnica dei fluorochinoloni prevede la</w:t>
      </w:r>
      <w:r>
        <w:t xml:space="preserve"> </w:t>
      </w:r>
      <w:r>
        <w:rPr>
          <w:b/>
          <w:bCs/>
        </w:rPr>
        <w:t xml:space="preserve">sospensione al primo segno di dolore o infiammazione tendinea</w:t>
      </w:r>
      <w:r>
        <w:t xml:space="preserve">, per prevenire reazioni potenzialmente irreversibili. E quel segno lo hai appena riconosciuto tu. Quindi:</w:t>
      </w:r>
      <w:r>
        <w:t xml:space="preserve"> </w:t>
      </w:r>
      <w:r>
        <w:rPr>
          <w:i/>
          <w:iCs/>
        </w:rPr>
        <w:t xml:space="preserve">«la scheda tecnica di quel farmaco prevede la sospensione al primo segno di dolore al tendine. Devi sentire</w:t>
      </w:r>
      <w:r>
        <w:rPr>
          <w:i/>
          <w:iCs/>
        </w:rPr>
        <w:t xml:space="preserve"> </w:t>
      </w:r>
      <w:r>
        <w:rPr>
          <w:b/>
          <w:bCs/>
          <w:i/>
          <w:iCs/>
        </w:rPr>
        <w:t xml:space="preserve">oggi</w:t>
      </w:r>
      <w:r>
        <w:rPr>
          <w:i/>
          <w:iCs/>
        </w:rPr>
        <w:t xml:space="preserve"> </w:t>
      </w:r>
      <w:r>
        <w:rPr>
          <w:i/>
          <w:iCs/>
        </w:rPr>
        <w:t xml:space="preserve">chi te l’ha prescritto.»</w:t>
      </w:r>
      <w:r>
        <w:t xml:space="preserve"> </w:t>
      </w:r>
      <w:r>
        <w:rPr>
          <w:b/>
          <w:bCs/>
        </w:rPr>
        <w:t xml:space="preserve">La decisione è di chi prescrive; la comunicazione è tua, ed è dovuta.</w:t>
      </w:r>
      <w:r>
        <w:t xml:space="preserve"> </w:t>
      </w:r>
      <w:r>
        <w:t xml:space="preserve">Lo scrivi in cartella, scrivi al curante in giornata, e sul tendine non si lavora.</w:t>
      </w:r>
    </w:p>
    <w:p>
      <w:pPr>
        <w:pStyle w:val="BodyText"/>
      </w:pPr>
      <w:r>
        <w:rPr>
          <w:b/>
          <w:bCs/>
        </w:rPr>
        <w:t xml:space="preserve">L’ormonoterapia adiuvante non si commenta davanti alla paziente, e si scrive all’oncologo.</w:t>
      </w:r>
      <w:r>
        <w:t xml:space="preserve"> </w:t>
      </w:r>
      <w:r>
        <w:t xml:space="preserve">Qui la regola del silenzio vale, per una ragione precisa: il collegamento fra farmaco e dolore, detto da te, produce l’autosospensione della terapia adiuvante, che è un danno molto più grande di una tendinopatia.</w:t>
      </w:r>
    </w:p>
    <w:p>
      <w:pPr>
        <w:pStyle w:val="BodyText"/>
      </w:pPr>
      <w:r>
        <w:rPr>
          <w:b/>
          <w:bCs/>
        </w:rPr>
        <w:t xml:space="preserve">La statina non si tocca e non si commenta.</w:t>
      </w:r>
      <w:r>
        <w:t xml:space="preserve"> </w:t>
      </w:r>
      <w:r>
        <w:t xml:space="preserve">È il farmaco che il paziente incolperà da solo, ed è quello che non deve sospendere: si scrive, si segnala al curante, e non si dà un parere.</w:t>
      </w:r>
    </w:p>
    <w:p>
      <w:pPr>
        <w:pStyle w:val="BodyText"/>
      </w:pPr>
      <w:r>
        <w:rPr>
          <w:b/>
          <w:bCs/>
        </w:rPr>
        <w:t xml:space="preserve">L’infiltrazione non si giudica.</w:t>
      </w:r>
      <w:r>
        <w:t xml:space="preserve"> </w:t>
      </w:r>
      <w:r>
        <w:t xml:space="preserve">La registri con data e sede, e ne tieni conto nel programmare il carico. Non si dice che è stata un errore e non si consiglia di non ripeterla: decide il prescrittore. Stesso registro per antinfiammatori, tutore e plantare. Il tutore si toglie</w:t>
      </w:r>
      <w:r>
        <w:t xml:space="preserve"> </w:t>
      </w:r>
      <w:r>
        <w:rPr>
          <w:b/>
          <w:bCs/>
        </w:rPr>
        <w:t xml:space="preserve">con</w:t>
      </w:r>
      <w:r>
        <w:t xml:space="preserve"> </w:t>
      </w:r>
      <w:r>
        <w:t xml:space="preserve">il paziente e con chi glielo ha dato, non contro di lui.</w:t>
      </w:r>
    </w:p>
    <w:p>
      <w:pPr>
        <w:pStyle w:val="BodyText"/>
      </w:pPr>
      <w:r>
        <w:rPr>
          <w:b/>
          <w:bCs/>
        </w:rPr>
        <w:t xml:space="preserve">Se sbagli campo</w:t>
      </w:r>
      <w:r>
        <w:t xml:space="preserve">, il danno quasi mai è un evento avverso da manovra: è un ritardo. Un’entesite trattata otto settimane come un sovraccarico è una diagnosi rimandata su una malattia che progredisce. Una tenosinovite da inibitore dell’aromatasi è una conversazione con l’oncologo che slitta di due mesi. E ci sono</w:t>
      </w:r>
      <w:r>
        <w:t xml:space="preserve"> </w:t>
      </w:r>
      <w:r>
        <w:rPr>
          <w:b/>
          <w:bCs/>
        </w:rPr>
        <w:t xml:space="preserve">due</w:t>
      </w:r>
      <w:r>
        <w:t xml:space="preserve"> </w:t>
      </w:r>
      <w:r>
        <w:t xml:space="preserve">situazioni, non una, in cui il nostro lavoro può contribuire a un danno strutturale: il tendine in finestra da chinolone caricato progressivamente, e la</w:t>
      </w:r>
      <w:r>
        <w:t xml:space="preserve"> </w:t>
      </w:r>
      <w:r>
        <w:rPr>
          <w:b/>
          <w:bCs/>
        </w:rPr>
        <w:t xml:space="preserve">lesione da stress ossea</w:t>
      </w:r>
      <w:r>
        <w:t xml:space="preserve"> </w:t>
      </w:r>
      <w:r>
        <w:t xml:space="preserve">letta come tendinopatia.</w:t>
      </w:r>
    </w:p>
    <w:p>
      <w:pPr>
        <w:pStyle w:val="BodyText"/>
      </w:pPr>
      <w:r>
        <w:rPr>
          <w:b/>
          <w:bCs/>
        </w:rPr>
        <w:t xml:space="preserve">Le tre cose da ricordare, più una</w:t>
      </w:r>
    </w:p>
    <w:p>
      <w:pPr>
        <w:pStyle w:val="Compact"/>
        <w:numPr>
          <w:ilvl w:val="0"/>
          <w:numId w:val="1031"/>
        </w:numPr>
      </w:pPr>
      <w:r>
        <w:t xml:space="preserve">La domanda sull’antibiotico va fatta prima di caricare, non dopo, e copre</w:t>
      </w:r>
      <w:r>
        <w:t xml:space="preserve"> </w:t>
      </w:r>
      <w:r>
        <w:rPr>
          <w:b/>
          <w:bCs/>
        </w:rPr>
        <w:t xml:space="preserve">i mesi successivi</w:t>
      </w:r>
      <w:r>
        <w:t xml:space="preserve"> </w:t>
      </w:r>
      <w:r>
        <w:t xml:space="preserve">alla fine del ciclo, non solo il ciclo.</w:t>
      </w:r>
    </w:p>
    <w:p>
      <w:pPr>
        <w:pStyle w:val="Compact"/>
        <w:numPr>
          <w:ilvl w:val="0"/>
          <w:numId w:val="1031"/>
        </w:numPr>
      </w:pPr>
      <w:r>
        <w:t xml:space="preserve">Il tuo esito si scrive in ripetizioni, gradi e punti di dolore al test: mai in millimetri di tendine. E il carico che insegni si scrive come educazione alla gestione del carico, mai come prescrizione di esercizio.</w:t>
      </w:r>
    </w:p>
    <w:p>
      <w:pPr>
        <w:pStyle w:val="Compact"/>
        <w:numPr>
          <w:ilvl w:val="0"/>
          <w:numId w:val="1031"/>
        </w:numPr>
      </w:pPr>
      <w:r>
        <w:rPr>
          <w:i/>
          <w:iCs/>
        </w:rPr>
        <w:t xml:space="preserve">«Il tuo non è un problema infiammatorio»</w:t>
      </w:r>
      <w:r>
        <w:t xml:space="preserve"> </w:t>
      </w:r>
      <w:r>
        <w:t xml:space="preserve">è un’esclusione diagnostica, e non è tua.</w:t>
      </w:r>
    </w:p>
    <w:p>
      <w:pPr>
        <w:pStyle w:val="Compact"/>
        <w:numPr>
          <w:ilvl w:val="0"/>
          <w:numId w:val="1031"/>
        </w:numPr>
      </w:pPr>
      <w:r>
        <w:rPr>
          <w:b/>
          <w:bCs/>
        </w:rPr>
        <w:t xml:space="preserve">Perché ci sei tu.</w:t>
      </w:r>
      <w:r>
        <w:t xml:space="preserve"> </w:t>
      </w:r>
      <w:r>
        <w:t xml:space="preserve">I fluorochinoloni si associano a un rischio di tendinite achillea quasi quattro volte maggiore e di rottura due volte e mezzo maggiore, su 15 studi osservazionali (Alves, 2019, PMID 31270563). Questo ti autorizza a fare una domanda che quasi nessuno nel percorso fa, a fermare una progressione di carico prima di iniziarla, e a dire al paziente che quel farmaco ha una scadenza scritta nella sua scheda tecnica. Non ti autorizza a decidere la sospensione: quella appartiene a chi lo ha prescritto, e la tua parte è la comunicazione, in giornata e per iscritto.</w:t>
      </w:r>
    </w:p>
    <w:p>
      <w:r>
        <w:pict>
          <v:rect style="width:0;height:1.5pt" o:hralign="center" o:hrstd="t" o:hr="t"/>
        </w:pict>
      </w:r>
    </w:p>
    <w:bookmarkEnd w:id="50"/>
    <w:bookmarkEnd w:id="51"/>
    <w:bookmarkStart w:id="58"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la letteratura non tace, parla molto — e su una parte del nostro pacchetto ha già detto di no.</w:t>
      </w:r>
    </w:p>
    <w:bookmarkStart w:id="52" w:name="le-due-ancore"/>
    <w:p>
      <w:pPr>
        <w:pStyle w:val="Heading3"/>
      </w:pPr>
      <w:r>
        <w:t xml:space="preserve">Le due ancore</w:t>
      </w:r>
    </w:p>
    <w:p>
      <w:pPr>
        <w:pStyle w:val="FirstParagraph"/>
      </w:pPr>
      <w:r>
        <w:t xml:space="preserve">Su questa condizione il razionale fisiologico e le prove cliniche hanno paternità diverse. Dichiararlo è più forte che sceglierne una sola.</w:t>
      </w:r>
    </w:p>
    <w:p>
      <w:pPr>
        <w:pStyle w:val="BodyText"/>
      </w:pPr>
      <w:r>
        <w:rPr>
          <w:b/>
          <w:bCs/>
        </w:rPr>
        <w:t xml:space="preserve">L’ancora clinica è Bill Vicenzino</w:t>
      </w:r>
      <w:r>
        <w:t xml:space="preserve">, University of Queensland. Il suo contributo non è una tecnica. È avere messo</w:t>
      </w:r>
      <w:r>
        <w:t xml:space="preserve"> </w:t>
      </w:r>
      <w:r>
        <w:rPr>
          <w:b/>
          <w:bCs/>
        </w:rPr>
        <w:t xml:space="preserve">gesto manuale, esercizio e infiltrazione dentro lo stesso disegno</w:t>
      </w:r>
      <w:r>
        <w:t xml:space="preserve">, sulla stessa condizione, con valutatore cieco e follow-up lungo. Così ha stabilito che il vantaggio dell’infiltrazione si rovescia nel tempo (Bisset, 2006; Coombes, 2013; Mellor, 2018). Il limite va scritto: i suoi trial sono sul gomito e sull’anca, il gesto manuale è quasi sempre testato dentro un pacchetto, e l’effetto della tecnica isolata è immediato.</w:t>
      </w:r>
    </w:p>
    <w:p>
      <w:pPr>
        <w:pStyle w:val="BodyText"/>
      </w:pPr>
      <w:r>
        <w:rPr>
          <w:b/>
          <w:bCs/>
        </w:rPr>
        <w:t xml:space="preserve">L’ancora fisiologica è il gruppo dell’Institute of Sports Medicine di Bispebjerg, Copenaghen</w:t>
      </w:r>
      <w:r>
        <w:t xml:space="preserve"> </w:t>
      </w:r>
      <w:r>
        <w:t xml:space="preserve">— Magnusson, Kjær, Heinemeier — ed è la più autorevole delle due. Hanno misurato nell’uomo vivo quanto il tendine si rinnova, sano e malato (Heinemeier, 2013 e 2018), e come risponde a regimi di carico diversi (Beyer, 2015). Hanno reso misurabile il razionale del nostro lavoro e, con lo stesso gesto, ne hanno ristretto la promessa.</w:t>
      </w:r>
    </w:p>
    <w:bookmarkEnd w:id="52"/>
    <w:bookmarkStart w:id="53" w:name="gli-studi-cardine"/>
    <w:p>
      <w:pPr>
        <w:pStyle w:val="Heading3"/>
      </w:pPr>
      <w:r>
        <w:t xml:space="preserve">Gli studi cardine</w:t>
      </w:r>
    </w:p>
    <w:p>
      <w:pPr>
        <w:pStyle w:val="FirstParagraph"/>
      </w:pPr>
      <w:r>
        <w:t xml:space="preserve">Sono quattordici, e sei di loro hanno un risultato negativo o restrittivo sul confronto che ci riguarda.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Rompe, 2007 (17244902)</w:t>
            </w:r>
          </w:p>
        </w:tc>
        <w:tc>
          <w:tcPr/>
          <w:p>
            <w:pPr>
              <w:pStyle w:val="Compact"/>
            </w:pPr>
            <w:r>
              <w:t xml:space="preserve">Eccentrico vs onde d’urto vs attesa</w:t>
            </w:r>
          </w:p>
        </w:tc>
        <w:tc>
          <w:tcPr/>
          <w:p>
            <w:pPr>
              <w:pStyle w:val="Compact"/>
            </w:pPr>
            <w:r>
              <w:t xml:space="preserve">Mettere il carico prima di tutto il resto</w:t>
            </w:r>
          </w:p>
        </w:tc>
      </w:tr>
      <w:tr>
        <w:tc>
          <w:tcPr/>
          <w:p>
            <w:pPr>
              <w:pStyle w:val="Compact"/>
            </w:pPr>
            <w:r>
              <w:t xml:space="preserve">Page, 2016 (27283590)</w:t>
            </w:r>
          </w:p>
        </w:tc>
        <w:tc>
          <w:tcPr/>
          <w:p>
            <w:pPr>
              <w:pStyle w:val="Compact"/>
            </w:pPr>
            <w:r>
              <w:t xml:space="preserve">Manuale + esercizio vs placebo, cuffia</w:t>
            </w:r>
          </w:p>
        </w:tc>
        <w:tc>
          <w:tcPr/>
          <w:p>
            <w:pPr>
              <w:pStyle w:val="Compact"/>
            </w:pPr>
            <w:r>
              <w:t xml:space="preserve">Dichiarare il limite prima del paziente</w:t>
            </w:r>
          </w:p>
        </w:tc>
      </w:tr>
      <w:tr>
        <w:tc>
          <w:tcPr/>
          <w:p>
            <w:pPr>
              <w:pStyle w:val="Compact"/>
            </w:pPr>
            <w:r>
              <w:t xml:space="preserve">Coombes, 2013 (23385272)</w:t>
            </w:r>
          </w:p>
        </w:tc>
        <w:tc>
          <w:tcPr/>
          <w:p>
            <w:pPr>
              <w:pStyle w:val="Compact"/>
            </w:pPr>
            <w:r>
              <w:t xml:space="preserve">Cortisone vs placebo, 165 pazienti</w:t>
            </w:r>
          </w:p>
        </w:tc>
        <w:tc>
          <w:tcPr/>
          <w:p>
            <w:pPr>
              <w:pStyle w:val="Compact"/>
            </w:pPr>
            <w:r>
              <w:t xml:space="preserve">Spiegare perché il sollievo è tornato</w:t>
            </w:r>
          </w:p>
        </w:tc>
      </w:tr>
      <w:tr>
        <w:tc>
          <w:tcPr/>
          <w:p>
            <w:pPr>
              <w:pStyle w:val="Compact"/>
            </w:pPr>
            <w:r>
              <w:t xml:space="preserve">Mellor, 2018 (29720374)</w:t>
            </w:r>
          </w:p>
        </w:tc>
        <w:tc>
          <w:tcPr/>
          <w:p>
            <w:pPr>
              <w:pStyle w:val="Compact"/>
            </w:pPr>
            <w:r>
              <w:t xml:space="preserve">Educazione + esercizio vs cortisone</w:t>
            </w:r>
          </w:p>
        </w:tc>
        <w:tc>
          <w:tcPr/>
          <w:p>
            <w:pPr>
              <w:pStyle w:val="Compact"/>
            </w:pPr>
            <w:r>
              <w:t xml:space="preserve">Mettere la parte attiva al centro</w:t>
            </w:r>
          </w:p>
        </w:tc>
      </w:tr>
      <w:tr>
        <w:tc>
          <w:tcPr/>
          <w:p>
            <w:pPr>
              <w:pStyle w:val="Compact"/>
            </w:pPr>
            <w:r>
              <w:t xml:space="preserve">Bisset, 2006 (17012266)</w:t>
            </w:r>
          </w:p>
        </w:tc>
        <w:tc>
          <w:tcPr/>
          <w:p>
            <w:pPr>
              <w:pStyle w:val="Compact"/>
            </w:pPr>
            <w:r>
              <w:t xml:space="preserve">Mobilizzazione con movimento + esercizio vs attesa</w:t>
            </w:r>
          </w:p>
        </w:tc>
        <w:tc>
          <w:tcPr/>
          <w:p>
            <w:pPr>
              <w:pStyle w:val="Compact"/>
            </w:pPr>
            <w:r>
              <w:t xml:space="preserve">Usarle nel pacchetto, prime sei settimane</w:t>
            </w:r>
          </w:p>
        </w:tc>
      </w:tr>
      <w:tr>
        <w:tc>
          <w:tcPr/>
          <w:p>
            <w:pPr>
              <w:pStyle w:val="Compact"/>
            </w:pPr>
            <w:r>
              <w:t xml:space="preserve">Smidt, 2002 (11879861)</w:t>
            </w:r>
          </w:p>
        </w:tc>
        <w:tc>
          <w:tcPr/>
          <w:p>
            <w:pPr>
              <w:pStyle w:val="Compact"/>
            </w:pPr>
            <w:r>
              <w:t xml:space="preserve">Attesa, fisioterapia, cortisone</w:t>
            </w:r>
          </w:p>
        </w:tc>
        <w:tc>
          <w:tcPr/>
          <w:p>
            <w:pPr>
              <w:pStyle w:val="Compact"/>
            </w:pPr>
            <w:r>
              <w:t xml:space="preserve">Non attribuirti il tempo</w:t>
            </w:r>
          </w:p>
        </w:tc>
      </w:tr>
      <w:tr>
        <w:tc>
          <w:tcPr/>
          <w:p>
            <w:pPr>
              <w:pStyle w:val="Compact"/>
            </w:pPr>
            <w:r>
              <w:t xml:space="preserve">Beyer, 2015 (26018970)</w:t>
            </w:r>
          </w:p>
        </w:tc>
        <w:tc>
          <w:tcPr/>
          <w:p>
            <w:pPr>
              <w:pStyle w:val="Compact"/>
            </w:pPr>
            <w:r>
              <w:t xml:space="preserve">Carico lento pesante vs eccentrico</w:t>
            </w:r>
          </w:p>
        </w:tc>
        <w:tc>
          <w:tcPr/>
          <w:p>
            <w:pPr>
              <w:pStyle w:val="Compact"/>
            </w:pPr>
            <w:r>
              <w:t xml:space="preserve">Scegliere in base all’aderenza</w:t>
            </w:r>
          </w:p>
        </w:tc>
      </w:tr>
      <w:tr>
        <w:tc>
          <w:tcPr/>
          <w:p>
            <w:pPr>
              <w:pStyle w:val="Compact"/>
            </w:pPr>
            <w:r>
              <w:t xml:space="preserve">Silbernagel, 2007 (17307888)</w:t>
            </w:r>
          </w:p>
        </w:tc>
        <w:tc>
          <w:tcPr/>
          <w:p>
            <w:pPr>
              <w:pStyle w:val="Compact"/>
            </w:pPr>
            <w:r>
              <w:t xml:space="preserve">Continuare a caricare vs fermarsi</w:t>
            </w:r>
          </w:p>
        </w:tc>
        <w:tc>
          <w:tcPr/>
          <w:p>
            <w:pPr>
              <w:pStyle w:val="Compact"/>
            </w:pPr>
            <w:r>
              <w:t xml:space="preserve">Non fermare il paziente</w:t>
            </w:r>
          </w:p>
        </w:tc>
      </w:tr>
      <w:tr>
        <w:tc>
          <w:tcPr/>
          <w:p>
            <w:pPr>
              <w:pStyle w:val="Compact"/>
            </w:pPr>
            <w:r>
              <w:t xml:space="preserve">Drew, 2014 (23118117)</w:t>
            </w:r>
          </w:p>
        </w:tc>
        <w:tc>
          <w:tcPr/>
          <w:p>
            <w:pPr>
              <w:pStyle w:val="Compact"/>
            </w:pPr>
            <w:r>
              <w:t xml:space="preserve">Struttura vs esito, 625 pazienti</w:t>
            </w:r>
          </w:p>
        </w:tc>
        <w:tc>
          <w:tcPr/>
          <w:p>
            <w:pPr>
              <w:pStyle w:val="Compact"/>
            </w:pPr>
            <w:r>
              <w:t xml:space="preserve">Non aspettare l’immagine</w:t>
            </w:r>
          </w:p>
        </w:tc>
      </w:tr>
      <w:tr>
        <w:tc>
          <w:tcPr/>
          <w:p>
            <w:pPr>
              <w:pStyle w:val="Compact"/>
            </w:pPr>
            <w:r>
              <w:t xml:space="preserve">Pavlova, 2023 (37169370)</w:t>
            </w:r>
          </w:p>
        </w:tc>
        <w:tc>
          <w:tcPr/>
          <w:p>
            <w:pPr>
              <w:pStyle w:val="Compact"/>
            </w:pPr>
            <w:r>
              <w:t xml:space="preserve">Dose dell’esercizio, 110 studi, 3.953 pazienti</w:t>
            </w:r>
          </w:p>
        </w:tc>
        <w:tc>
          <w:tcPr/>
          <w:p>
            <w:pPr>
              <w:pStyle w:val="Compact"/>
            </w:pPr>
            <w:r>
              <w:t xml:space="preserve">Parlare di intensità, non di nome</w:t>
            </w:r>
          </w:p>
        </w:tc>
      </w:tr>
      <w:tr>
        <w:tc>
          <w:tcPr/>
          <w:p>
            <w:pPr>
              <w:pStyle w:val="Compact"/>
            </w:pPr>
            <w:r>
              <w:t xml:space="preserve">Heinemeier, 2013 e 2018 (23401563; 29570396)</w:t>
            </w:r>
          </w:p>
        </w:tc>
        <w:tc>
          <w:tcPr/>
          <w:p>
            <w:pPr>
              <w:pStyle w:val="Compact"/>
            </w:pPr>
            <w:r>
              <w:t xml:space="preserve">Ricambio del tendine sano e malato</w:t>
            </w:r>
          </w:p>
        </w:tc>
        <w:tc>
          <w:tcPr/>
          <w:p>
            <w:pPr>
              <w:pStyle w:val="Compact"/>
            </w:pPr>
            <w:r>
              <w:t xml:space="preserve">Togliere dal tavolo il ritorno all’immagine di prima</w:t>
            </w:r>
          </w:p>
        </w:tc>
      </w:tr>
      <w:tr>
        <w:tc>
          <w:tcPr/>
          <w:p>
            <w:pPr>
              <w:pStyle w:val="Compact"/>
            </w:pPr>
            <w:r>
              <w:t xml:space="preserve">Plinsinga, 2018 (28698221)</w:t>
            </w:r>
          </w:p>
        </w:tc>
        <w:tc>
          <w:tcPr/>
          <w:p>
            <w:pPr>
              <w:pStyle w:val="Compact"/>
            </w:pPr>
            <w:r>
              <w:t xml:space="preserve">Profili sensoriali, rotula e achilleo</w:t>
            </w:r>
          </w:p>
        </w:tc>
        <w:tc>
          <w:tcPr/>
          <w:p>
            <w:pPr>
              <w:pStyle w:val="Compact"/>
            </w:pPr>
            <w:r>
              <w:t xml:space="preserve">Non aspettarti sensibilizzazione all’arto inferiore</w:t>
            </w:r>
          </w:p>
        </w:tc>
      </w:tr>
      <w:tr>
        <w:tc>
          <w:tcPr/>
          <w:p>
            <w:pPr>
              <w:pStyle w:val="Compact"/>
            </w:pPr>
            <w:r>
              <w:t xml:space="preserve">Karanasios, 2021 (33148599)</w:t>
            </w:r>
          </w:p>
        </w:tc>
        <w:tc>
          <w:tcPr/>
          <w:p>
            <w:pPr>
              <w:pStyle w:val="Compact"/>
            </w:pPr>
            <w:r>
              <w:t xml:space="preserve">Esercizio nell’epicondilalgia, 30 studi</w:t>
            </w:r>
          </w:p>
        </w:tc>
        <w:tc>
          <w:tcPr/>
          <w:p>
            <w:pPr>
              <w:pStyle w:val="Compact"/>
            </w:pPr>
            <w:r>
              <w:t xml:space="preserve">Sapere che al gomito l’effetto è piccolo</w:t>
            </w:r>
          </w:p>
        </w:tc>
      </w:tr>
      <w:tr>
        <w:tc>
          <w:tcPr/>
          <w:p>
            <w:pPr>
              <w:pStyle w:val="Compact"/>
            </w:pPr>
            <w:r>
              <w:t xml:space="preserve">Challoumas, 2021 (34900334)</w:t>
            </w:r>
          </w:p>
        </w:tc>
        <w:tc>
          <w:tcPr/>
          <w:p>
            <w:pPr>
              <w:pStyle w:val="Compact"/>
            </w:pPr>
            <w:r>
              <w:t xml:space="preserve">37 studi randomizzati, rotula</w:t>
            </w:r>
          </w:p>
        </w:tc>
        <w:tc>
          <w:tcPr/>
          <w:p>
            <w:pPr>
              <w:pStyle w:val="Compact"/>
            </w:pPr>
            <w:r>
              <w:t xml:space="preserve">Non promettere le onde d’urto</w:t>
            </w:r>
            <w:r>
              <w:t xml:space="preserve"> </w:t>
            </w:r>
            <w:r>
              <w:rPr>
                <w:b/>
                <w:bCs/>
              </w:rPr>
              <w:t xml:space="preserve">sul tendine rotuleo</w:t>
            </w:r>
          </w:p>
        </w:tc>
      </w:tr>
    </w:tbl>
    <w:bookmarkEnd w:id="53"/>
    <w:bookmarkStart w:id="54" w:name="il-numero-che-più-cambia-quello-che-dici"/>
    <w:p>
      <w:pPr>
        <w:pStyle w:val="Heading3"/>
      </w:pPr>
      <w:r>
        <w:t xml:space="preserve">Il numero che più cambia quello che dici</w:t>
      </w:r>
    </w:p>
    <w:p>
      <w:pPr>
        <w:pStyle w:val="FirstParagraph"/>
      </w:pPr>
      <w:r>
        <w:t xml:space="preserve">Il paziente ti chiederà se il tendine è guarito, e vorrà vederlo su un’ecografia. Il dato viene da venti studi con 625 pazienti trattati con esercizio. La revisione conclude che esistono</w:t>
      </w:r>
      <w:r>
        <w:t xml:space="preserve"> </w:t>
      </w:r>
      <w:r>
        <w:rPr>
          <w:b/>
          <w:bCs/>
        </w:rPr>
        <w:t xml:space="preserve">prove forti che escludono</w:t>
      </w:r>
      <w:r>
        <w:t xml:space="preserve"> </w:t>
      </w:r>
      <w:r>
        <w:t xml:space="preserve">il cambiamento strutturale visibile come spiegazione del miglioramento dopo esercizio eccentrico. Solo per il carico lento pesante ci sono prove moderate a favore di un legame (Drew,</w:t>
      </w:r>
      <w:r>
        <w:t xml:space="preserve"> </w:t>
      </w:r>
      <w:r>
        <w:rPr>
          <w:i/>
          <w:iCs/>
        </w:rPr>
        <w:t xml:space="preserve">Br J Sports Med</w:t>
      </w:r>
      <w:r>
        <w:t xml:space="preserve">, 2014, PMID 23118117).</w:t>
      </w:r>
    </w:p>
    <w:p>
      <w:pPr>
        <w:pStyle w:val="BodyText"/>
      </w:pPr>
      <w:r>
        <w:rPr>
          <w:b/>
          <w:bCs/>
        </w:rPr>
        <w:t xml:space="preserve">Per te:</w:t>
      </w:r>
      <w:r>
        <w:t xml:space="preserve"> </w:t>
      </w:r>
      <w:r>
        <w:t xml:space="preserve">il tuo paziente può stare molto meglio con un’ecografia identica a quella di prima, e questo va detto</w:t>
      </w:r>
      <w:r>
        <w:t xml:space="preserve"> </w:t>
      </w:r>
      <w:r>
        <w:rPr>
          <w:b/>
          <w:bCs/>
        </w:rPr>
        <w:t xml:space="preserve">all’inizio</w:t>
      </w:r>
      <w:r>
        <w:t xml:space="preserve"> </w:t>
      </w:r>
      <w:r>
        <w:t xml:space="preserve">e non alla fine. Se non glielo dici, la seconda ecografia — che qualcuno gli farà — diventerà la prova che il percorso non ha funzionato. Cambia anche il tuo criterio di successo: la misura del risultato è quanto carico tollera, non come appare il tendine.</w:t>
      </w:r>
    </w:p>
    <w:bookmarkEnd w:id="54"/>
    <w:bookmarkStart w:id="55" w:name="i-tre-cerchi"/>
    <w:p>
      <w:pPr>
        <w:pStyle w:val="Heading3"/>
      </w:pPr>
      <w:r>
        <w:t xml:space="preserve">I tre cerchi</w:t>
      </w:r>
    </w:p>
    <w:p>
      <w:pPr>
        <w:pStyle w:val="FirstParagraph"/>
      </w:pPr>
      <w:r>
        <w:rPr>
          <w:b/>
          <w:bCs/>
        </w:rPr>
        <w:t xml:space="preserve">Cerchio 1 — le prove specifiche.</w:t>
      </w:r>
      <w:r>
        <w:t xml:space="preserve"> </w:t>
      </w:r>
      <w:r>
        <w:t xml:space="preserve">Quasi tutto quello che hai letto sopra. È il cerchio più ricco del documento, e quello con i risultati più scomodi.</w:t>
      </w:r>
    </w:p>
    <w:p>
      <w:pPr>
        <w:pStyle w:val="BodyText"/>
      </w:pPr>
      <w:r>
        <w:rPr>
          <w:b/>
          <w:bCs/>
        </w:rPr>
        <w:t xml:space="preserve">Cerchio 2 — le prove trasversali sul meccanismo.</w:t>
      </w:r>
      <w:r>
        <w:t xml:space="preserve"> </w:t>
      </w:r>
      <w:r>
        <w:t xml:space="preserve">Cinque lavori, in tre famiglie. Nessuno di loro tocca l’etichetta di una leva su questa condizione: alzano l’etichetta del meccanismo, e si fermano lì.</w:t>
      </w:r>
    </w:p>
    <w:p>
      <w:pPr>
        <w:pStyle w:val="BodyText"/>
      </w:pPr>
      <w:r>
        <w:rPr>
          <w:i/>
          <w:iCs/>
        </w:rPr>
        <w:t xml:space="preserve">Il carico che alza la soglia.</w:t>
      </w:r>
      <w:r>
        <w:t xml:space="preserve"> </w:t>
      </w:r>
      <w:r>
        <w:t xml:space="preserve">Su persone con dolore al collo, una singola sessione di esercizio isometrico o di movimento attivo ha alzato le soglie di pressione dolorosa. Le ha alzate sia in sede locale sia lontano, con certezza da bassa a molto bassa (Senarath,</w:t>
      </w:r>
      <w:r>
        <w:t xml:space="preserve"> </w:t>
      </w:r>
      <w:r>
        <w:rPr>
          <w:i/>
          <w:iCs/>
        </w:rPr>
        <w:t xml:space="preserve">Pain Pract</w:t>
      </w:r>
      <w:r>
        <w:t xml:space="preserve">, 2023, PMID 35869789).</w:t>
      </w:r>
      <w:r>
        <w:t xml:space="preserve"> </w:t>
      </w:r>
      <w:r>
        <w:rPr>
          <w:i/>
          <w:iCs/>
        </w:rPr>
        <w:t xml:space="preserve">Il salto è di popolazione: dolore cervicale, non tendinopatia.</w:t>
      </w:r>
      <w:r>
        <w:t xml:space="preserve"> </w:t>
      </w:r>
      <w:r>
        <w:t xml:space="preserve">Il dato sperimentale di base è più solido: in adulti sani un singolo episodio di carico alza la soglia del dolore con effetti grandi — 1,02 per l’isometrico, 0,83 per la resistenza dinamica, 0,41 per l’aerobico (Naugle,</w:t>
      </w:r>
      <w:r>
        <w:t xml:space="preserve"> </w:t>
      </w:r>
      <w:r>
        <w:rPr>
          <w:i/>
          <w:iCs/>
        </w:rPr>
        <w:t xml:space="preserve">J Pain</w:t>
      </w:r>
      <w:r>
        <w:t xml:space="preserve">, 2012, PMID 23141188).</w:t>
      </w:r>
      <w:r>
        <w:t xml:space="preserve"> </w:t>
      </w:r>
      <w:r>
        <w:rPr>
          <w:i/>
          <w:iCs/>
        </w:rPr>
        <w:t xml:space="preserve">Misurato su adulti sani con dolore sperimentale, non su pazienti con tendinopatia — e nelle popolazioni con dolore cronico gli stessi autori trovano effetti variabili per grandezza e per direzione, cioè anche iperalgesici.</w:t>
      </w:r>
      <w:r>
        <w:t xml:space="preserve"> </w:t>
      </w:r>
      <w:r>
        <w:t xml:space="preserve">Insieme reggono il</w:t>
      </w:r>
      <w:r>
        <w:t xml:space="preserve"> </w:t>
      </w:r>
      <w:r>
        <w:rPr>
          <w:b/>
          <w:bCs/>
        </w:rPr>
        <w:t xml:space="preserve">meccanismo</w:t>
      </w:r>
      <w:r>
        <w:t xml:space="preserve"> </w:t>
      </w:r>
      <w:r>
        <w:t xml:space="preserve">per cui il carico riduce il dolore prima di cambiare il tessuto. Non reggono nessuna leva su questa condizione, e la variabilità di direzione nel dolore cronico è precisamente ciò che impedisce di trasformare il meccanismo in una promessa.</w:t>
      </w:r>
    </w:p>
    <w:p>
      <w:pPr>
        <w:pStyle w:val="BodyText"/>
      </w:pPr>
      <w:r>
        <w:rPr>
          <w:i/>
          <w:iCs/>
        </w:rPr>
        <w:t xml:space="preserve">Il sonno che la abbassa.</w:t>
      </w:r>
      <w:r>
        <w:t xml:space="preserve"> </w:t>
      </w:r>
      <w:r>
        <w:t xml:space="preserve">La privazione di sonno riduce la soglia del dolore in soggetti sani (Schrimpf, 2015, PMID 26498229). Il dato per esteso, con la sua frase-ponte, sta nel modello Neurologico.</w:t>
      </w:r>
    </w:p>
    <w:p>
      <w:pPr>
        <w:pStyle w:val="BodyText"/>
      </w:pPr>
      <w:r>
        <w:rPr>
          <w:i/>
          <w:iCs/>
        </w:rPr>
        <w:t xml:space="preserve">La relazione che predice l’esito.</w:t>
      </w:r>
      <w:r>
        <w:t xml:space="preserve"> </w:t>
      </w:r>
      <w:r>
        <w:t xml:space="preserve">L’attenzione, il tempo e l’alleanza non sono soltanto i confondenti che rendono difficile misurare il gesto. Sono variabili misurate e associate all’esito. Su 182 pazienti con lombalgia cronica l’alleanza terapeutica è risultata predittore dell’esito su</w:t>
      </w:r>
      <w:r>
        <w:t xml:space="preserve"> </w:t>
      </w:r>
      <w:r>
        <w:rPr>
          <w:b/>
          <w:bCs/>
        </w:rPr>
        <w:t xml:space="preserve">tutte</w:t>
      </w:r>
      <w:r>
        <w:t xml:space="preserve"> </w:t>
      </w:r>
      <w:r>
        <w:t xml:space="preserve">le misure considerate (Ferreira,</w:t>
      </w:r>
      <w:r>
        <w:t xml:space="preserve"> </w:t>
      </w:r>
      <w:r>
        <w:rPr>
          <w:i/>
          <w:iCs/>
        </w:rPr>
        <w:t xml:space="preserve">Phys Ther</w:t>
      </w:r>
      <w:r>
        <w:t xml:space="preserve">, 2013, PMID 23139428). E su 13 studi prospettici di riabilitazione la relazione fra terapista e paziente è associata positivamente all’aderenza e all’esito (Hall,</w:t>
      </w:r>
      <w:r>
        <w:t xml:space="preserve"> </w:t>
      </w:r>
      <w:r>
        <w:rPr>
          <w:i/>
          <w:iCs/>
        </w:rPr>
        <w:t xml:space="preserve">Phys Ther</w:t>
      </w:r>
      <w:r>
        <w:t xml:space="preserve">, 2010, PMID 20576715).</w:t>
      </w:r>
      <w:r>
        <w:t xml:space="preserve"> </w:t>
      </w:r>
      <w:r>
        <w:rPr>
          <w:i/>
          <w:iCs/>
        </w:rPr>
        <w:t xml:space="preserve">Misurato su lombalgia cronica e su popolazioni riabilitative miste, non su pazienti con tendinopatia — e sono associazioni prospettiche osservazionali, non un effetto randomizzato: dicono che la relazione predice l’esito, non che manipolarla lo produca.</w:t>
      </w:r>
    </w:p>
    <w:p>
      <w:pPr>
        <w:pStyle w:val="BodyText"/>
      </w:pPr>
      <w:r>
        <w:rPr>
          <w:b/>
          <w:bCs/>
        </w:rPr>
        <w:t xml:space="preserve">Cerchio 3 — la fisiologia.</w:t>
      </w:r>
      <w:r>
        <w:t xml:space="preserve"> </w:t>
      </w:r>
      <w:r>
        <w:t xml:space="preserve">Il ricambio del tendine umano (Heinemeier), l’adattamento al carico e la sintesi di collagene in adulti sani (Bohm; Miller).</w:t>
      </w:r>
      <w:r>
        <w:t xml:space="preserve"> </w:t>
      </w:r>
      <w:r>
        <w:rPr>
          <w:i/>
          <w:iCs/>
        </w:rPr>
        <w:t xml:space="preserve">Misurati su tessuto forense e volontari sani.</w:t>
      </w:r>
      <w:r>
        <w:t xml:space="preserve"> </w:t>
      </w:r>
      <w:r>
        <w:t xml:space="preserve">Reggono il razionale, mai l’efficacia.</w:t>
      </w:r>
    </w:p>
    <w:bookmarkEnd w:id="55"/>
    <w:bookmarkStart w:id="56"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32"/>
        </w:numPr>
      </w:pPr>
      <w:r>
        <w:t xml:space="preserve">Che il carico progressivo migliora dolore e funzione,</w:t>
      </w:r>
      <w:r>
        <w:t xml:space="preserve"> </w:t>
      </w:r>
      <w:r>
        <w:rPr>
          <w:b/>
          <w:bCs/>
        </w:rPr>
        <w:t xml:space="preserve">sede per sede</w:t>
      </w:r>
      <w:r>
        <w:t xml:space="preserve">: sull’achilleo cronico batte l’attesa (Rompe, 2007, PMID 17244902),</w:t>
      </w:r>
      <w:r>
        <w:t xml:space="preserve"> </w:t>
      </w:r>
      <w:r>
        <w:rPr>
          <w:b/>
          <w:bCs/>
        </w:rPr>
        <w:t xml:space="preserve">con certezza da molto bassa a bassa</w:t>
      </w:r>
      <w:r>
        <w:t xml:space="preserve"> </w:t>
      </w:r>
      <w:r>
        <w:t xml:space="preserve">(van der Vlist, 2021, PMID 32522732); sulla glutea (Mellor, 2018);</w:t>
      </w:r>
      <w:r>
        <w:t xml:space="preserve"> </w:t>
      </w:r>
      <w:r>
        <w:rPr>
          <w:b/>
          <w:bCs/>
        </w:rPr>
        <w:t xml:space="preserve">al gomito l’effetto c’è ed è piccolo</w:t>
      </w:r>
      <w:r>
        <w:t xml:space="preserve">, con certezza bassa (Karanasios, 2021, PMID 33148599).</w:t>
      </w:r>
    </w:p>
    <w:p>
      <w:pPr>
        <w:pStyle w:val="Compact"/>
        <w:numPr>
          <w:ilvl w:val="0"/>
          <w:numId w:val="1032"/>
        </w:numPr>
      </w:pPr>
      <w:r>
        <w:t xml:space="preserve">Che l’educazione alla gestione del carico più esercizio ha battuto l’infiltrazione a un anno sulla tendinopatia glutea.</w:t>
      </w:r>
    </w:p>
    <w:p>
      <w:pPr>
        <w:pStyle w:val="Compact"/>
        <w:numPr>
          <w:ilvl w:val="0"/>
          <w:numId w:val="1032"/>
        </w:numPr>
      </w:pPr>
      <w:r>
        <w:t xml:space="preserve">Che l’infiltrazione di cortisone dà un vantaggio a sei settimane che si rovescia dopo.</w:t>
      </w:r>
    </w:p>
    <w:p>
      <w:pPr>
        <w:pStyle w:val="Compact"/>
        <w:numPr>
          <w:ilvl w:val="0"/>
          <w:numId w:val="1032"/>
        </w:numPr>
      </w:pPr>
      <w:r>
        <w:t xml:space="preserve">Che una tecnica manuale può produrre un’ipoalgesia immediata</w:t>
      </w:r>
      <w:r>
        <w:t xml:space="preserve"> </w:t>
      </w:r>
      <w:r>
        <w:rPr>
          <w:b/>
          <w:bCs/>
        </w:rPr>
        <w:t xml:space="preserve">nell’epicondilalgia</w:t>
      </w:r>
      <w:r>
        <w:t xml:space="preserve">, contro placebo, con effetti piccoli (Lucado, 2019, PMID 29705077).</w:t>
      </w:r>
    </w:p>
    <w:p>
      <w:pPr>
        <w:pStyle w:val="Compact"/>
        <w:numPr>
          <w:ilvl w:val="0"/>
          <w:numId w:val="1032"/>
        </w:numPr>
      </w:pPr>
      <w:r>
        <w:t xml:space="preserve">Che il tendine si adatta al carico e che l’intensità è la variabile che comanda — nei sani (Bohm, 2015) e, come moderatore dell’effetto clinico, anche nei pazienti (Pavlova, 2023, PMID 37169370).</w:t>
      </w:r>
    </w:p>
    <w:p>
      <w:pPr>
        <w:pStyle w:val="Compact"/>
        <w:numPr>
          <w:ilvl w:val="0"/>
          <w:numId w:val="1032"/>
        </w:numPr>
      </w:pPr>
      <w:r>
        <w:t xml:space="preserve">Che il nucleo del tendine</w:t>
      </w:r>
      <w:r>
        <w:t xml:space="preserve"> </w:t>
      </w:r>
      <w:r>
        <w:rPr>
          <w:b/>
          <w:bCs/>
        </w:rPr>
        <w:t xml:space="preserve">sano</w:t>
      </w:r>
      <w:r>
        <w:t xml:space="preserve"> </w:t>
      </w:r>
      <w:r>
        <w:t xml:space="preserve">non si rinnova dopo la crescita, mentre nel tendine tendinopatico un ricambio sostanziale è in corso da anni prima dei sintomi.</w:t>
      </w:r>
    </w:p>
    <w:p>
      <w:pPr>
        <w:pStyle w:val="FirstParagraph"/>
      </w:pPr>
      <w:r>
        <w:rPr>
          <w:b/>
          <w:bCs/>
        </w:rPr>
        <w:t xml:space="preserve">Non possiamo dire:</w:t>
      </w:r>
    </w:p>
    <w:p>
      <w:pPr>
        <w:pStyle w:val="Compact"/>
        <w:numPr>
          <w:ilvl w:val="0"/>
          <w:numId w:val="1033"/>
        </w:numPr>
      </w:pPr>
      <w:r>
        <w:t xml:space="preserve">Che il nostro pacchetto manuale funzioni. L’unico confronto con un placebo credibile è su 120 pazienti con tendinopatia cronica di cuffia, con ultrasuono inattivo come controllo e prove giudicate di alta qualità. Lì terapia manuale più esercizio non ha prodotto differenze clinicamente importanti su dolore né funzione a 22 settimane, e ha prodotto più eventi avversi lievi: 31% contro 8% (Page,</w:t>
      </w:r>
      <w:r>
        <w:t xml:space="preserve"> </w:t>
      </w:r>
      <w:r>
        <w:rPr>
          <w:i/>
          <w:iCs/>
        </w:rPr>
        <w:t xml:space="preserve">Cochrane</w:t>
      </w:r>
      <w:r>
        <w:t xml:space="preserve">, 2016, PMID 27283590).</w:t>
      </w:r>
    </w:p>
    <w:p>
      <w:pPr>
        <w:pStyle w:val="Compact"/>
        <w:numPr>
          <w:ilvl w:val="0"/>
          <w:numId w:val="1033"/>
        </w:numPr>
      </w:pPr>
      <w:r>
        <w:t xml:space="preserve">Che l’osteopatia sia stata misurata su questa condizione. L’unico randomizzato è del 2004, su 53 epicondilopatie croniche: miglioramento in entrambi i gruppi e</w:t>
      </w:r>
      <w:r>
        <w:t xml:space="preserve"> </w:t>
      </w:r>
      <w:r>
        <w:rPr>
          <w:b/>
          <w:bCs/>
        </w:rPr>
        <w:t xml:space="preserve">nessuna differenza</w:t>
      </w:r>
      <w:r>
        <w:t xml:space="preserve"> </w:t>
      </w:r>
      <w:r>
        <w:t xml:space="preserve">fra trattamento osteopatico e ortopedico (Geldschläger,</w:t>
      </w:r>
      <w:r>
        <w:t xml:space="preserve"> </w:t>
      </w:r>
      <w:r>
        <w:rPr>
          <w:i/>
          <w:iCs/>
        </w:rPr>
        <w:t xml:space="preserve">Forsch Komplementarmed</w:t>
      </w:r>
      <w:r>
        <w:t xml:space="preserve">, 2004, PMID 15138373).</w:t>
      </w:r>
    </w:p>
    <w:p>
      <w:pPr>
        <w:pStyle w:val="Compact"/>
        <w:numPr>
          <w:ilvl w:val="0"/>
          <w:numId w:val="1033"/>
        </w:numPr>
      </w:pPr>
      <w:r>
        <w:t xml:space="preserve">Che il dolore diffuso e la sensibilizzazione siano un tratto di questa condizione in tutte le sedi. All’arto inferiore la misura diretta dice il contrario: quadri prevalentemente periferici, soglia remota normale (Plinsinga, 2018, PMID 28698221; Rio, 2021, PMID 33383996).</w:t>
      </w:r>
    </w:p>
    <w:p>
      <w:pPr>
        <w:pStyle w:val="Compact"/>
        <w:numPr>
          <w:ilvl w:val="0"/>
          <w:numId w:val="1033"/>
        </w:numPr>
      </w:pPr>
      <w:r>
        <w:t xml:space="preserve">Che la mobilizzazione con movimento sia efficace nel medio termine sul gomito: la revisione dedicata la giudica di qualità bassa e molto bassa proprio per l’epicondilalgia (Westad,</w:t>
      </w:r>
      <w:r>
        <w:t xml:space="preserve"> </w:t>
      </w:r>
      <w:r>
        <w:rPr>
          <w:i/>
          <w:iCs/>
        </w:rPr>
        <w:t xml:space="preserve">Musculoskelet Sci Pract</w:t>
      </w:r>
      <w:r>
        <w:t xml:space="preserve">, 2019, PMID 30583976).</w:t>
      </w:r>
    </w:p>
    <w:p>
      <w:pPr>
        <w:pStyle w:val="Compact"/>
        <w:numPr>
          <w:ilvl w:val="0"/>
          <w:numId w:val="1033"/>
        </w:numPr>
      </w:pPr>
      <w:r>
        <w:t xml:space="preserve">Che le onde d’urto aggiungano qualcosa: sul tendine rotuleo non risultano superiori a un trattamento simulato (Challoumas, 2021, PMID 34900334).</w:t>
      </w:r>
    </w:p>
    <w:p>
      <w:pPr>
        <w:pStyle w:val="Compact"/>
        <w:numPr>
          <w:ilvl w:val="0"/>
          <w:numId w:val="1033"/>
        </w:numPr>
      </w:pPr>
      <w:r>
        <w:t xml:space="preserve">Che l’isometrico abbia un effetto analgesico superiore. La prima misura, molto citata, è su</w:t>
      </w:r>
      <w:r>
        <w:t xml:space="preserve"> </w:t>
      </w:r>
      <w:r>
        <w:rPr>
          <w:b/>
          <w:bCs/>
        </w:rPr>
        <w:t xml:space="preserve">sei</w:t>
      </w:r>
      <w:r>
        <w:t xml:space="preserve"> </w:t>
      </w:r>
      <w:r>
        <w:t xml:space="preserve">giocatori di pallavolo (Rio, 2015, PMID 25979840). E su</w:t>
      </w:r>
      <w:r>
        <w:t xml:space="preserve"> </w:t>
      </w:r>
      <w:r>
        <w:rPr>
          <w:b/>
          <w:bCs/>
        </w:rPr>
        <w:t xml:space="preserve">dieci randomizzati in cinque sedi diverse</w:t>
      </w:r>
      <w:r>
        <w:t xml:space="preserve"> </w:t>
      </w:r>
      <w:r>
        <w:t xml:space="preserve">l’isometrico non risulta superiore all’isotonico, con evidenza di livello limitato (Clifford,</w:t>
      </w:r>
      <w:r>
        <w:t xml:space="preserve"> </w:t>
      </w:r>
      <w:r>
        <w:rPr>
          <w:i/>
          <w:iCs/>
        </w:rPr>
        <w:t xml:space="preserve">BMJ Open Sport Exerc Med</w:t>
      </w:r>
      <w:r>
        <w:t xml:space="preserve">, 2020, PMID 32818059).</w:t>
      </w:r>
    </w:p>
    <w:p>
      <w:pPr>
        <w:pStyle w:val="Compact"/>
        <w:numPr>
          <w:ilvl w:val="0"/>
          <w:numId w:val="1033"/>
        </w:numPr>
      </w:pPr>
      <w:r>
        <w:t xml:space="preserve">Che una rigidità a distanza sia la causa di questa tendinopatia. È l’ipotesi che regge buona parte del nostro ragionamento, e non è dimostrata.</w:t>
      </w:r>
    </w:p>
    <w:p>
      <w:pPr>
        <w:pStyle w:val="Compact"/>
        <w:numPr>
          <w:ilvl w:val="0"/>
          <w:numId w:val="1033"/>
        </w:numPr>
      </w:pPr>
      <w:r>
        <w:t xml:space="preserve">Che la</w:t>
      </w:r>
      <w:r>
        <w:t xml:space="preserve"> </w:t>
      </w:r>
      <w:r>
        <w:rPr>
          <w:b/>
          <w:bCs/>
        </w:rPr>
        <w:t xml:space="preserve">postura statica del piede</w:t>
      </w:r>
      <w:r>
        <w:t xml:space="preserve"> </w:t>
      </w:r>
      <w:r>
        <w:t xml:space="preserve">o il</w:t>
      </w:r>
      <w:r>
        <w:t xml:space="preserve"> </w:t>
      </w:r>
      <w:r>
        <w:rPr>
          <w:b/>
          <w:bCs/>
        </w:rPr>
        <w:t xml:space="preserve">sovrappeso</w:t>
      </w:r>
      <w:r>
        <w:t xml:space="preserve"> </w:t>
      </w:r>
      <w:r>
        <w:t xml:space="preserve">siano fattori di rischio: stanno fra i ventisei fattori che la revisione prospettica non trova associati (van der Vlist, 2019, PMID 30718234).</w:t>
      </w:r>
    </w:p>
    <w:p>
      <w:pPr>
        <w:pStyle w:val="Compact"/>
        <w:numPr>
          <w:ilvl w:val="0"/>
          <w:numId w:val="1033"/>
        </w:numPr>
      </w:pPr>
      <w:r>
        <w:t xml:space="preserve">Che il carico a dose bassa riduca il dolore</w:t>
      </w:r>
      <w:r>
        <w:t xml:space="preserve"> </w:t>
      </w:r>
      <w:r>
        <w:rPr>
          <w:b/>
          <w:bCs/>
        </w:rPr>
        <w:t xml:space="preserve">in ogni paziente</w:t>
      </w:r>
      <w:r>
        <w:t xml:space="preserve">: nelle popolazioni con dolore cronico l’ipoalgesia da esercizio è variabile in grandezza e in direzione, anche iperalgesica (Naugle, 2012, PMID 23141188).</w:t>
      </w:r>
    </w:p>
    <w:p>
      <w:pPr>
        <w:pStyle w:val="Compact"/>
        <w:numPr>
          <w:ilvl w:val="0"/>
          <w:numId w:val="1033"/>
        </w:numPr>
      </w:pPr>
      <w:r>
        <w:t xml:space="preserve">Che la</w:t>
      </w:r>
      <w:r>
        <w:t xml:space="preserve"> </w:t>
      </w:r>
      <w:r>
        <w:rPr>
          <w:b/>
          <w:bCs/>
        </w:rPr>
        <w:t xml:space="preserve">chinesiofobia</w:t>
      </w:r>
      <w:r>
        <w:t xml:space="preserve"> </w:t>
      </w:r>
      <w:r>
        <w:t xml:space="preserve">sia un tratto di questa condizione: la meta-analisi dedicata non trova differenze fra chi ha e chi non ha una tendinopatia (Mest, 2025, PMID 41308022). Quello che differisce è la catastrofizzazione, e all’arto inferiore ansia e depressione.</w:t>
      </w:r>
    </w:p>
    <w:bookmarkEnd w:id="56"/>
    <w:bookmarkStart w:id="57" w:name="quando-la-scienza-tace"/>
    <w:p>
      <w:pPr>
        <w:pStyle w:val="Heading3"/>
      </w:pPr>
      <w:r>
        <w:t xml:space="preserve">Quando la scienza tace</w:t>
      </w:r>
    </w:p>
    <w:p>
      <w:pPr>
        <w:pStyle w:val="FirstParagraph"/>
      </w:pPr>
      <w:r>
        <w:t xml:space="preserve">Su moltissime condizioni gli studi mancano perché nessuno li ha fatti.</w:t>
      </w:r>
      <w:r>
        <w:t xml:space="preserve"> </w:t>
      </w:r>
      <w:r>
        <w:rPr>
          <w:b/>
          <w:bCs/>
        </w:rPr>
        <w:t xml:space="preserve">Qui no</w:t>
      </w:r>
      <w:r>
        <w:t xml:space="preserve">, ed è importante non usare la formula sbagliata.</w:t>
      </w:r>
    </w:p>
    <w:p>
      <w:pPr>
        <w:pStyle w:val="BodyText"/>
      </w:pPr>
      <w:r>
        <w:rPr>
          <w:b/>
          <w:bCs/>
        </w:rPr>
        <w:t xml:space="preserve">1. Assenza di prove non è prova di assenza.</w:t>
      </w:r>
      <w:r>
        <w:t xml:space="preserve"> </w:t>
      </w:r>
      <w:r>
        <w:t xml:space="preserve">Qui va usata con precisione: se dici «non ci sono studi» sulle tendinopatie dici una cosa falsa, e un collega evidence-based te lo dimostra in cinque minuti.</w:t>
      </w:r>
    </w:p>
    <w:p>
      <w:pPr>
        <w:pStyle w:val="BodyText"/>
      </w:pPr>
      <w:r>
        <w:rPr>
          <w:b/>
          <w:bCs/>
        </w:rPr>
        <w:t xml:space="preserve">2. Perché manca proprio quello che manca.</w:t>
      </w:r>
      <w:r>
        <w:t xml:space="preserve"> </w:t>
      </w:r>
      <w:r>
        <w:t xml:space="preserve">Gli studi ci sono, e una parte è negativa o nulla su ciò che ci riguarda: il confronto Cochrane sulla cuffia, la qualità bassa della mobilizzazione con movimento sul gomito, le onde d’urto contro il simulato sul rotuleo, l’unico studio osteopatico senza differenza fra i gruppi. Quello che manca è</w:t>
      </w:r>
      <w:r>
        <w:t xml:space="preserve"> </w:t>
      </w:r>
      <w:r>
        <w:rPr>
          <w:b/>
          <w:bCs/>
        </w:rPr>
        <w:t xml:space="preserve">la misura del nostro pacchetto contro un simulato credibile</w:t>
      </w:r>
      <w:r>
        <w:t xml:space="preserve">, cioè l’unica cosa che separerebbe il gesto dall’attenzione, dal tempo e dall’aspettativa.</w:t>
      </w:r>
    </w:p>
    <w:p>
      <w:pPr>
        <w:pStyle w:val="BodyText"/>
      </w:pPr>
      <w:r>
        <w:t xml:space="preserve">Le ragioni sono tre. Non esiste un placebo credibile per il tocco.</w:t>
      </w:r>
      <w:r>
        <w:t xml:space="preserve"> </w:t>
      </w:r>
      <w:r>
        <w:rPr>
          <w:b/>
          <w:bCs/>
        </w:rPr>
        <w:t xml:space="preserve">Sul gomito</w:t>
      </w:r>
      <w:r>
        <w:t xml:space="preserve"> </w:t>
      </w:r>
      <w:r>
        <w:t xml:space="preserve">più di otto pazienti su dieci migliorano entro un anno anche con il solo consiglio, e per vedere una differenza servono quindi campioni grandi. Sulle altre sedi il decorso spontaneo è meno generoso, ma comunque presente (Garzón, 2024, PMID 38879981). E gli esiti non sono standardizzati fra le sedi.</w:t>
      </w:r>
    </w:p>
    <w:p>
      <w:pPr>
        <w:pStyle w:val="BodyText"/>
      </w:pPr>
      <w:r>
        <w:rPr>
          <w:b/>
          <w:bCs/>
        </w:rPr>
        <w:t xml:space="preserve">E attenzione a come si legge questa frase.</w:t>
      </w:r>
      <w:r>
        <w:t xml:space="preserve"> </w:t>
      </w:r>
      <w:r>
        <w:t xml:space="preserve">Che il confronto non riesca a separare il gesto dall’attenzione, dal tempo e dall’aspettativa non vuol dire che tutto ciò che non è il gesto sia rumore da scontare. L’alleanza terapeutica è essa stessa misurata, e predice aderenza ed esito nella riabilitazione muscolo-scheletrica (Ferreira, 2013, PMID 23139428; Hall, 2010, PMID 20576715). Su una condizione in cui la leva principale la esegue il paziente da solo per mesi, e in cui il collo di bottiglia dichiarato è l’aderenza, questo non è un dettaglio.</w:t>
      </w:r>
      <w:r>
        <w:t xml:space="preserve"> </w:t>
      </w:r>
      <w:r>
        <w:rPr>
          <w:b/>
          <w:bCs/>
        </w:rPr>
        <w:t xml:space="preserve">Qui non stai riempiendo un silenzio: stai lavorando accanto a una letteratura che ha già detto di no a parecchie cose.</w:t>
      </w:r>
    </w:p>
    <w:p>
      <w:pPr>
        <w:pStyle w:val="BodyText"/>
      </w:pPr>
      <w:r>
        <w:t xml:space="preserve">E c’è un’assenza</w:t>
      </w:r>
      <w:r>
        <w:t xml:space="preserve"> </w:t>
      </w:r>
      <w:r>
        <w:rPr>
          <w:b/>
          <w:bCs/>
        </w:rPr>
        <w:t xml:space="preserve">cercata</w:t>
      </w:r>
      <w:r>
        <w:t xml:space="preserve">, che va dichiarata come tale: sulla</w:t>
      </w:r>
      <w:r>
        <w:t xml:space="preserve"> </w:t>
      </w:r>
      <w:r>
        <w:rPr>
          <w:b/>
          <w:bCs/>
        </w:rPr>
        <w:t xml:space="preserve">respirazione</w:t>
      </w:r>
      <w:r>
        <w:t xml:space="preserve"> </w:t>
      </w:r>
      <w:r>
        <w:t xml:space="preserve">come strumento attivo per la tendinopatia non esistono studi randomizzati. Non sono deboli: non ci sono. È la ragione per cui qui la respirazione compare solo come co-regolazione con etichetta IPOTESI, e non ha una voce fra gli strumenti attivi.</w:t>
      </w:r>
    </w:p>
    <w:p>
      <w:pPr>
        <w:pStyle w:val="BodyText"/>
      </w:pPr>
      <w:r>
        <w:rPr>
          <w:b/>
          <w:bCs/>
        </w:rPr>
        <w:t xml:space="preserve">3. Su cosa ti basi allora.</w:t>
      </w:r>
      <w:r>
        <w:t xml:space="preserve"> </w:t>
      </w:r>
      <w:r>
        <w:t xml:space="preserve">In ordine di forza. Sul</w:t>
      </w:r>
      <w:r>
        <w:t xml:space="preserve"> </w:t>
      </w:r>
      <w:r>
        <w:rPr>
          <w:b/>
          <w:bCs/>
        </w:rPr>
        <w:t xml:space="preserve">carico</w:t>
      </w:r>
      <w:r>
        <w:t xml:space="preserve">, che ha prove dirette e non è nostro da rivendicare ma è nostro da insegnare. Sul</w:t>
      </w:r>
      <w:r>
        <w:t xml:space="preserve"> </w:t>
      </w:r>
      <w:r>
        <w:rPr>
          <w:b/>
          <w:bCs/>
        </w:rPr>
        <w:t xml:space="preserve">meccanismo fisiologico</w:t>
      </w:r>
      <w:r>
        <w:t xml:space="preserve"> </w:t>
      </w:r>
      <w:r>
        <w:t xml:space="preserve">dei cerchi 2 e 3, e vale la pena dire quanto pesano: il cerchio 3 poggia su misure dirette nell’uomo, il cerchio 2 su</w:t>
      </w:r>
      <w:r>
        <w:t xml:space="preserve"> </w:t>
      </w:r>
      <w:r>
        <w:rPr>
          <w:b/>
          <w:bCs/>
        </w:rPr>
        <w:t xml:space="preserve">cinque</w:t>
      </w:r>
      <w:r>
        <w:t xml:space="preserve"> </w:t>
      </w:r>
      <w:r>
        <w:t xml:space="preserve">lavori, uno dei quali a certezza da bassa a molto bassa e tutti su popolazioni che non sono la nostra. Sul</w:t>
      </w:r>
      <w:r>
        <w:t xml:space="preserve"> </w:t>
      </w:r>
      <w:r>
        <w:rPr>
          <w:b/>
          <w:bCs/>
        </w:rPr>
        <w:t xml:space="preserve">ragionamento clinico</w:t>
      </w:r>
      <w:r>
        <w:t xml:space="preserve"> </w:t>
      </w:r>
      <w:r>
        <w:t xml:space="preserve">dichiarato come tale. E sulla</w:t>
      </w:r>
      <w:r>
        <w:t xml:space="preserve"> </w:t>
      </w:r>
      <w:r>
        <w:rPr>
          <w:b/>
          <w:bCs/>
        </w:rPr>
        <w:t xml:space="preserve">verifica su questo paziente</w:t>
      </w:r>
      <w:r>
        <w:t xml:space="preserve">, con un marker scelto prima di trattare.</w:t>
      </w:r>
    </w:p>
    <w:p>
      <w:pPr>
        <w:pStyle w:val="BodyText"/>
      </w:pPr>
      <w:r>
        <w:rPr>
          <w:b/>
          <w:bCs/>
        </w:rPr>
        <w:t xml:space="preserve">4. Cosa separa tutto questo dal pensiero magico.</w:t>
      </w:r>
      <w:r>
        <w:t xml:space="preserve"> </w:t>
      </w:r>
      <w:r>
        <w:t xml:space="preserve">La verifica, e nient’altro. Scegliere il marker prima e accettarne il verdetto è scienza applicata a un caso singolo; sceglierlo dopo aver visto migliorare il paziente, no.</w:t>
      </w:r>
    </w:p>
    <w:p>
      <w:pPr>
        <w:pStyle w:val="BodyText"/>
      </w:pPr>
      <w:r>
        <w:rPr>
          <w:b/>
          <w:bCs/>
        </w:rPr>
        <w:t xml:space="preserve">5. Cosa non autorizza.</w:t>
      </w:r>
      <w:r>
        <w:t xml:space="preserve"> </w:t>
      </w:r>
      <w:r>
        <w:t xml:space="preserve">A promettere un esito. A scrivere DIMOSTRATO dove c’è IPOTESI. A dire al paziente che «gli studi confermano» il nostro trattamento: qui la frase è verificabile, e sarebbe falsa.</w:t>
      </w:r>
    </w:p>
    <w:p>
      <w:pPr>
        <w:pStyle w:val="BodyText"/>
      </w:pPr>
      <w:r>
        <w:rPr>
          <w:b/>
          <w:bCs/>
        </w:rPr>
        <w:t xml:space="preserve">Le tre cose da ricordare, più una</w:t>
      </w:r>
    </w:p>
    <w:p>
      <w:pPr>
        <w:pStyle w:val="Compact"/>
        <w:numPr>
          <w:ilvl w:val="0"/>
          <w:numId w:val="1034"/>
        </w:numPr>
      </w:pPr>
      <w:r>
        <w:t xml:space="preserve">Su questa condizione la frase «mancano gli studi» è falsa: mancano gli studi su di noi, ed è un’assenza più stretta e più onesta da dichiarare.</w:t>
      </w:r>
    </w:p>
    <w:p>
      <w:pPr>
        <w:pStyle w:val="Compact"/>
        <w:numPr>
          <w:ilvl w:val="0"/>
          <w:numId w:val="1034"/>
        </w:numPr>
      </w:pPr>
      <w:r>
        <w:t xml:space="preserve">Il paziente può migliorare molto con un’ecografia identica: dillo all’inizio, o la seconda ecografia distruggerà il percorso.</w:t>
      </w:r>
    </w:p>
    <w:p>
      <w:pPr>
        <w:pStyle w:val="Compact"/>
        <w:numPr>
          <w:ilvl w:val="0"/>
          <w:numId w:val="1034"/>
        </w:numPr>
      </w:pPr>
      <w:r>
        <w:t xml:space="preserve">Il confronto di alta qualità sul nostro pacchetto esiste ed è negativo: conoscerlo è ciò che ti permette di reggere davanti a chi lo conosce.</w:t>
      </w:r>
    </w:p>
    <w:p>
      <w:pPr>
        <w:pStyle w:val="Compact"/>
        <w:numPr>
          <w:ilvl w:val="0"/>
          <w:numId w:val="1034"/>
        </w:numPr>
      </w:pPr>
      <w:r>
        <w:rPr>
          <w:b/>
          <w:bCs/>
        </w:rPr>
        <w:t xml:space="preserve">Perché ci sei tu.</w:t>
      </w:r>
      <w:r>
        <w:t xml:space="preserve"> </w:t>
      </w:r>
      <w:r>
        <w:t xml:space="preserve">In un disegno randomizzato, in doppio cieco e con placebo, una singola mobilizzazione</w:t>
      </w:r>
      <w:r>
        <w:t xml:space="preserve"> </w:t>
      </w:r>
      <w:r>
        <w:rPr>
          <w:b/>
          <w:bCs/>
        </w:rPr>
        <w:t xml:space="preserve">del rachide cervicale</w:t>
      </w:r>
      <w:r>
        <w:t xml:space="preserve"> </w:t>
      </w:r>
      <w:r>
        <w:t xml:space="preserve">ha aumentato forza di presa senza dolore e soglia di pressione in pazienti con epicondilalgia (Vicenzino,</w:t>
      </w:r>
      <w:r>
        <w:t xml:space="preserve"> </w:t>
      </w:r>
      <w:r>
        <w:rPr>
          <w:i/>
          <w:iCs/>
        </w:rPr>
        <w:t xml:space="preserve">Pain</w:t>
      </w:r>
      <w:r>
        <w:t xml:space="preserve">, 1996, PMID 9252000). L’effetto delle mobilizzazioni al gomito è confermato da una meta-analisi indipendente, con effetti piccoli (Lucado, 2019, PMID 29705077). Questo ti autorizza a produrre un cambiamento misurabile nella stessa seduta e a mostrarlo.</w:t>
      </w:r>
      <w:r>
        <w:t xml:space="preserve"> </w:t>
      </w:r>
      <w:r>
        <w:rPr>
          <w:b/>
          <w:bCs/>
        </w:rPr>
        <w:t xml:space="preserve">E ti restringe due volte:</w:t>
      </w:r>
      <w:r>
        <w:t xml:space="preserve"> </w:t>
      </w:r>
      <w:r>
        <w:t xml:space="preserve">non ti autorizza a dedurne che il collo è la causa del gomito, perché quello studio ha misurato un effetto e non una causa; e la regione cervicale ha un profilo di rischio proprio, raro ma grave, con un quadro anamnestico internazionale da conoscere prima di intervenirvi (IFOMPT, PMID 36099171).</w:t>
      </w:r>
    </w:p>
    <w:p>
      <w:r>
        <w:pict>
          <v:rect style="width:0;height:1.5pt" o:hralign="center" o:hrstd="t" o:hr="t"/>
        </w:pict>
      </w:r>
    </w:p>
    <w:bookmarkEnd w:id="57"/>
    <w:bookmarkEnd w:id="58"/>
    <w:bookmarkStart w:id="60"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non riparano il tendine, e servono a rendere possibile la sola cosa che lo cambia — il carico.</w:t>
      </w:r>
    </w:p>
    <w:p>
      <w:pPr>
        <w:pStyle w:val="FirstParagraph"/>
      </w:pPr>
      <w:r>
        <w:rPr>
          <w:b/>
          <w:bCs/>
        </w:rPr>
        <w:t xml:space="preserve">Cosa non possono fare le mani, e va detto per primo.</w:t>
      </w:r>
      <w:r>
        <w:t xml:space="preserve"> </w:t>
      </w:r>
      <w:r>
        <w:t xml:space="preserve">Non riportano il tendine all’immagine di prima, e non è quello l’obiettivo. Non ne riducono lo spessore. Non producono da sole un cambiamento che duri: nell’unico confronto con un placebo credibile su questa famiglia di condizioni, il pacchetto manuale più esercizio non ha battuto il controllo (Page, 2016, PMID 27283590).</w:t>
      </w:r>
    </w:p>
    <w:p>
      <w:pPr>
        <w:pStyle w:val="BodyText"/>
      </w:pPr>
      <w:r>
        <w:rPr>
          <w:b/>
          <w:bCs/>
        </w:rPr>
        <w:t xml:space="preserve">Se il tuo ciclo non contiene un carico progressivo, non hai un ciclo.</w:t>
      </w:r>
      <w:r>
        <w:t xml:space="preserve"> </w:t>
      </w:r>
      <w:r>
        <w:t xml:space="preserve">L’eccezione di fase la dichiara «Non è una condizione sola»: nel reattivo recente e nel reattivo su degenerativo in fiammata le leve sono sottrattive, e la progressione parte quando la fase acuta si spegne.</w:t>
      </w:r>
    </w:p>
    <w:p>
      <w:pPr>
        <w:pStyle w:val="BodyText"/>
      </w:pPr>
      <w:r>
        <w:t xml:space="preserve">Detto questo, meccanismo per meccanismo.</w:t>
      </w:r>
    </w:p>
    <w:p>
      <w:pPr>
        <w:pStyle w:val="BodyText"/>
      </w:pPr>
      <w:r>
        <w:rPr>
          <w:b/>
          <w:bCs/>
        </w:rPr>
        <w:t xml:space="preserve">Sul primo meccanismo — il carico oltre capacità.</w:t>
      </w:r>
      <w:r>
        <w:t xml:space="preserve"> </w:t>
      </w:r>
      <w:r>
        <w:t xml:space="preserve">Su cosa può agire una mano: sulla muscolatura a monte e sulla tolleranza del gesto, in modo che il carico che il paziente farà comunque venga distribuito e tollerato. L’effetto atteso è un aumento delle ripetizioni tollerate al test di carico nella stessa seduta.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il pacchetto</w:t>
      </w:r>
      <w:r>
        <w:t xml:space="preserve"> </w:t>
      </w:r>
      <w:r>
        <w:rPr>
          <w:b/>
          <w:bCs/>
        </w:rPr>
        <w:t xml:space="preserve">mobilizzazione con movimento del gomito</w:t>
      </w:r>
      <w:r>
        <w:t xml:space="preserve"> </w:t>
      </w:r>
      <w:r>
        <w:t xml:space="preserve">più esercizio ha battuto l’attesa nelle prime sei settimane su 198 pazienti (Bisset, 2006, PMID 17012266). L’effetto è del pacchetto, non della mano isolata.</w:t>
      </w:r>
      <w:r>
        <w:t xml:space="preserve"> </w:t>
      </w:r>
      <w:r>
        <w:rPr>
          <w:b/>
          <w:bCs/>
        </w:rPr>
        <w:t xml:space="preserve">In quanto tempo si vedrebbe, e per quali due vie diverse:</w:t>
      </w:r>
      <w:r>
        <w:t xml:space="preserve"> </w:t>
      </w:r>
      <w:r>
        <w:t xml:space="preserve">se le ripetizioni salgono</w:t>
      </w:r>
      <w:r>
        <w:t xml:space="preserve"> </w:t>
      </w:r>
      <w:r>
        <w:rPr>
          <w:b/>
          <w:bCs/>
        </w:rPr>
        <w:t xml:space="preserve">dentro la seduta</w:t>
      </w:r>
      <w:r>
        <w:t xml:space="preserve">, la via è analgesica — ipoalgesia da terapia manuale, oppure ipoalgesia indotta dal carico stesso, che in adulti sani è misurata con effetti grandi ma che nel dolore cronico varia anche di direzione (Naugle, 2012, PMID 23141188) — perché tolleranza e capacità non si spostano in un’ora. Il guadagno</w:t>
      </w:r>
      <w:r>
        <w:t xml:space="preserve"> </w:t>
      </w:r>
      <w:r>
        <w:rPr>
          <w:b/>
          <w:bCs/>
        </w:rPr>
        <w:t xml:space="preserve">capacitivo</w:t>
      </w:r>
      <w:r>
        <w:t xml:space="preserve"> </w:t>
      </w:r>
      <w:r>
        <w:t xml:space="preserve">appartiene alle settimane, e si legge sul sintomo e sul carico tollerato a distanza. Confondere le due porta a concludere, dopo tre cicli, che la mano «non funziona».</w:t>
      </w:r>
    </w:p>
    <w:p>
      <w:pPr>
        <w:pStyle w:val="FirstParagraph"/>
      </w:pPr>
      <w:r>
        <w:rPr>
          <w:b/>
          <w:bCs/>
        </w:rPr>
        <w:t xml:space="preserve">Per te:</w:t>
      </w:r>
      <w:r>
        <w:t xml:space="preserve"> </w:t>
      </w:r>
      <w:r>
        <w:t xml:space="preserve">le prime sei settimane sono la finestra in cui il pacchetto ha battuto l’attesa, e sono anche quelle in cui il paziente decide se il percorso funziona. Occupale. Non è un dato sulla mano da sola — nello studio l’esercizio c’era sempre — e a 52 settimane la differenza rispetto all’attesa non c’era più.</w:t>
      </w:r>
    </w:p>
    <w:p>
      <w:pPr>
        <w:pStyle w:val="BodyText"/>
      </w:pPr>
      <w:r>
        <w:rPr>
          <w:b/>
          <w:bCs/>
        </w:rPr>
        <w:t xml:space="preserve">Sul secondo meccanismo — il tessuto che è cambiato.</w:t>
      </w:r>
      <w:r>
        <w:t xml:space="preserve"> </w:t>
      </w:r>
      <w:r>
        <w:t xml:space="preserve">Su cosa può agire una mano: su niente, direttamente. Il razionale è indiretto: rendere tollerabile il carico che riorganizza la matrice.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struttura tendinea prima e dopo trattamento manuale. E qui c’è una prova che va nella direzione contraria all’aspettativa: anche l’esercizio, che funziona, non produce il miglioramento attraverso il cambiamento strutturale visibile (Drew, 2014, PMID 23118117).</w:t>
      </w:r>
      <w:r>
        <w:t xml:space="preserve"> </w:t>
      </w:r>
      <w:r>
        <w:rPr>
          <w:b/>
          <w:bCs/>
        </w:rPr>
        <w:t xml:space="preserve">In quanto tempo si vedrebbe:</w:t>
      </w:r>
      <w:r>
        <w:t xml:space="preserve"> </w:t>
      </w:r>
      <w:r>
        <w:t xml:space="preserve">su niente, dentro la seduta. Se pensi di avere cambiato la struttura in un’ora, hai cambiato altro.</w:t>
      </w:r>
    </w:p>
    <w:p>
      <w:pPr>
        <w:pStyle w:val="FirstParagraph"/>
      </w:pPr>
      <w:r>
        <w:rPr>
          <w:b/>
          <w:bCs/>
        </w:rPr>
        <w:t xml:space="preserve">Sul terzo meccanismo — il sistema del dolore allargato.</w:t>
      </w:r>
      <w:r>
        <w:t xml:space="preserve"> </w:t>
      </w:r>
      <w:r>
        <w:t xml:space="preserve">Su cosa può agire una mano: sulla modulazione del dolore, per via del contatto e del movimento passivo. L’effetto atteso è un innalzamento della soglia, misurabile subito.</w:t>
      </w:r>
    </w:p>
    <w:p>
      <w:pPr>
        <w:pStyle w:val="BodyText"/>
      </w:pPr>
      <w:r>
        <w:rPr>
          <w:b/>
          <w:bCs/>
        </w:rPr>
        <w:t xml:space="preserve">Dove sono state messe le mani, negli studi che lo dimostrano:</w:t>
      </w:r>
      <w:r>
        <w:t xml:space="preserve"> </w:t>
      </w:r>
      <w:r>
        <w:t xml:space="preserve">sul</w:t>
      </w:r>
      <w:r>
        <w:t xml:space="preserve"> </w:t>
      </w:r>
      <w:r>
        <w:rPr>
          <w:b/>
          <w:bCs/>
        </w:rPr>
        <w:t xml:space="preserve">rachide cervicale</w:t>
      </w:r>
      <w:r>
        <w:t xml:space="preserve"> </w:t>
      </w:r>
      <w:r>
        <w:t xml:space="preserve">in pazienti con dolore al gomito, e sul</w:t>
      </w:r>
      <w:r>
        <w:t xml:space="preserve"> </w:t>
      </w:r>
      <w:r>
        <w:rPr>
          <w:b/>
          <w:bCs/>
        </w:rPr>
        <w:t xml:space="preserve">gomito</w:t>
      </w:r>
      <w:r>
        <w:t xml:space="preserve"> </w:t>
      </w:r>
      <w:r>
        <w:t xml:space="preserve">con la mobilizzazione con movimento. È la sede della tecnica, non un dettaglio, e la cervicale ha un profilo di rischio proprio, dichiarato nel modello Neurologico.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l’ipoalgesia immediata</w:t>
      </w:r>
      <w:r>
        <w:t xml:space="preserve"> </w:t>
      </w:r>
      <w:r>
        <w:rPr>
          <w:b/>
          <w:bCs/>
        </w:rPr>
        <w:t xml:space="preserve">nell’epicondilalgia laterale</w:t>
      </w:r>
      <w:r>
        <w:t xml:space="preserve">, contro placebo e controllo, in due disegni dello stesso gruppo (Vicenzino, PMID 9252000, n=15; PMID 9777544, n=24) e in una meta-analisi indipendente con effetti piccoli (Lucado, 2019, PMID 29705077).</w:t>
      </w:r>
      <w:r>
        <w:t xml:space="preserve"> </w:t>
      </w:r>
      <w:r>
        <w:rPr>
          <w:b/>
          <w:bCs/>
        </w:rPr>
        <w:t xml:space="preserve">Il salto è di sede:</w:t>
      </w:r>
      <w:r>
        <w:t xml:space="preserve"> </w:t>
      </w:r>
      <w:r>
        <w:t xml:space="preserve">fuori dal gomito porta</w:t>
      </w:r>
      <w:r>
        <w:t xml:space="preserve"> </w:t>
      </w:r>
      <w:r>
        <w:rPr>
          <w:b/>
          <w:bCs/>
        </w:rPr>
        <w:t xml:space="preserve">PROBABILE</w:t>
      </w:r>
      <w:r>
        <w:t xml:space="preserve">.</w:t>
      </w:r>
      <w:r>
        <w:t xml:space="preserve"> </w:t>
      </w:r>
      <w:r>
        <w:rPr>
          <w:b/>
          <w:bCs/>
        </w:rPr>
        <w:t xml:space="preserve">IPOTESI</w:t>
      </w:r>
      <w:r>
        <w:t xml:space="preserve"> </w:t>
      </w:r>
      <w:r>
        <w:rPr>
          <w:i/>
          <w:iCs/>
        </w:rPr>
        <w:t xml:space="preserve">(meccanismo coerente, nessuno studio)</w:t>
      </w:r>
      <w:r>
        <w:t xml:space="preserve"> </w:t>
      </w:r>
      <w:r>
        <w:t xml:space="preserve">che ripetendola la soglia si sposti in modo durevole.</w:t>
      </w:r>
      <w:r>
        <w:t xml:space="preserve"> </w:t>
      </w:r>
      <w:r>
        <w:rPr>
          <w:b/>
          <w:bCs/>
        </w:rPr>
        <w:t xml:space="preserve">In quanto tempo si vedrebbe:</w:t>
      </w:r>
      <w:r>
        <w:t xml:space="preserve"> </w:t>
      </w:r>
      <w:r>
        <w:t xml:space="preserve">entro la seduta, e dura</w:t>
      </w:r>
      <w:r>
        <w:t xml:space="preserve"> </w:t>
      </w:r>
      <w:r>
        <w:rPr>
          <w:b/>
          <w:bCs/>
        </w:rPr>
        <w:t xml:space="preserve">minuti</w:t>
      </w:r>
      <w:r>
        <w:t xml:space="preserve"> </w:t>
      </w:r>
      <w:r>
        <w:t xml:space="preserve">— si spende lì, non si promette per casa. E arriva con un</w:t>
      </w:r>
      <w:r>
        <w:t xml:space="preserve"> </w:t>
      </w:r>
      <w:r>
        <w:rPr>
          <w:b/>
          <w:bCs/>
        </w:rPr>
        <w:t xml:space="preserve">aumento</w:t>
      </w:r>
      <w:r>
        <w:t xml:space="preserve"> </w:t>
      </w:r>
      <w:r>
        <w:t xml:space="preserve">dell’attività simpatica, non con un rilassamento.</w:t>
      </w:r>
    </w:p>
    <w:p>
      <w:pPr>
        <w:pStyle w:val="FirstParagraph"/>
      </w:pPr>
      <w:r>
        <w:rPr>
          <w:b/>
          <w:bCs/>
        </w:rPr>
        <w:t xml:space="preserve">Sul quarto meccanismo — la zona scaricata.</w:t>
      </w:r>
      <w:r>
        <w:t xml:space="preserve"> </w:t>
      </w:r>
      <w:r>
        <w:t xml:space="preserve">Su cosa può agire una mano: sulla paura del carico, che si tratta con il contatto e con il tempo prima che con le parole, e sul dolore che rende il carico intollerabile oggi. L’effetto atteso non è sul tessuto: è che il paziente esegua il carico.</w:t>
      </w:r>
    </w:p>
    <w:p>
      <w:pPr>
        <w:pStyle w:val="BodyText"/>
      </w:pPr>
      <w:r>
        <w:rPr>
          <w:b/>
          <w:bCs/>
        </w:rPr>
        <w:t xml:space="preserve">E il bersaglio va nominato con precisione.</w:t>
      </w:r>
      <w:r>
        <w:t xml:space="preserve"> </w:t>
      </w:r>
      <w:r>
        <w:t xml:space="preserve">La chinesiofobia misurata con gli strumenti validati</w:t>
      </w:r>
      <w:r>
        <w:t xml:space="preserve"> </w:t>
      </w:r>
      <w:r>
        <w:rPr>
          <w:b/>
          <w:bCs/>
        </w:rPr>
        <w:t xml:space="preserve">non</w:t>
      </w:r>
      <w:r>
        <w:t xml:space="preserve"> </w:t>
      </w:r>
      <w:r>
        <w:t xml:space="preserve">distingue chi ha una tendinopatia da chi non ce l’ha. Quello che distingue è la catastrofizzazione, e all’arto inferiore i punteggi di ansia e depressione (Mest, 2025, PMID 41308022). La leva resta, e smette di poggiare sul costrutto sbagliato.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nessuno ha misurato l’effetto del trattamento manuale sull’aderenza a un programma di carico. Il pezzo dimostrato è il carico, non la mano che lo rende possibile. Quello che è misurato, e su altre popolazioni, è che l’alleanza terapeutica predice aderenza ed esito nella riabilitazione (Ferreira, 2013, PMID 23139428; Hall, 2010, PMID 20576715): alza l’etichetta del</w:t>
      </w:r>
      <w:r>
        <w:t xml:space="preserve"> </w:t>
      </w:r>
      <w:r>
        <w:rPr>
          <w:b/>
          <w:bCs/>
        </w:rPr>
        <w:t xml:space="preserve">meccanismo</w:t>
      </w:r>
      <w:r>
        <w:t xml:space="preserve">, non quella di questa leva.</w:t>
      </w:r>
      <w:r>
        <w:t xml:space="preserve"> </w:t>
      </w:r>
      <w:r>
        <w:rPr>
          <w:b/>
          <w:bCs/>
        </w:rPr>
        <w:t xml:space="preserve">In quanto tempo si vedrebbe:</w:t>
      </w:r>
      <w:r>
        <w:t xml:space="preserve"> </w:t>
      </w:r>
      <w:r>
        <w:t xml:space="preserve">non su un marker, ma sul comportamento — alla seduta successiva, dal carico che il paziente ha effettivamente fatto.</w:t>
      </w:r>
    </w:p>
    <w:p>
      <w:pPr>
        <w:pStyle w:val="FirstParagraph"/>
      </w:pPr>
      <w:r>
        <w:rPr>
          <w:b/>
          <w:bCs/>
        </w:rPr>
        <w:t xml:space="preserve">Sul quinto meccanismo — il carico che arriva da un’altra articolazione.</w:t>
      </w:r>
      <w:r>
        <w:t xml:space="preserve"> </w:t>
      </w:r>
      <w:r>
        <w:t xml:space="preserve">Su cosa può agire una mano: sulla corsa articolare adiacente e sulla posizione di fine corsa, che decide quanta compressione riceve l’entesi. L’effetto atteso è uno spostamento del punto della corsa in cui compare il sintomo.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il carico sul tendine prima e dopo un intervento manuale sull’articolazione vicina, e le alterazioni biomeccaniche osservate in questi pazienti sono in gran parte trasversali e in parte discordanti (Quarmby, 2023, PMID 36685067).</w:t>
      </w:r>
      <w:r>
        <w:t xml:space="preserve"> </w:t>
      </w:r>
      <w:r>
        <w:rPr>
          <w:b/>
          <w:bCs/>
        </w:rPr>
        <w:t xml:space="preserve">In quanto tempo si vedrebbe:</w:t>
      </w:r>
      <w:r>
        <w:t xml:space="preserve"> </w:t>
      </w:r>
      <w:r>
        <w:t xml:space="preserve">entro la seduta, sul punto della corsa in cui compare il sintomo.</w:t>
      </w:r>
      <w:r>
        <w:t xml:space="preserve"> </w:t>
      </w:r>
      <w:r>
        <w:rPr>
          <w:b/>
          <w:bCs/>
        </w:rPr>
        <w:t xml:space="preserve">E se dopo due o tre sedute quel punto non si è mosso, l’ipotesi cade.</w:t>
      </w:r>
      <w:r>
        <w:t xml:space="preserve"> </w:t>
      </w:r>
      <w:r>
        <w:t xml:space="preserve">È la leva su cui poggia il nostro ragionamento: se non le dai una latenza dichiarata, non è falsificabile, ed è l’unica del capitolo che potrebbe restare in piedi per sempre senza mai dimostrare niente.</w:t>
      </w:r>
    </w:p>
    <w:p>
      <w:pPr>
        <w:pStyle w:val="BlockText"/>
      </w:pPr>
      <w:r>
        <w:rPr>
          <w:b/>
          <w:bCs/>
        </w:rPr>
        <w:t xml:space="preserve">Attenzione.</w:t>
      </w:r>
      <w:r>
        <w:t xml:space="preserve"> </w:t>
      </w:r>
      <w:r>
        <w:t xml:space="preserve">Il rischio</w:t>
      </w:r>
      <w:r>
        <w:t xml:space="preserve"> </w:t>
      </w:r>
      <w:r>
        <w:rPr>
          <w:b/>
          <w:bCs/>
        </w:rPr>
        <w:t xml:space="preserve">prevalente</w:t>
      </w:r>
      <w:r>
        <w:t xml:space="preserve"> </w:t>
      </w:r>
      <w:r>
        <w:t xml:space="preserve">è nel carico che programmi. Cinque tendini non tollerano la stessa progressione, e la differenza non si palpa: uno reattivo recente, uno reattivo su degenerativo, uno in finestra da chinolone, uno infiltrato di recente sulla stessa sede, uno con lesione parziale. Lo stesso vale per il paziente nefropatico, dializzato, trapiantato, gottoso o con artrite reumatoide: lì il tetto lo decide la comorbilità. Come si dosa è Procedura. Qui devi sapere che quella dose porta il rischio, e che la storia farmacologica va raccolta</w:t>
      </w:r>
      <w:r>
        <w:t xml:space="preserve"> </w:t>
      </w:r>
      <w:r>
        <w:rPr>
          <w:b/>
          <w:bCs/>
        </w:rPr>
        <w:t xml:space="preserve">prima</w:t>
      </w:r>
      <w:r>
        <w:t xml:space="preserve"> </w:t>
      </w:r>
      <w:r>
        <w:t xml:space="preserve">di iniziare.</w:t>
      </w:r>
    </w:p>
    <w:p>
      <w:pPr>
        <w:pStyle w:val="BlockText"/>
      </w:pPr>
      <w:r>
        <w:rPr>
          <w:b/>
          <w:bCs/>
        </w:rPr>
        <w:t xml:space="preserve">Ma non è l’unico rischio: la frase «non conta la zona che tocchi» è falsa in questo stesso documento.</w:t>
      </w:r>
      <w:r>
        <w:t xml:space="preserve"> </w:t>
      </w:r>
      <w:r>
        <w:t xml:space="preserve">Le leve che qui nomini toccano il</w:t>
      </w:r>
      <w:r>
        <w:t xml:space="preserve"> </w:t>
      </w:r>
      <w:r>
        <w:rPr>
          <w:b/>
          <w:bCs/>
        </w:rPr>
        <w:t xml:space="preserve">rachide cervicale</w:t>
      </w:r>
      <w:r>
        <w:t xml:space="preserve"> </w:t>
      </w:r>
      <w:r>
        <w:t xml:space="preserve">e il</w:t>
      </w:r>
      <w:r>
        <w:t xml:space="preserve"> </w:t>
      </w:r>
      <w:r>
        <w:rPr>
          <w:b/>
          <w:bCs/>
        </w:rPr>
        <w:t xml:space="preserve">torace</w:t>
      </w:r>
      <w:r>
        <w:t xml:space="preserve">, che hanno un profilo di rischio proprio. Per la cervicale vedi il box del modello Neurologico. Sul torace il collegamento è questo:</w:t>
      </w:r>
      <w:r>
        <w:t xml:space="preserve"> </w:t>
      </w:r>
      <w:r>
        <w:rPr>
          <w:b/>
          <w:bCs/>
        </w:rPr>
        <w:t xml:space="preserve">il cortisone prolungato che registri per il tendine è la causa più comune di osteoporosi secondaria</w:t>
      </w:r>
      <w:r>
        <w:t xml:space="preserve">, e gli unici eventi avversi gravi documentati dopo manipolazione toracica sono fratture costali. In entrambi i casi descritti si trattava di donne oltre i 60 anni con osteoporosi nota. L’evento è raro, nell’ordine di 0,2 per 100.000 sedute, e va nominato come raro. Il punto non è l’incidenza: è che il dato che identifica il paziente a rischio ce l’hai già in cartella.</w:t>
      </w:r>
    </w:p>
    <w:bookmarkStart w:id="59" w:name="X313a9305afc17cefd332a43187892ca69ddea55"/>
    <w:p>
      <w:pPr>
        <w:pStyle w:val="Heading3"/>
      </w:pPr>
      <w:r>
        <w:t xml:space="preserve">Cosa fa l’osteopata che il resto del percorso non fa</w:t>
      </w:r>
    </w:p>
    <w:p>
      <w:pPr>
        <w:pStyle w:val="FirstParagraph"/>
      </w:pPr>
      <w:r>
        <w:t xml:space="preserve">Tre cose, tutte sui meccanismi, e «Cosa fare adesso» le ricuce.</w:t>
      </w:r>
    </w:p>
    <w:p>
      <w:pPr>
        <w:pStyle w:val="Compact"/>
        <w:numPr>
          <w:ilvl w:val="0"/>
          <w:numId w:val="1035"/>
        </w:numPr>
      </w:pPr>
      <w:r>
        <w:rPr>
          <w:b/>
          <w:bCs/>
        </w:rPr>
        <w:t xml:space="preserve">Misura il carico invece di parlarne</w:t>
      </w:r>
      <w:r>
        <w:t xml:space="preserve">, e lo scrive.</w:t>
      </w:r>
    </w:p>
    <w:p>
      <w:pPr>
        <w:pStyle w:val="Compact"/>
        <w:numPr>
          <w:ilvl w:val="0"/>
          <w:numId w:val="1035"/>
        </w:numPr>
      </w:pPr>
      <w:r>
        <w:rPr>
          <w:b/>
          <w:bCs/>
        </w:rPr>
        <w:t xml:space="preserve">Guarda la corsa dell’articolazione vicina:</w:t>
      </w:r>
      <w:r>
        <w:t xml:space="preserve"> </w:t>
      </w:r>
      <w:r>
        <w:t xml:space="preserve">si misura in trenta secondi e si muove nella stessa seduta.</w:t>
      </w:r>
    </w:p>
    <w:p>
      <w:pPr>
        <w:pStyle w:val="Compact"/>
        <w:numPr>
          <w:ilvl w:val="0"/>
          <w:numId w:val="1035"/>
        </w:numPr>
      </w:pPr>
      <w:r>
        <w:rPr>
          <w:b/>
          <w:bCs/>
        </w:rPr>
        <w:t xml:space="preserve">Tiene insieme il carico e il livello di attivazione</w:t>
      </w:r>
      <w:r>
        <w:t xml:space="preserve">, che nessun altro punto del percorso guarda insieme.</w:t>
      </w:r>
    </w:p>
    <w:p>
      <w:pPr>
        <w:pStyle w:val="FirstParagraph"/>
      </w:pPr>
      <w:r>
        <w:t xml:space="preserve">Il</w:t>
      </w:r>
      <w:r>
        <w:t xml:space="preserve"> </w:t>
      </w:r>
      <w:r>
        <w:rPr>
          <w:b/>
          <w:bCs/>
        </w:rPr>
        <w:t xml:space="preserve">come si fa</w:t>
      </w:r>
      <w:r>
        <w:t xml:space="preserve"> </w:t>
      </w:r>
      <w:r>
        <w:t xml:space="preserve">sta nella Procedura delle Tendiniti: due pagine, tecniche, dosi e piano delle sedute.</w:t>
      </w:r>
    </w:p>
    <w:p>
      <w:pPr>
        <w:pStyle w:val="BodyText"/>
      </w:pPr>
      <w:r>
        <w:rPr>
          <w:b/>
          <w:bCs/>
        </w:rPr>
        <w:t xml:space="preserve">Le tre cose da ricordare, più una</w:t>
      </w:r>
    </w:p>
    <w:p>
      <w:pPr>
        <w:pStyle w:val="Compact"/>
        <w:numPr>
          <w:ilvl w:val="0"/>
          <w:numId w:val="1036"/>
        </w:numPr>
      </w:pPr>
      <w:r>
        <w:t xml:space="preserve">Le mani rendono possibile il carico; il carico cambia il tendine. Invertire i due ruoli è l’errore che rende inefficace il ciclo.</w:t>
      </w:r>
    </w:p>
    <w:p>
      <w:pPr>
        <w:pStyle w:val="Compact"/>
        <w:numPr>
          <w:ilvl w:val="0"/>
          <w:numId w:val="1036"/>
        </w:numPr>
      </w:pPr>
      <w:r>
        <w:t xml:space="preserve">L’unico effetto dimostrato del gesto manuale su questa condizione è immediato e dura minuti: usalo per aprire la porta dentro la seduta, non per promettere qualcosa a casa.</w:t>
      </w:r>
    </w:p>
    <w:p>
      <w:pPr>
        <w:pStyle w:val="Compact"/>
        <w:numPr>
          <w:ilvl w:val="0"/>
          <w:numId w:val="1036"/>
        </w:numPr>
      </w:pPr>
      <w:r>
        <w:t xml:space="preserve">Il rischio è soprattutto nella dose che programmi. Non solo: cervicale e torace hanno un profilo di rischio proprio, e il cortisone che hai già scritto in cartella per il tendine cambia anche cosa puoi fare sul torace.</w:t>
      </w:r>
    </w:p>
    <w:p>
      <w:pPr>
        <w:pStyle w:val="Compact"/>
        <w:numPr>
          <w:ilvl w:val="0"/>
          <w:numId w:val="1036"/>
        </w:numPr>
      </w:pPr>
      <w:r>
        <w:rPr>
          <w:b/>
          <w:bCs/>
        </w:rPr>
        <w:t xml:space="preserve">Perché ci sei tu.</w:t>
      </w:r>
      <w:r>
        <w:t xml:space="preserve"> </w:t>
      </w:r>
      <w:r>
        <w:t xml:space="preserve">Su 198 pazienti con epicondilalgia, il pacchetto di</w:t>
      </w:r>
      <w:r>
        <w:t xml:space="preserve"> </w:t>
      </w:r>
      <w:r>
        <w:rPr>
          <w:b/>
          <w:bCs/>
        </w:rPr>
        <w:t xml:space="preserve">mobilizzazione con movimento del gomito</w:t>
      </w:r>
      <w:r>
        <w:t xml:space="preserve"> </w:t>
      </w:r>
      <w:r>
        <w:t xml:space="preserve">ed esercizio è stato superiore all’attesa nelle prime sei settimane. I pazienti che l’avevano ricevuto hanno cercato meno trattamenti aggiuntivi e meno antinfiammatori (Bisset,</w:t>
      </w:r>
      <w:r>
        <w:t xml:space="preserve"> </w:t>
      </w:r>
      <w:r>
        <w:rPr>
          <w:i/>
          <w:iCs/>
        </w:rPr>
        <w:t xml:space="preserve">BMJ</w:t>
      </w:r>
      <w:r>
        <w:t xml:space="preserve">, 2006, PMID 17012266). Questo ti autorizza a occupare le prime sei settimane, che sono quelle in cui il paziente decide se il percorso funziona.</w:t>
      </w:r>
      <w:r>
        <w:t xml:space="preserve"> </w:t>
      </w:r>
      <w:r>
        <w:rPr>
          <w:b/>
          <w:bCs/>
        </w:rPr>
        <w:t xml:space="preserve">E ti restringe due volte:</w:t>
      </w:r>
      <w:r>
        <w:t xml:space="preserve"> </w:t>
      </w:r>
      <w:r>
        <w:t xml:space="preserve">l’effetto è del pacchetto con l’esercizio, non della mano isolata; e a 52 settimane la differenza rispetto all’attesa non c’era più.</w:t>
      </w:r>
    </w:p>
    <w:p>
      <w:r>
        <w:pict>
          <v:rect style="width:0;height:1.5pt" o:hralign="center" o:hrstd="t" o:hr="t"/>
        </w:pict>
      </w:r>
    </w:p>
    <w:bookmarkEnd w:id="59"/>
    <w:bookmarkEnd w:id="60"/>
    <w:bookmarkStart w:id="64"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questo capitolo esiste perché su questa condizione la leva con le prove migliori dell’intero documento è quella che il paziente esegue senza di te.</w:t>
      </w:r>
    </w:p>
    <w:p>
      <w:pPr>
        <w:pStyle w:val="FirstParagraph"/>
      </w:pPr>
      <w:r>
        <w:t xml:space="preserve">Tre strumenti reggono la condizione di attivazione del capitolo.</w:t>
      </w:r>
    </w:p>
    <w:bookmarkStart w:id="61" w:name="il-carico-progressivo"/>
    <w:p>
      <w:pPr>
        <w:pStyle w:val="Heading3"/>
      </w:pPr>
      <w:r>
        <w:t xml:space="preserve">1. Il carico progressivo</w:t>
      </w:r>
    </w:p>
    <w:p>
      <w:pPr>
        <w:pStyle w:val="FirstParagraph"/>
      </w:pPr>
      <w:r>
        <w:rPr>
          <w:b/>
          <w:bCs/>
        </w:rPr>
        <w:t xml:space="preserve">Cos’è.</w:t>
      </w:r>
      <w:r>
        <w:t xml:space="preserve"> </w:t>
      </w:r>
      <w:r>
        <w:t xml:space="preserve">Un programma in cui il paziente carica il tendine in modo graduale e misurato, invece di aspettare che il dolore passi.</w:t>
      </w:r>
      <w:r>
        <w:t xml:space="preserve"> </w:t>
      </w:r>
      <w:r>
        <w:rPr>
          <w:b/>
          <w:bCs/>
        </w:rPr>
        <w:t xml:space="preserve">Agisce sul meccanismo del carico oltre la capacità</w:t>
      </w:r>
      <w:r>
        <w:t xml:space="preserve">, alzando la capacità invece di abbassare la richiesta.</w:t>
      </w:r>
      <w:r>
        <w:t xml:space="preserve"> </w:t>
      </w:r>
      <w:r>
        <w:rPr>
          <w:b/>
          <w:bCs/>
        </w:rPr>
        <w:t xml:space="preserve">E agisce sulla zona che ha smesso di essere caricata</w:t>
      </w:r>
      <w:r>
        <w:t xml:space="preserve">, quella che il riposo produce.</w:t>
      </w:r>
    </w:p>
    <w:p>
      <w:pPr>
        <w:pStyle w:val="BodyText"/>
      </w:pPr>
      <w:r>
        <w:rPr>
          <w:b/>
          <w:bCs/>
        </w:rPr>
        <w:t xml:space="preserve">Cosa hanno misurato gli studi.</w:t>
      </w:r>
      <w:r>
        <w:t xml:space="preserve"> </w:t>
      </w:r>
      <w:r>
        <w:t xml:space="preserve">Il confronto che conta di più è quello con un braccio</w:t>
      </w:r>
      <w:r>
        <w:t xml:space="preserve"> </w:t>
      </w:r>
      <w:r>
        <w:rPr>
          <w:b/>
          <w:bCs/>
        </w:rPr>
        <w:t xml:space="preserve">non caricato</w:t>
      </w:r>
      <w:r>
        <w:t xml:space="preserve">, l’unico che separa il carico dalla storia naturale. 75 pazienti con achilleo medio-portale cronico e refrattario da oltre sei mesi sono stati randomizzati a carico eccentrico, onde d’urto o attesa. A quattro mesi il VISA-A — il questionario validato di sintomi e funzione dell’achilleo — è passato da 51 a 76 nel gruppo eccentrico e da 48 a 55 in quello in attesa. I guariti o molto migliorati erano 15 su 25 contro 6 su 25 (Rompe,</w:t>
      </w:r>
      <w:r>
        <w:t xml:space="preserve"> </w:t>
      </w:r>
      <w:r>
        <w:rPr>
          <w:i/>
          <w:iCs/>
        </w:rPr>
        <w:t xml:space="preserve">Am J Sports Med</w:t>
      </w:r>
      <w:r>
        <w:t xml:space="preserve">, 2007, PMID 17244902). Nello stesso studio le onde d’urto hanno eguagliato il carico — 13 su 25 — e quel risultato qualifica come</w:t>
      </w:r>
      <w:r>
        <w:t xml:space="preserve"> </w:t>
      </w:r>
      <w:r>
        <w:rPr>
          <w:b/>
          <w:bCs/>
        </w:rPr>
        <w:t xml:space="preserve">rotulea</w:t>
      </w:r>
      <w:r>
        <w:t xml:space="preserve"> </w:t>
      </w:r>
      <w:r>
        <w:t xml:space="preserve">la riga che questo documento scrive sulle onde d’urto.</w:t>
      </w:r>
    </w:p>
    <w:p>
      <w:pPr>
        <w:pStyle w:val="BodyText"/>
      </w:pPr>
      <w:r>
        <w:rPr>
          <w:b/>
          <w:bCs/>
        </w:rPr>
        <w:t xml:space="preserve">Per te:</w:t>
      </w:r>
      <w:r>
        <w:t xml:space="preserve"> </w:t>
      </w:r>
      <w:r>
        <w:t xml:space="preserve">il confronto che conta qui non è fra due esercizi. È contro il</w:t>
      </w:r>
      <w:r>
        <w:t xml:space="preserve"> </w:t>
      </w:r>
      <w:r>
        <w:rPr>
          <w:b/>
          <w:bCs/>
        </w:rPr>
        <w:t xml:space="preserve">non fare niente</w:t>
      </w:r>
      <w:r>
        <w:t xml:space="preserve">: 15 su 25 contro 6 su 25 a quattro mesi. È il numero che ti autorizza a mettere il carico prima di tutto il resto nel ciclo, e a dirlo al paziente alla prima seduta. Non è una promessa per lui: erano achillei medio-portali cronici da oltre sei mesi, in un solo studio.</w:t>
      </w:r>
    </w:p>
    <w:p>
      <w:pPr>
        <w:pStyle w:val="BodyText"/>
      </w:pPr>
      <w:r>
        <w:t xml:space="preserve">I confronti fra programmi dicono un’altra cosa. 58 pazienti achillei sono stati randomizzati a dodici settimane di eccentrico o di carico lento pesante. Entrambi i gruppi sono migliorati e hanno mantenuto il risultato a 52 settimane:</w:t>
      </w:r>
      <w:r>
        <w:t xml:space="preserve"> </w:t>
      </w:r>
      <w:r>
        <w:rPr>
          <w:b/>
          <w:bCs/>
        </w:rPr>
        <w:t xml:space="preserve">nessuna differenza</w:t>
      </w:r>
      <w:r>
        <w:t xml:space="preserve">. Ma l’aderenza è stata del 92% con il carico lento pesante contro il 78% con l’eccentrico (Beyer,</w:t>
      </w:r>
      <w:r>
        <w:t xml:space="preserve"> </w:t>
      </w:r>
      <w:r>
        <w:rPr>
          <w:i/>
          <w:iCs/>
        </w:rPr>
        <w:t xml:space="preserve">Am J Sports Med</w:t>
      </w:r>
      <w:r>
        <w:t xml:space="preserve">, 2015, PMID 26018970).</w:t>
      </w:r>
    </w:p>
    <w:p>
      <w:pPr>
        <w:pStyle w:val="BodyText"/>
      </w:pPr>
      <w:r>
        <w:t xml:space="preserve">Un secondo confronto fra programmi dice la stessa cosa: nessuna differenza a un anno fra eccentrico e combinato, su 40 atleti ricreativi (Habets, 2021, PMID 34722783). Il regime eccentrico che entrambi usano come riferimento nasce da una serie prospettica del 1998, non randomizzata (Alfredson,</w:t>
      </w:r>
      <w:r>
        <w:t xml:space="preserve"> </w:t>
      </w:r>
      <w:r>
        <w:rPr>
          <w:i/>
          <w:iCs/>
        </w:rPr>
        <w:t xml:space="preserve">Am J Sports Med</w:t>
      </w:r>
      <w:r>
        <w:t xml:space="preserve">, 1998, PMID 9617396). È l’origine storica dello strumento, non la sua prova.</w:t>
      </w:r>
    </w:p>
    <w:p>
      <w:pPr>
        <w:pStyle w:val="BodyText"/>
      </w:pPr>
      <w:r>
        <w:t xml:space="preserve">E una cosa sulla</w:t>
      </w:r>
      <w:r>
        <w:t xml:space="preserve"> </w:t>
      </w:r>
      <w:r>
        <w:rPr>
          <w:b/>
          <w:bCs/>
        </w:rPr>
        <w:t xml:space="preserve">dose</w:t>
      </w:r>
      <w:r>
        <w:t xml:space="preserve">, che è il messaggio più operativo del documento e che ora poggia sui pazienti. Il dato viene da 110 studi, 148 bracci e 3.953 partecipanti in cinque sedi. Gli effetti medi sono stati maggiori con</w:t>
      </w:r>
      <w:r>
        <w:t xml:space="preserve"> </w:t>
      </w:r>
      <w:r>
        <w:rPr>
          <w:b/>
          <w:bCs/>
        </w:rPr>
        <w:t xml:space="preserve">intensità più alta</w:t>
      </w:r>
      <w:r>
        <w:t xml:space="preserve">, cioè con resistenza esterna aggiunta rispetto al solo peso corporeo, e con</w:t>
      </w:r>
      <w:r>
        <w:t xml:space="preserve"> </w:t>
      </w:r>
      <w:r>
        <w:rPr>
          <w:b/>
          <w:bCs/>
        </w:rPr>
        <w:t xml:space="preserve">frequenza più bassa</w:t>
      </w:r>
      <w:r>
        <w:t xml:space="preserve">. Il volume non mostra associazioni costanti (Pavlova,</w:t>
      </w:r>
      <w:r>
        <w:t xml:space="preserve"> </w:t>
      </w:r>
      <w:r>
        <w:rPr>
          <w:i/>
          <w:iCs/>
        </w:rPr>
        <w:t xml:space="preserve">BJSM</w:t>
      </w:r>
      <w:r>
        <w:t xml:space="preserve">, 2023, PMID 37169370).</w:t>
      </w:r>
    </w:p>
    <w:p>
      <w:pPr>
        <w:pStyle w:val="BodyText"/>
      </w:pPr>
      <w:r>
        <w:rPr>
          <w:b/>
          <w:bCs/>
        </w:rPr>
        <w:t xml:space="preserve">Per te:</w:t>
      </w:r>
      <w:r>
        <w:t xml:space="preserve"> </w:t>
      </w:r>
      <w:r>
        <w:t xml:space="preserve">scegli il programma sull’aderenza, non sull’efficacia: come per la dieta, quella migliore è quella che si riesce a seguire. Stesso risultato clinico, quattordici punti di aderenza di differenza: la domanda alla prima seduta diventa «quanti minuti hai davvero», non «qual è l’esercizio migliore». E la variabile che ha mosso l’effetto negli studi è l’</w:t>
      </w:r>
      <w:r>
        <w:rPr>
          <w:b/>
          <w:bCs/>
        </w:rPr>
        <w:t xml:space="preserve">intensità</w:t>
      </w:r>
      <w:r>
        <w:t xml:space="preserve">, non il volume né una frequenza alta: sposta la conversazione dal numero di ripetizioni al peso. Nessuno dei due dati ti autorizza a dichiarare superiore un programma — sul risultato erano equivalenti — e il moderatore misurato su 110 studi non è una dose da consegnare: quella è Procedura.</w:t>
      </w:r>
    </w:p>
    <w:p>
      <w:pPr>
        <w:pStyle w:val="BlockText"/>
      </w:pPr>
      <w:r>
        <w:rPr>
          <w:b/>
          <w:bCs/>
        </w:rPr>
        <w:t xml:space="preserve">Quanto è solido:</w:t>
      </w:r>
      <w:r>
        <w:t xml:space="preserve"> </w:t>
      </w:r>
      <w:r>
        <w:t xml:space="preserve">l’etichetta si spezza</w:t>
      </w:r>
      <w:r>
        <w:t xml:space="preserve"> </w:t>
      </w:r>
      <w:r>
        <w:rPr>
          <w:b/>
          <w:bCs/>
        </w:rPr>
        <w:t xml:space="preserve">per sede</w:t>
      </w:r>
      <w:r>
        <w:t xml:space="preserve">.</w:t>
      </w:r>
      <w:r>
        <w:t xml:space="preserve"> </w:t>
      </w:r>
      <w:r>
        <w:rPr>
          <w:b/>
          <w:bCs/>
        </w:rPr>
        <w:t xml:space="preserve">DIMOSTRATO</w:t>
      </w:r>
      <w:r>
        <w:t xml:space="preserve"> </w:t>
      </w:r>
      <w:r>
        <w:rPr>
          <w:i/>
          <w:iCs/>
        </w:rPr>
        <w:t xml:space="preserve">(studi sull’uomo, solidi)</w:t>
      </w:r>
      <w:r>
        <w:t xml:space="preserve"> </w:t>
      </w:r>
      <w:r>
        <w:t xml:space="preserve">all’achilleo, alla rotula e all’anca — randomizzato contro attesa (Rompe, 2007) e network meta-analysis di 29 studi in cui ogni trattamento attivo batte l’attesa a tre mesi,</w:t>
      </w:r>
      <w:r>
        <w:t xml:space="preserve"> </w:t>
      </w:r>
      <w:r>
        <w:rPr>
          <w:b/>
          <w:bCs/>
        </w:rPr>
        <w:t xml:space="preserve">con certezza da molto bassa a bassa</w:t>
      </w:r>
      <w:r>
        <w:t xml:space="preserve"> </w:t>
      </w:r>
      <w:r>
        <w:t xml:space="preserve">(van der Vlist, 2021, PMID 32522732).</w:t>
      </w:r>
      <w:r>
        <w:t xml:space="preserve"> </w:t>
      </w:r>
      <w:r>
        <w:rPr>
          <w:b/>
          <w:bCs/>
        </w:rPr>
        <w:t xml:space="preserve">PROBABILE</w:t>
      </w:r>
      <w:r>
        <w:t xml:space="preserve"> </w:t>
      </w:r>
      <w:r>
        <w:rPr>
          <w:i/>
          <w:iCs/>
        </w:rPr>
        <w:t xml:space="preserve">(razionale forte, prove parziali)</w:t>
      </w:r>
      <w:r>
        <w:t xml:space="preserve"> </w:t>
      </w:r>
      <w:r>
        <w:rPr>
          <w:b/>
          <w:bCs/>
        </w:rPr>
        <w:t xml:space="preserve">al gomito</w:t>
      </w:r>
      <w:r>
        <w:t xml:space="preserve">, che è la sede del paziente di «Chi ti trova davanti»: lì l’esercizio supera gli interventi passivi, ma con certezza bassa e</w:t>
      </w:r>
      <w:r>
        <w:t xml:space="preserve"> </w:t>
      </w:r>
      <w:r>
        <w:rPr>
          <w:b/>
          <w:bCs/>
        </w:rPr>
        <w:t xml:space="preserve">effetto piccolo</w:t>
      </w:r>
      <w:r>
        <w:t xml:space="preserve"> </w:t>
      </w:r>
      <w:r>
        <w:t xml:space="preserve">(Karanasios,</w:t>
      </w:r>
      <w:r>
        <w:t xml:space="preserve"> </w:t>
      </w:r>
      <w:r>
        <w:rPr>
          <w:i/>
          <w:iCs/>
        </w:rPr>
        <w:t xml:space="preserve">BJSM</w:t>
      </w:r>
      <w:r>
        <w:t xml:space="preserve">, 2021, PMID 33148599, 30 studi, 2.123 partecipanti).</w:t>
      </w:r>
    </w:p>
    <w:p>
      <w:pPr>
        <w:pStyle w:val="FirstParagraph"/>
      </w:pPr>
      <w:r>
        <w:rPr>
          <w:b/>
          <w:bCs/>
        </w:rPr>
        <w:t xml:space="preserve">Cosa non fa, e cosa succede se il paziente smette.</w:t>
      </w:r>
      <w:r>
        <w:t xml:space="preserve"> </w:t>
      </w:r>
      <w:r>
        <w:t xml:space="preserve">Non riporta il tendine all’immagine di prima: il miglioramento non passa dal cambiamento strutturale visibile (Drew, 2014, PMID 23118117). E l’adattamento si perde in fretta, con un numero: quello dello scarico misurato, che sta per esteso con la sua qualificazione di popolazione nel meccanismo della zona che ha smesso di essere caricata, in «Cosa si rompe» (de Boer, 2007, PMID 17656438). È il numero che rende la conversazione sul riposo un fatto invece che una metafora.</w:t>
      </w:r>
    </w:p>
    <w:bookmarkEnd w:id="61"/>
    <w:bookmarkStart w:id="62" w:name="leducazione-alla-gestione-del-carico"/>
    <w:p>
      <w:pPr>
        <w:pStyle w:val="Heading3"/>
      </w:pPr>
      <w:r>
        <w:t xml:space="preserve">2. L’educazione alla gestione del carico</w:t>
      </w:r>
    </w:p>
    <w:p>
      <w:pPr>
        <w:pStyle w:val="FirstParagraph"/>
      </w:pPr>
      <w:r>
        <w:rPr>
          <w:b/>
          <w:bCs/>
        </w:rPr>
        <w:t xml:space="preserve">Cos’è.</w:t>
      </w:r>
      <w:r>
        <w:t xml:space="preserve"> </w:t>
      </w:r>
      <w:r>
        <w:t xml:space="preserve">Insegnare al paziente cosa alza e cosa abbassa il carico sul suo tendine, e come distribuirlo nella settimana, invece di dividerlo fra «riposo» e «tutto come prima».</w:t>
      </w:r>
      <w:r>
        <w:t xml:space="preserve"> </w:t>
      </w:r>
      <w:r>
        <w:rPr>
          <w:b/>
          <w:bCs/>
        </w:rPr>
        <w:t xml:space="preserve">Agisce sul carico oltre la capacità</w:t>
      </w:r>
      <w:r>
        <w:t xml:space="preserve">, riducendo i picchi.</w:t>
      </w:r>
      <w:r>
        <w:t xml:space="preserve"> </w:t>
      </w:r>
      <w:r>
        <w:rPr>
          <w:b/>
          <w:bCs/>
        </w:rPr>
        <w:t xml:space="preserve">E agisce sul carico che arriva da un’altra articolazione</w:t>
      </w:r>
      <w:r>
        <w:t xml:space="preserve">, quando dipende dalla posizione di fine corsa.</w:t>
      </w:r>
    </w:p>
    <w:p>
      <w:pPr>
        <w:pStyle w:val="BodyText"/>
      </w:pPr>
      <w:r>
        <w:rPr>
          <w:b/>
          <w:bCs/>
        </w:rPr>
        <w:t xml:space="preserve">Cosa hanno misurato gli studi.</w:t>
      </w:r>
      <w:r>
        <w:t xml:space="preserve"> </w:t>
      </w:r>
      <w:r>
        <w:t xml:space="preserve">204 persone con tendinopatia glutea confermata alla risonanza hanno ricevuto quattordici sedute in otto settimane di educazione alla gestione del carico più esercizio.</w:t>
      </w:r>
      <w:r>
        <w:t xml:space="preserve"> </w:t>
      </w:r>
      <w:r>
        <w:rPr>
          <w:b/>
          <w:bCs/>
        </w:rPr>
        <w:t xml:space="preserve">A otto settimane</w:t>
      </w:r>
      <w:r>
        <w:t xml:space="preserve"> </w:t>
      </w:r>
      <w:r>
        <w:t xml:space="preserve">il successo dichiarato dal paziente era in 51 casi su 66, contro 38 su 65 dell’infiltrazione e 20 su 68 di chi non riceveva niente.</w:t>
      </w:r>
      <w:r>
        <w:t xml:space="preserve"> </w:t>
      </w:r>
      <w:r>
        <w:rPr>
          <w:b/>
          <w:bCs/>
        </w:rPr>
        <w:t xml:space="preserve">A 52 settimane</w:t>
      </w:r>
      <w:r>
        <w:t xml:space="preserve"> </w:t>
      </w:r>
      <w:r>
        <w:t xml:space="preserve">il vantaggio sull’infiltrazione restava: 51 su 65 contro 36 su 63, con 31 su 60 in chi non aveva ricevuto niente (Mellor,</w:t>
      </w:r>
      <w:r>
        <w:t xml:space="preserve"> </w:t>
      </w:r>
      <w:r>
        <w:rPr>
          <w:i/>
          <w:iCs/>
        </w:rPr>
        <w:t xml:space="preserve">BMJ</w:t>
      </w:r>
      <w:r>
        <w:t xml:space="preserve">, 2018, PMID 29720374). Sono gli stessi pazienti a due tempi diversi, ed è per questo che i denominatori non coincidono: cambia chi era rintracciabile a ciascun controllo.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randomizzato multicentrico, valutatore cieco, 92,6% dei partecipanti seguiti a un anno. Due salti da dichiarare, ed entrambi contano: è di</w:t>
      </w:r>
      <w:r>
        <w:t xml:space="preserve"> </w:t>
      </w:r>
      <w:r>
        <w:rPr>
          <w:b/>
          <w:bCs/>
        </w:rPr>
        <w:t xml:space="preserve">popolazione</w:t>
      </w:r>
      <w:r>
        <w:t xml:space="preserve"> </w:t>
      </w:r>
      <w:r>
        <w:t xml:space="preserve">(tendinopatia glutea, non tutte le sedi) e di</w:t>
      </w:r>
      <w:r>
        <w:t xml:space="preserve"> </w:t>
      </w:r>
      <w:r>
        <w:rPr>
          <w:b/>
          <w:bCs/>
        </w:rPr>
        <w:t xml:space="preserve">erogatore</w:t>
      </w:r>
      <w:r>
        <w:t xml:space="preserve"> </w:t>
      </w:r>
      <w:r>
        <w:t xml:space="preserve">(fisioterapisti formati su un protocollo definito). La parte educativa è tua da fare; il pacchetto completo di quattordici sedute non è quello che eroghi.</w:t>
      </w:r>
    </w:p>
    <w:p>
      <w:pPr>
        <w:pStyle w:val="FirstParagraph"/>
      </w:pPr>
      <w:r>
        <w:rPr>
          <w:b/>
          <w:bCs/>
        </w:rPr>
        <w:t xml:space="preserve">Cosa non fa.</w:t>
      </w:r>
      <w:r>
        <w:t xml:space="preserve"> </w:t>
      </w:r>
      <w:r>
        <w:t xml:space="preserve">Non sostituisce il carico: nello studio i due erano un intervento solo, e nessuno ha misurato l’educazione da sola. E non protegge dalla ricaduta se il carico di vita del paziente cambia di nuovo.</w:t>
      </w:r>
    </w:p>
    <w:p>
      <w:pPr>
        <w:pStyle w:val="BodyText"/>
      </w:pPr>
      <w:r>
        <w:rPr>
          <w:b/>
          <w:bCs/>
        </w:rPr>
        <w:t xml:space="preserve">Cosa decide se funziona: l’aderenza.</w:t>
      </w:r>
      <w:r>
        <w:t xml:space="preserve"> </w:t>
      </w:r>
      <w:r>
        <w:t xml:space="preserve">La revisione dedicata, su 86 articoli, trova tre barriere ricorrenti:</w:t>
      </w:r>
      <w:r>
        <w:t xml:space="preserve"> </w:t>
      </w:r>
      <w:r>
        <w:rPr>
          <w:b/>
          <w:bCs/>
        </w:rPr>
        <w:t xml:space="preserve">credenze negative e paura di fare danno</w:t>
      </w:r>
      <w:r>
        <w:t xml:space="preserve">,</w:t>
      </w:r>
      <w:r>
        <w:t xml:space="preserve"> </w:t>
      </w:r>
      <w:r>
        <w:rPr>
          <w:b/>
          <w:bCs/>
        </w:rPr>
        <w:t xml:space="preserve">vincoli di tempo</w:t>
      </w:r>
      <w:r>
        <w:t xml:space="preserve">, dolore e comorbilità. E trova le leve documentate: educazione, istruzione, automonitoraggio con un diario, dimostrazione e supervisione, programmi sostenibili (Phillips,</w:t>
      </w:r>
      <w:r>
        <w:t xml:space="preserve"> </w:t>
      </w:r>
      <w:r>
        <w:rPr>
          <w:i/>
          <w:iCs/>
        </w:rPr>
        <w:t xml:space="preserve">Disabil Rehabil</w:t>
      </w:r>
      <w:r>
        <w:t xml:space="preserve">, 2024, PMID 38420953).</w:t>
      </w:r>
      <w:r>
        <w:t xml:space="preserve"> </w:t>
      </w: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è una scoping review: mappa cosa è stato fatto, non stabilisce cosa funziona.</w:t>
      </w:r>
    </w:p>
    <w:bookmarkEnd w:id="62"/>
    <w:bookmarkStart w:id="63" w:name="il-modello-di-monitoraggio-del-dolore"/>
    <w:p>
      <w:pPr>
        <w:pStyle w:val="Heading3"/>
      </w:pPr>
      <w:r>
        <w:t xml:space="preserve">3. Il modello di monitoraggio del dolore</w:t>
      </w:r>
    </w:p>
    <w:p>
      <w:pPr>
        <w:pStyle w:val="FirstParagraph"/>
      </w:pPr>
      <w:r>
        <w:rPr>
          <w:b/>
          <w:bCs/>
        </w:rPr>
        <w:t xml:space="preserve">Cos’è.</w:t>
      </w:r>
      <w:r>
        <w:t xml:space="preserve"> </w:t>
      </w:r>
      <w:r>
        <w:t xml:space="preserve">Una regola con cui il paziente decide da solo, giorno per giorno, se quello che sente durante e dopo l’attività è accettabile. Serve a non fermarsi al primo dolore e a non ignorarlo del tutto.</w:t>
      </w:r>
      <w:r>
        <w:t xml:space="preserve"> </w:t>
      </w:r>
      <w:r>
        <w:rPr>
          <w:b/>
          <w:bCs/>
        </w:rPr>
        <w:t xml:space="preserve">Agisce sulla zona che ha smesso di essere caricata:</w:t>
      </w:r>
      <w:r>
        <w:t xml:space="preserve"> </w:t>
      </w:r>
      <w:r>
        <w:t xml:space="preserve">è ciò che permette di non fermarsi, e non fermarsi è la condizione perché gli altri due funzionino.</w:t>
      </w:r>
    </w:p>
    <w:p>
      <w:pPr>
        <w:pStyle w:val="BodyText"/>
      </w:pPr>
      <w:r>
        <w:rPr>
          <w:b/>
          <w:bCs/>
        </w:rPr>
        <w:t xml:space="preserve">Cosa hanno misurato gli studi.</w:t>
      </w:r>
      <w:r>
        <w:t xml:space="preserve"> </w:t>
      </w:r>
      <w:r>
        <w:t xml:space="preserve">Trentotto pazienti con tendinopatia achillea sono stati randomizzati a due condizioni: continuare corsa e salti usando un modello di monitoraggio del dolore, oppure sospendere quelle attività per sei settimane. Tutti hanno seguito lo stesso programma di rinforzo.</w:t>
      </w:r>
      <w:r>
        <w:t xml:space="preserve"> </w:t>
      </w:r>
      <w:r>
        <w:rPr>
          <w:b/>
          <w:bCs/>
        </w:rPr>
        <w:t xml:space="preserve">Nessuna differenza fra i gruppi</w:t>
      </w:r>
      <w:r>
        <w:t xml:space="preserve"> </w:t>
      </w:r>
      <w:r>
        <w:t xml:space="preserve">in nessun momento, e miglioramento in entrambi. A dodici mesi il punteggio VISA-A è passato da 57 a 85 nel gruppo che ha continuato, e da 57 a 91 in quello che si è fermato (Silbernagel,</w:t>
      </w:r>
      <w:r>
        <w:t xml:space="preserve"> </w:t>
      </w:r>
      <w:r>
        <w:rPr>
          <w:i/>
          <w:iCs/>
        </w:rPr>
        <w:t xml:space="preserve">Am J Sports Med</w:t>
      </w:r>
      <w:r>
        <w:t xml:space="preserve">, 2007, PMID 17307888).</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un solo studio randomizzato, 38 pazienti, 19 per braccio, una sola sede, disegno di</w:t>
      </w:r>
      <w:r>
        <w:t xml:space="preserve"> </w:t>
      </w:r>
      <w:r>
        <w:rPr>
          <w:b/>
          <w:bCs/>
        </w:rPr>
        <w:t xml:space="preserve">superiorità</w:t>
      </w:r>
      <w:r>
        <w:t xml:space="preserve"> </w:t>
      </w:r>
      <w:r>
        <w:t xml:space="preserve">senza margine di non-inferiorità dichiarato.</w:t>
      </w:r>
      <w:r>
        <w:t xml:space="preserve"> </w:t>
      </w:r>
      <w:r>
        <w:rPr>
          <w:b/>
          <w:bCs/>
        </w:rPr>
        <w:t xml:space="preserve">Non ha rilevato differenze fra continuare e fermarsi, in uno studio troppo piccolo per escluderne una.</w:t>
      </w:r>
      <w:r>
        <w:t xml:space="preserve"> </w:t>
      </w:r>
      <w:r>
        <w:t xml:space="preserve">Regge come permesso a non fermare il paziente. Non è una dimostrazione di equivalenza, e chiamarla «non-inferiorità» sarebbe l’errore metodologico che questo documento contesta agli altri.</w:t>
      </w:r>
    </w:p>
    <w:p>
      <w:pPr>
        <w:pStyle w:val="FirstParagraph"/>
      </w:pPr>
      <w:r>
        <w:rPr>
          <w:b/>
          <w:bCs/>
        </w:rPr>
        <w:t xml:space="preserve">Le tre regole che lo compongono, nella forma in cui lo studio le usava.</w:t>
      </w:r>
      <w:r>
        <w:t xml:space="preserve"> </w:t>
      </w:r>
      <w:r>
        <w:t xml:space="preserve">Sono un dato di evidenza, non una prescrizione, e senza di esse questo non è più lo strumento studiato. Il dolore durante l’attività era consentito</w:t>
      </w:r>
      <w:r>
        <w:t xml:space="preserve"> </w:t>
      </w:r>
      <w:r>
        <w:rPr>
          <w:b/>
          <w:bCs/>
        </w:rPr>
        <w:t xml:space="preserve">fino a una soglia dichiarata</w:t>
      </w:r>
      <w:r>
        <w:t xml:space="preserve">. Doveva essere</w:t>
      </w:r>
      <w:r>
        <w:t xml:space="preserve"> </w:t>
      </w:r>
      <w:r>
        <w:rPr>
          <w:b/>
          <w:bCs/>
        </w:rPr>
        <w:t xml:space="preserve">rientrato entro il mattino successivo</w:t>
      </w:r>
      <w:r>
        <w:t xml:space="preserve">. E non doveva</w:t>
      </w:r>
      <w:r>
        <w:t xml:space="preserve"> </w:t>
      </w:r>
      <w:r>
        <w:rPr>
          <w:b/>
          <w:bCs/>
        </w:rPr>
        <w:t xml:space="preserve">aumentare di settimana in settimana</w:t>
      </w:r>
      <w:r>
        <w:t xml:space="preserve">. I valori numerici della soglia non compaiono nell’abstract e vanno letti sul testo pieno prima di riportarli.</w:t>
      </w:r>
    </w:p>
    <w:p>
      <w:pPr>
        <w:pStyle w:val="BodyText"/>
      </w:pPr>
      <w:r>
        <w:rPr>
          <w:b/>
          <w:bCs/>
        </w:rPr>
        <w:t xml:space="preserve">Cosa non fa.</w:t>
      </w:r>
      <w:r>
        <w:t xml:space="preserve"> </w:t>
      </w:r>
      <w:r>
        <w:t xml:space="preserve">Non è un permesso generico a ignorare il dolore. E non si applica a un tendine in finestra da chinolone, a uno con lesione parziale, né a un sospetto di lesione da stress ossea: lì il «dolore accettabile» è il meccanismo del danno.</w:t>
      </w:r>
    </w:p>
    <w:p>
      <w:pPr>
        <w:pStyle w:val="BodyText"/>
      </w:pPr>
      <w:r>
        <w:rPr>
          <w:b/>
          <w:bCs/>
        </w:rPr>
        <w:t xml:space="preserve">La chiusura di confine, e vale per tutti e tre gli strumenti.</w:t>
      </w:r>
      <w:r>
        <w:t xml:space="preserve"> </w:t>
      </w:r>
      <w:r>
        <w:t xml:space="preserve">Come e quando consegnarli a questo paziente sta nella Procedura.</w:t>
      </w:r>
    </w:p>
    <w:p>
      <w:pPr>
        <w:pStyle w:val="BodyText"/>
      </w:pPr>
      <w:r>
        <w:rPr>
          <w:b/>
          <w:bCs/>
        </w:rPr>
        <w:t xml:space="preserve">Dove arriva il lavoro attivo e dove no.</w:t>
      </w:r>
      <w:r>
        <w:t xml:space="preserve"> </w:t>
      </w:r>
      <w:r>
        <w:t xml:space="preserve">Il carico progressivo agisce sul carico oltre la capacità e sulla zona scaricata. L’educazione agisce sul carico oltre la capacità e, di striscio, sul carico che arriva da un’altra articolazione. Il monitoraggio del dolore agisce sulla zona scaricata. E il carico progressivo agisce anche,</w:t>
      </w:r>
      <w:r>
        <w:t xml:space="preserve"> </w:t>
      </w:r>
      <w:r>
        <w:rPr>
          <w:b/>
          <w:bCs/>
        </w:rPr>
        <w:t xml:space="preserve">a dose bassa</w:t>
      </w:r>
      <w:r>
        <w:t xml:space="preserve">, sul sistema del dolore che si è allargato: è la leva che «Non è una condizione sola» mette accanto al lavoro sull’attivazione, con il limite già dichiarato — nel dolore cronico l’ipoalgesia da esercizio varia anche di direzione.</w:t>
      </w:r>
    </w:p>
    <w:p>
      <w:pPr>
        <w:pStyle w:val="BodyText"/>
      </w:pPr>
      <w:r>
        <w:rPr>
          <w:b/>
          <w:bCs/>
        </w:rPr>
        <w:t xml:space="preserve">Sul carico che arriva da un’altra articolazione — quello che questo documento dichiara «il nostro» — non esiste uno strumento attivo con evidenza sopra IPOTESI.</w:t>
      </w:r>
      <w:r>
        <w:t xml:space="preserve"> </w:t>
      </w:r>
      <w:r>
        <w:t xml:space="preserve">Sulla catena cinetica ci sono studi crossover di attivazione elettromiografica e trial piccoli, nulla di più. Va detto invece che taciuto, perché il silenzio qui si legge come copertura.</w:t>
      </w:r>
    </w:p>
    <w:p>
      <w:pPr>
        <w:pStyle w:val="BlockText"/>
      </w:pPr>
      <w:r>
        <w:rPr>
          <w:b/>
          <w:bCs/>
        </w:rPr>
        <w:t xml:space="preserve">Cosa cambia per te.</w:t>
      </w:r>
      <w:r>
        <w:t xml:space="preserve"> </w:t>
      </w:r>
      <w:r>
        <w:t xml:space="preserve">L’effetto della singola seduta e quello della ripetizione sono cose diverse. L’ipoalgesia che produci con le mani dura</w:t>
      </w:r>
      <w:r>
        <w:t xml:space="preserve"> </w:t>
      </w:r>
      <w:r>
        <w:rPr>
          <w:b/>
          <w:bCs/>
        </w:rPr>
        <w:t xml:space="preserve">minuti</w:t>
      </w:r>
      <w:r>
        <w:t xml:space="preserve">, e si spende dentro la seduta. Il guadagno di capacità del tendine appartiene alle settimane di carico. Attribuire il secondo alla tecnica porta a concludere, dopo tre cicli, che «su questa condizione non funziona niente».</w:t>
      </w:r>
    </w:p>
    <w:p>
      <w:pPr>
        <w:pStyle w:val="FirstParagraph"/>
      </w:pPr>
      <w:r>
        <w:rPr>
          <w:b/>
          <w:bCs/>
        </w:rPr>
        <w:t xml:space="preserve">Le tre cose da ricordare, più una</w:t>
      </w:r>
    </w:p>
    <w:p>
      <w:pPr>
        <w:pStyle w:val="Compact"/>
        <w:numPr>
          <w:ilvl w:val="0"/>
          <w:numId w:val="1037"/>
        </w:numPr>
      </w:pPr>
      <w:r>
        <w:t xml:space="preserve">La leva con le prove migliori del documento è quella che il paziente esegue da solo: se il tuo ciclo non la contiene, manca il pezzo principale. E non regge allo stesso modo ovunque: dimostrata all’achilleo, alla rotula e all’anca, probabile e con effetto piccolo al gomito.</w:t>
      </w:r>
    </w:p>
    <w:p>
      <w:pPr>
        <w:pStyle w:val="Compact"/>
        <w:numPr>
          <w:ilvl w:val="0"/>
          <w:numId w:val="1037"/>
        </w:numPr>
      </w:pPr>
      <w:r>
        <w:t xml:space="preserve">Eccentrico e carico lento pesante hanno dato lo stesso risultato: la variabile che li separa è l’aderenza, non l’efficacia. Quello che moderava l’effetto negli studi era l’intensità, non il nome del programma.</w:t>
      </w:r>
    </w:p>
    <w:p>
      <w:pPr>
        <w:pStyle w:val="Compact"/>
        <w:numPr>
          <w:ilvl w:val="0"/>
          <w:numId w:val="1037"/>
        </w:numPr>
      </w:pPr>
      <w:r>
        <w:t xml:space="preserve">Continuare a caricare con una regola non ha peggiorato l’esito in uno studio piccolo, e questo basta a non fermare il paziente. La regola ha tre componenti, e senza quelle non è più lo strumento studiato.</w:t>
      </w:r>
    </w:p>
    <w:p>
      <w:pPr>
        <w:pStyle w:val="Compact"/>
        <w:numPr>
          <w:ilvl w:val="0"/>
          <w:numId w:val="1037"/>
        </w:numPr>
      </w:pPr>
      <w:r>
        <w:rPr>
          <w:b/>
          <w:bCs/>
        </w:rPr>
        <w:t xml:space="preserve">Perché ci sei tu.</w:t>
      </w:r>
      <w:r>
        <w:t xml:space="preserve"> </w:t>
      </w:r>
      <w:r>
        <w:t xml:space="preserve">Nel confronto fra i due programmi di carico più studiati al mondo l’aderenza è stata del 92% contro il 78% (Beyer, 2015, PMID 26018970). Questo ti autorizza a scegliere il programma in base a quanto questo paziente riuscirà a farlo, non a quale sia più famoso. Non ti autorizza a presentarlo come una differenza di efficacia: sul risultato clinico i due sono equivalenti.</w:t>
      </w:r>
    </w:p>
    <w:p>
      <w:r>
        <w:pict>
          <v:rect style="width:0;height:1.5pt" o:hralign="center" o:hrstd="t" o:hr="t"/>
        </w:pict>
      </w:r>
    </w:p>
    <w:bookmarkEnd w:id="63"/>
    <w:bookmarkEnd w:id="64"/>
    <w:bookmarkStart w:id="70"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conversazione che cambia il percorso dura novanta secondi e riguarda una parola sola, «riposo».</w:t>
      </w:r>
    </w:p>
    <w:bookmarkStart w:id="65" w:name="lo-script"/>
    <w:p>
      <w:pPr>
        <w:pStyle w:val="Heading3"/>
      </w:pPr>
      <w:r>
        <w:t xml:space="preserve">Lo script</w:t>
      </w:r>
    </w:p>
    <w:p>
      <w:pPr>
        <w:pStyle w:val="BlockText"/>
      </w:pPr>
      <w:r>
        <w:rPr>
          <w:i/>
          <w:iCs/>
        </w:rPr>
        <w:t xml:space="preserve">«Il tendine è come il callo sulla mano. Si ingrossa se lo usi ogni giorno, si spacca se in un giorno fai il lavoro di un mese. Se smetti del tutto non torna più forte: torna più sottile, e alla ripresa si spacca di nuovo. Ti è successo questo, dopo il mese di riposo. Insieme facciamo due cose: rimettere in movimento quello che ti obbliga a caricare sempre nello stesso punto, e salire di carico un gradino alla volta. Non è veloce. Nessuno ha ancora misurato quanto carico regge oggi quel tendine e da dove gli arriva: partiamo da lì.»</w:t>
      </w:r>
    </w:p>
    <w:bookmarkEnd w:id="65"/>
    <w:bookmarkStart w:id="66" w:name="le-obiezioni-e-le-risposte-oneste"/>
    <w:p>
      <w:pPr>
        <w:pStyle w:val="Heading3"/>
      </w:pPr>
      <w:r>
        <w:t xml:space="preserve">Le obiezioni, e le risposte oneste</w:t>
      </w:r>
    </w:p>
    <w:p>
      <w:pPr>
        <w:pStyle w:val="FirstParagraph"/>
      </w:pPr>
      <w:r>
        <w:rPr>
          <w:b/>
          <w:bCs/>
        </w:rPr>
        <w:t xml:space="preserve">«Mi hanno detto di stare a riposo.»</w:t>
      </w:r>
      <w:r>
        <w:t xml:space="preserve"> </w:t>
      </w:r>
      <w:r>
        <w:rPr>
          <w:i/>
          <w:iCs/>
        </w:rPr>
        <w:t xml:space="preserve">«E dopo il riposo è tornato in tre giorni. Non perché tu abbia sbagliato qualcosa: fermarsi abbassa la capacità del tendine, e tu sei tornato a fare la stessa cosa di prima con un tendine diventato meno capace. Lavoriamo sul carico, non sul riposo.»</w:t>
      </w:r>
    </w:p>
    <w:p>
      <w:pPr>
        <w:pStyle w:val="BodyText"/>
      </w:pPr>
      <w:r>
        <w:rPr>
          <w:b/>
          <w:bCs/>
        </w:rPr>
        <w:t xml:space="preserve">«Ho fatto l’infiltrazione.»</w:t>
      </w:r>
      <w:r>
        <w:t xml:space="preserve"> </w:t>
      </w:r>
      <w:r>
        <w:rPr>
          <w:i/>
          <w:iCs/>
        </w:rPr>
        <w:t xml:space="preserve">«Ha spento il dolore per qualche settimana, e questo è reale. Quello che gli studi mostrano è che il vantaggio dell’infiltrazione tende a rovesciarsi nel tempo, e che la ricaduta è frequente. Non ti sto dicendo che è stato un errore, e non decido io se farne un’altra: ti sto dicendo che il carico che quel tendine riceve non è cambiato, ed è di quello che mi occupo io. Cosa ha fatto ammalare il tuo tendine non lo so con certezza — lavoro su quello che ho trovato e che posso misurare.»</w:t>
      </w:r>
    </w:p>
    <w:p>
      <w:pPr>
        <w:pStyle w:val="BodyText"/>
      </w:pPr>
      <w:r>
        <w:rPr>
          <w:b/>
          <w:bCs/>
        </w:rPr>
        <w:t xml:space="preserve">«Porto il tutore.»</w:t>
      </w:r>
      <w:r>
        <w:t xml:space="preserve"> </w:t>
      </w:r>
      <w:r>
        <w:rPr>
          <w:i/>
          <w:iCs/>
        </w:rPr>
        <w:t xml:space="preserve">«Ti protegge mentre lo hai addosso. Il nostro lavoro è che tu possa toglierlo senza tornare al punto di partenza, e questo si fa alzando la capacità sotto, non tenendo il tendine al riparo. Lo togliamo insieme e con chi te lo ha dato, non di nascosto.»</w:t>
      </w:r>
    </w:p>
    <w:p>
      <w:pPr>
        <w:pStyle w:val="BodyText"/>
      </w:pPr>
      <w:r>
        <w:rPr>
          <w:b/>
          <w:bCs/>
        </w:rPr>
        <w:t xml:space="preserve">«È il mio lavoro, non posso smettere.»</w:t>
      </w:r>
      <w:r>
        <w:t xml:space="preserve"> </w:t>
      </w:r>
      <w:r>
        <w:rPr>
          <w:i/>
          <w:iCs/>
        </w:rPr>
        <w:t xml:space="preserve">«Infatti non te lo chiedo. Guardiamo com’è fatto quel gesto e cosa possiamo cambiare intorno — la spalla, il polso, la pausa, l’attrezzo — perché lo stesso lavoro pesi meno su quel punto. Fermarti l’hai già provato e sai come è finita.»</w:t>
      </w:r>
    </w:p>
    <w:p>
      <w:pPr>
        <w:pStyle w:val="BodyText"/>
      </w:pPr>
      <w:r>
        <w:rPr>
          <w:b/>
          <w:bCs/>
        </w:rPr>
        <w:t xml:space="preserve">«Non ho tempo.»</w:t>
      </w:r>
      <w:r>
        <w:t xml:space="preserve"> </w:t>
      </w:r>
      <w:r>
        <w:t xml:space="preserve">È una barriera documentata, non una scusa, ed è fra le prime cause di abbandono (Phillips, 2024, PMID 38420953).</w:t>
      </w:r>
      <w:r>
        <w:t xml:space="preserve"> </w:t>
      </w:r>
      <w:r>
        <w:rPr>
          <w:i/>
          <w:iCs/>
        </w:rPr>
        <w:t xml:space="preserve">«Allora partiamo da quanto tempo hai davvero. Un programma che non fai non vale niente, anche se sulla carta è quello giusto: dimmi quanti minuti esistono, e io ci lavoro dentro.»</w:t>
      </w:r>
    </w:p>
    <w:bookmarkEnd w:id="66"/>
    <w:bookmarkStart w:id="67" w:name="X93473cf2622943f3bd319e2d27b0dee2bdc3074"/>
    <w:p>
      <w:pPr>
        <w:pStyle w:val="Heading3"/>
      </w:pPr>
      <w:r>
        <w:t xml:space="preserve">I tre segnali che non sono «il dolore previsto»</w:t>
      </w:r>
    </w:p>
    <w:p>
      <w:pPr>
        <w:pStyle w:val="FirstParagraph"/>
      </w:pPr>
      <w:r>
        <w:t xml:space="preserve">Il paziente carica da solo, per settimane, con in testa la frase che gli hai dato tu:</w:t>
      </w:r>
      <w:r>
        <w:t xml:space="preserve"> </w:t>
      </w:r>
      <w:r>
        <w:rPr>
          <w:i/>
          <w:iCs/>
        </w:rPr>
        <w:t xml:space="preserve">se sale un po’ è normale</w:t>
      </w:r>
      <w:r>
        <w:t xml:space="preserve">. Quella frase alza la soglia oltre la quale si allarma. Il criterio opposto glielo devi consegnare</w:t>
      </w:r>
      <w:r>
        <w:t xml:space="preserve"> </w:t>
      </w:r>
      <w:r>
        <w:rPr>
          <w:b/>
          <w:bCs/>
        </w:rPr>
        <w:t xml:space="preserve">prima</w:t>
      </w:r>
      <w:r>
        <w:t xml:space="preserve"> </w:t>
      </w:r>
      <w:r>
        <w:t xml:space="preserve">che inizi.</w:t>
      </w:r>
    </w:p>
    <w:p>
      <w:pPr>
        <w:pStyle w:val="Compact"/>
        <w:numPr>
          <w:ilvl w:val="0"/>
          <w:numId w:val="1038"/>
        </w:numPr>
      </w:pPr>
      <w:r>
        <w:t xml:space="preserve">Uno</w:t>
      </w:r>
      <w:r>
        <w:t xml:space="preserve"> </w:t>
      </w:r>
      <w:r>
        <w:rPr>
          <w:b/>
          <w:bCs/>
        </w:rPr>
        <w:t xml:space="preserve">schiocco con perdita improvvisa di forza o di funzione</w:t>
      </w:r>
      <w:r>
        <w:t xml:space="preserve">.</w:t>
      </w:r>
    </w:p>
    <w:p>
      <w:pPr>
        <w:pStyle w:val="Compact"/>
        <w:numPr>
          <w:ilvl w:val="0"/>
          <w:numId w:val="1038"/>
        </w:numPr>
      </w:pPr>
      <w:r>
        <w:t xml:space="preserve">Una zona che diventa</w:t>
      </w:r>
      <w:r>
        <w:t xml:space="preserve"> </w:t>
      </w:r>
      <w:r>
        <w:rPr>
          <w:b/>
          <w:bCs/>
        </w:rPr>
        <w:t xml:space="preserve">calda, rossa e gonfia</w:t>
      </w:r>
      <w:r>
        <w:t xml:space="preserve">, con febbre o malessere.</w:t>
      </w:r>
    </w:p>
    <w:p>
      <w:pPr>
        <w:pStyle w:val="Compact"/>
        <w:numPr>
          <w:ilvl w:val="0"/>
          <w:numId w:val="1038"/>
        </w:numPr>
      </w:pPr>
      <w:r>
        <w:t xml:space="preserve">Un</w:t>
      </w:r>
      <w:r>
        <w:t xml:space="preserve"> </w:t>
      </w:r>
      <w:r>
        <w:rPr>
          <w:b/>
          <w:bCs/>
        </w:rPr>
        <w:t xml:space="preserve">gonfiore che cresce in fretta</w:t>
      </w:r>
      <w:r>
        <w:t xml:space="preserve"> </w:t>
      </w:r>
      <w:r>
        <w:t xml:space="preserve">senza una causa.</w:t>
      </w:r>
    </w:p>
    <w:p>
      <w:pPr>
        <w:pStyle w:val="FirstParagraph"/>
      </w:pPr>
      <w:r>
        <w:t xml:space="preserve">Tutti e tre impongono il pronto soccorso, non la prossima seduta: i primi due in giornata, il terzo entro ventiquattro ore. Detto prima di iniziare è sicurezza; detto dopo è una giustificazione.</w:t>
      </w:r>
    </w:p>
    <w:bookmarkEnd w:id="67"/>
    <w:bookmarkStart w:id="68" w:name="le-due-cose-che-gli-dici-insieme"/>
    <w:p>
      <w:pPr>
        <w:pStyle w:val="Heading3"/>
      </w:pPr>
      <w:r>
        <w:t xml:space="preserve">Le due cose che gli dici insieme</w:t>
      </w:r>
    </w:p>
    <w:p>
      <w:pPr>
        <w:pStyle w:val="FirstParagraph"/>
      </w:pPr>
      <w:r>
        <w:t xml:space="preserve">Sono conviventi, e vanno dette nella stessa frase perché separate suonano come una contraddizione:</w:t>
      </w:r>
    </w:p>
    <w:p>
      <w:pPr>
        <w:pStyle w:val="BodyText"/>
      </w:pPr>
      <w:r>
        <w:rPr>
          <w:i/>
          <w:iCs/>
        </w:rPr>
        <w:t xml:space="preserve">«Io ho trovato una cosa meccanica su cui posso lavorare da subito, e la sto trattando. Questo non vuol dire che sappiamo cosa hai: il tendine va comunque inquadrato dal tuo medico, e nel frattempo io non aspetto.»</w:t>
      </w:r>
    </w:p>
    <w:bookmarkEnd w:id="68"/>
    <w:bookmarkStart w:id="69" w:name="cosa-non-promettere-mai"/>
    <w:p>
      <w:pPr>
        <w:pStyle w:val="Heading3"/>
      </w:pPr>
      <w:r>
        <w:t xml:space="preserve">Cosa non promettere mai</w:t>
      </w:r>
    </w:p>
    <w:p>
      <w:pPr>
        <w:pStyle w:val="Compact"/>
        <w:numPr>
          <w:ilvl w:val="0"/>
          <w:numId w:val="1039"/>
        </w:numPr>
      </w:pPr>
      <w:r>
        <w:t xml:space="preserve">Non promettere che il tendine tornerà come prima all’ecografia. Non è quello che cambia, e non serve che cambi.</w:t>
      </w:r>
    </w:p>
    <w:p>
      <w:pPr>
        <w:pStyle w:val="Compact"/>
        <w:numPr>
          <w:ilvl w:val="0"/>
          <w:numId w:val="1039"/>
        </w:numPr>
      </w:pPr>
      <w:r>
        <w:t xml:space="preserve">Non promettere una guarigione in un numero di sedute. Il tempo di questa condizione si misura in settimane di carico, non in appuntamenti.</w:t>
      </w:r>
    </w:p>
    <w:p>
      <w:pPr>
        <w:pStyle w:val="Compact"/>
        <w:numPr>
          <w:ilvl w:val="0"/>
          <w:numId w:val="1039"/>
        </w:numPr>
      </w:pPr>
      <w:r>
        <w:t xml:space="preserve">Non promettere che il dolore sparirà durante il percorso. Un aumento temporaneo è previsto</w:t>
      </w:r>
      <w:r>
        <w:t xml:space="preserve"> </w:t>
      </w:r>
      <w:r>
        <w:rPr>
          <w:b/>
          <w:bCs/>
        </w:rPr>
        <w:t xml:space="preserve">entro la soglia concordata e purché rientri entro il giorno dopo</w:t>
      </w:r>
      <w:r>
        <w:t xml:space="preserve">, e va detto prima.</w:t>
      </w:r>
    </w:p>
    <w:p>
      <w:pPr>
        <w:pStyle w:val="Compact"/>
        <w:numPr>
          <w:ilvl w:val="0"/>
          <w:numId w:val="1039"/>
        </w:numPr>
      </w:pPr>
      <w:r>
        <w:t xml:space="preserve">Non promettere l’assenza di dolore come traguardo. A cinque anni dal programma di carico più studiato al mondo, sull’achilleo, meno di quattro pazienti su dieci erano completamente senza dolore, e stavano comunque molto meglio. Il traguardo che dichiari è quanto carico tollera.</w:t>
      </w:r>
    </w:p>
    <w:p>
      <w:pPr>
        <w:pStyle w:val="FirstParagraph"/>
      </w:pPr>
      <w:r>
        <w:rPr>
          <w:b/>
          <w:bCs/>
        </w:rPr>
        <w:t xml:space="preserve">Le tre cose da ricordare, più una</w:t>
      </w:r>
    </w:p>
    <w:p>
      <w:pPr>
        <w:pStyle w:val="Compact"/>
        <w:numPr>
          <w:ilvl w:val="0"/>
          <w:numId w:val="1040"/>
        </w:numPr>
      </w:pPr>
      <w:r>
        <w:t xml:space="preserve">La metafora del callo fa in dieci secondi il lavoro che la spiegazione fisiologica non fa in dieci minuti.</w:t>
      </w:r>
    </w:p>
    <w:p>
      <w:pPr>
        <w:pStyle w:val="Compact"/>
        <w:numPr>
          <w:ilvl w:val="0"/>
          <w:numId w:val="1040"/>
        </w:numPr>
      </w:pPr>
      <w:r>
        <w:t xml:space="preserve">L’aumento temporaneo di dolore va annunciato all’inizio</w:t>
      </w:r>
      <w:r>
        <w:t xml:space="preserve"> </w:t>
      </w:r>
      <w:r>
        <w:rPr>
          <w:b/>
          <w:bCs/>
        </w:rPr>
        <w:t xml:space="preserve">con il suo confine</w:t>
      </w:r>
      <w:r>
        <w:t xml:space="preserve">, e insieme i tre segnali che impongono il pronto soccorso: annunciati prima sono un percorso e sono sicurezza, annunciati dopo sono una giustificazione — e senza confine il «dolore previsto» autorizza a ignorare un evento avverso vero.</w:t>
      </w:r>
    </w:p>
    <w:p>
      <w:pPr>
        <w:pStyle w:val="Compact"/>
        <w:numPr>
          <w:ilvl w:val="0"/>
          <w:numId w:val="1040"/>
        </w:numPr>
      </w:pPr>
      <w:r>
        <w:t xml:space="preserve">«Ho trovato qualcosa da trattare» e «non so cosa hai» sono vere insieme, e si dicono nella stessa frase.</w:t>
      </w:r>
    </w:p>
    <w:p>
      <w:pPr>
        <w:pStyle w:val="Compact"/>
        <w:numPr>
          <w:ilvl w:val="0"/>
          <w:numId w:val="1040"/>
        </w:numPr>
      </w:pPr>
      <w:r>
        <w:rPr>
          <w:b/>
          <w:bCs/>
        </w:rPr>
        <w:t xml:space="preserve">Perché ci sei tu.</w:t>
      </w:r>
      <w:r>
        <w:t xml:space="preserve"> </w:t>
      </w:r>
      <w:r>
        <w:t xml:space="preserve">Su 165 pazienti, chi non aveva fatto l’infiltrazione recidivava nel 12% dei casi a un anno, contro il 54% di chi l’aveva fatta (Coombes, 2013, PMID 23385272). Questo ti autorizza a rispondere con un dato, e non con un’opinione, alla domanda che il paziente si porta dietro da mesi. Non ti autorizza a sconsigliargli l’infiltrazione: quella conversazione è con chi gliela prescrive.</w:t>
      </w:r>
    </w:p>
    <w:p>
      <w:r>
        <w:pict>
          <v:rect style="width:0;height:1.5pt" o:hralign="center" o:hrstd="t" o:hr="t"/>
        </w:pict>
      </w:r>
    </w:p>
    <w:bookmarkEnd w:id="69"/>
    <w:bookmarkEnd w:id="70"/>
    <w:bookmarkStart w:id="71" w:name="capitolo-14-cosa-fare-adesso"/>
    <w:p>
      <w:pPr>
        <w:pStyle w:val="Heading2"/>
      </w:pPr>
      <w:r>
        <w:t xml:space="preserve">Capitolo 14 — Cosa fare adesso</w:t>
      </w:r>
    </w:p>
    <w:p>
      <w:pPr>
        <w:pStyle w:val="BlockText"/>
      </w:pPr>
      <w:r>
        <w:rPr>
          <w:b/>
          <w:bCs/>
        </w:rPr>
        <w:t xml:space="preserve">In una riga:</w:t>
      </w:r>
      <w:r>
        <w:t xml:space="preserve"> </w:t>
      </w:r>
      <w:r>
        <w:t xml:space="preserve">hai in mano una condizione in cui la cosa che funziona di più non la fai tu, e il tuo valore è tutto nel renderla possibile.</w:t>
      </w:r>
    </w:p>
    <w:p>
      <w:pPr>
        <w:pStyle w:val="FirstParagraph"/>
      </w:pPr>
      <w:r>
        <w:rPr>
          <w:b/>
          <w:bCs/>
        </w:rPr>
        <w:t xml:space="preserve">Il filo.</w:t>
      </w:r>
      <w:r>
        <w:t xml:space="preserve"> </w:t>
      </w:r>
      <w:r>
        <w:t xml:space="preserve">Ti arriva qualcuno che ha fatto quello che gli hanno detto e sta peggio per questo. Il tendine non è infiammato nel senso che lui intende: ha ricevuto più carico di quanto ne sapesse reggere, ha cambiato struttura in punti che non torneranno all’immagine di prima, e il riposo gli ha tolto capacità — rigidità giù entro due settimane. Il meccanismo per cui viene da noi,</w:t>
      </w:r>
      <w:r>
        <w:t xml:space="preserve"> </w:t>
      </w:r>
      <w:r>
        <w:rPr>
          <w:b/>
          <w:bCs/>
        </w:rPr>
        <w:t xml:space="preserve">il carico che arriva da un’altra articolazione</w:t>
      </w:r>
      <w:r>
        <w:t xml:space="preserve">, è il meno dimostrato dei cinque, e va detto. Le leve vere sono due e una sola è tua: il carico progressivo, suo da eseguire e tuo da insegnare, e la modulazione del dolore, che apre la porta perché quel carico sia possibile oggi. Il campo finisce dove il dolore smette di seguire il carico, dove c’è un antibiotico recente, e dove la rigidità del mattino dura più di mezz’ora.</w:t>
      </w:r>
    </w:p>
    <w:p>
      <w:pPr>
        <w:pStyle w:val="BodyText"/>
      </w:pPr>
      <w:r>
        <w:rPr>
          <w:b/>
          <w:bCs/>
        </w:rPr>
        <w:t xml:space="preserve">Le tre cose che cambi da lunedì.</w:t>
      </w:r>
    </w:p>
    <w:p>
      <w:pPr>
        <w:pStyle w:val="Compact"/>
        <w:numPr>
          <w:ilvl w:val="0"/>
          <w:numId w:val="1041"/>
        </w:numPr>
      </w:pPr>
      <w:r>
        <w:rPr>
          <w:b/>
          <w:bCs/>
        </w:rPr>
        <w:t xml:space="preserve">Guarda cosa è cambiato sei settimane prima dell’esordio</w:t>
      </w:r>
      <w:r>
        <w:t xml:space="preserve">, e scrivilo in cartella prima di qualunque test. Non «lavora molto»: cosa, per quante ore, e cosa non c’era prima.</w:t>
      </w:r>
    </w:p>
    <w:p>
      <w:pPr>
        <w:pStyle w:val="Compact"/>
        <w:numPr>
          <w:ilvl w:val="0"/>
          <w:numId w:val="1041"/>
        </w:numPr>
      </w:pPr>
      <w:r>
        <w:rPr>
          <w:b/>
          <w:bCs/>
        </w:rPr>
        <w:t xml:space="preserve">Di’ al paziente, alla prima seduta, che un aumento temporaneo di dolore fa parte del percorso</w:t>
      </w:r>
      <w:r>
        <w:t xml:space="preserve"> </w:t>
      </w:r>
      <w:r>
        <w:t xml:space="preserve">e che l’ecografia non è la misura del risultato. Detto all’inizio è un percorso; detto dopo è una giustificazione.</w:t>
      </w:r>
    </w:p>
    <w:p>
      <w:pPr>
        <w:pStyle w:val="Compact"/>
        <w:numPr>
          <w:ilvl w:val="0"/>
          <w:numId w:val="1041"/>
        </w:numPr>
      </w:pPr>
      <w:r>
        <w:rPr>
          <w:b/>
          <w:bCs/>
        </w:rPr>
        <w:t xml:space="preserve">Smetti di consigliare il riposo come strategia</w:t>
      </w:r>
      <w:r>
        <w:t xml:space="preserve">, e smetti di usare la parola «infiammazione» per descrivere quello che ha. Senza però sostituirla con la frase opposta,</w:t>
      </w:r>
      <w:r>
        <w:t xml:space="preserve"> </w:t>
      </w:r>
      <w:r>
        <w:rPr>
          <w:i/>
          <w:iCs/>
        </w:rPr>
        <w:t xml:space="preserve">«il tuo non è un problema infiammatorio»</w:t>
      </w:r>
      <w:r>
        <w:t xml:space="preserve">, che è un’esclusione diagnostica e non ti appartiene. Sono le due cose che il paziente ha già ricevuto da tutti gli altri, e sono le due che lo tengono fermo.</w:t>
      </w:r>
    </w:p>
    <w:p>
      <w:pPr>
        <w:pStyle w:val="FirstParagraph"/>
      </w:pPr>
      <w:r>
        <w:rPr>
          <w:b/>
          <w:bCs/>
        </w:rPr>
        <w:t xml:space="preserve">Quando sei autonomo su questa condizione.</w:t>
      </w:r>
      <w:r>
        <w:t xml:space="preserve"> </w:t>
      </w:r>
      <w:r>
        <w:t xml:space="preserve">Quando presumi l’inserzionale senza ecografia e lo scrivi come presunzione. Quando riconosci il reattivo su degenerativo e freni invece di progredire. E quando davanti a un medico sai dire che il carico è dimostrato e che la nostra leva è la meno dimostrata delle cinque.</w:t>
      </w:r>
    </w:p>
    <w:p>
      <w:pPr>
        <w:pStyle w:val="BodyText"/>
      </w:pPr>
      <w:r>
        <w:rPr>
          <w:i/>
          <w:iCs/>
        </w:rPr>
        <w:t xml:space="preserve">Non sei quello che ripara il tendine, e nessuno lo è. Sei quello che, per primo in tutto il percorso, misura il carico invece di parlarne, e restituisce al paziente la sola cosa che gli era stata tolta: il permesso di usare la parte che gli fa male.</w:t>
      </w:r>
    </w:p>
    <w:p>
      <w:pPr>
        <w:pStyle w:val="BodyText"/>
      </w:pPr>
      <w:r>
        <w:rPr>
          <w:b/>
          <w:bCs/>
        </w:rPr>
        <w:t xml:space="preserve">Le tre cose da ricordare, più una</w:t>
      </w:r>
    </w:p>
    <w:p>
      <w:pPr>
        <w:pStyle w:val="Compact"/>
        <w:numPr>
          <w:ilvl w:val="0"/>
          <w:numId w:val="1042"/>
        </w:numPr>
      </w:pPr>
      <w:r>
        <w:t xml:space="preserve">Guarda cosa è cambiato sei settimane prima, e scrivilo. Se la risposta è «niente», quello è un dato: cerca la posizione, non la quantità.</w:t>
      </w:r>
    </w:p>
    <w:p>
      <w:pPr>
        <w:pStyle w:val="Compact"/>
        <w:numPr>
          <w:ilvl w:val="0"/>
          <w:numId w:val="1042"/>
        </w:numPr>
      </w:pPr>
      <w:r>
        <w:t xml:space="preserve">Di’ all’inizio che il dolore può salire entro un confine, che l’ecografia non misura il risultato, e quali tre segnali impongono il pronto soccorso.</w:t>
      </w:r>
    </w:p>
    <w:p>
      <w:pPr>
        <w:pStyle w:val="Compact"/>
        <w:numPr>
          <w:ilvl w:val="0"/>
          <w:numId w:val="1042"/>
        </w:numPr>
      </w:pPr>
      <w:r>
        <w:t xml:space="preserve">Smetti di consigliare il riposo, e chiedi cosa prende: chinolone, cortisone, diabete, ormonoterapia, statina, pregressi su quell’arto.</w:t>
      </w:r>
    </w:p>
    <w:p>
      <w:pPr>
        <w:pStyle w:val="Compact"/>
        <w:numPr>
          <w:ilvl w:val="0"/>
          <w:numId w:val="1042"/>
        </w:numPr>
      </w:pPr>
      <w:r>
        <w:rPr>
          <w:b/>
          <w:bCs/>
        </w:rPr>
        <w:t xml:space="preserve">Perché ci sei tu.</w:t>
      </w:r>
      <w:r>
        <w:t xml:space="preserve"> </w:t>
      </w:r>
      <w:r>
        <w:t xml:space="preserve">Su 20 studi e 625 pazienti, il miglioramento ottenuto con l’esercizio</w:t>
      </w:r>
      <w:r>
        <w:t xml:space="preserve"> </w:t>
      </w:r>
      <w:r>
        <w:rPr>
          <w:b/>
          <w:bCs/>
        </w:rPr>
        <w:t xml:space="preserve">non</w:t>
      </w:r>
      <w:r>
        <w:t xml:space="preserve"> </w:t>
      </w:r>
      <w:r>
        <w:t xml:space="preserve">si spiega con il cambiamento strutturale visibile (Drew, 2014, PMID 23118117). Questo ti autorizza a dichiarare il successo su ciò che il paziente riesce a fare, prima che una seconda ecografia smentisca un risultato che c’è. Non ti autorizza a dire che l’immagine non serve: serve al medico, per una domanda diversa dalla tua.</w:t>
      </w:r>
    </w:p>
    <w:p>
      <w:r>
        <w:pict>
          <v:rect style="width:0;height:1.5pt" o:hralign="center" o:hrstd="t" o:hr="t"/>
        </w:pict>
      </w:r>
    </w:p>
    <w:bookmarkEnd w:id="71"/>
    <w:bookmarkStart w:id="72" w:name="appendice-a-glossario"/>
    <w:p>
      <w:pPr>
        <w:pStyle w:val="Heading2"/>
      </w:pPr>
      <w:r>
        <w:t xml:space="preserve">Appendice A — Glossario</w:t>
      </w:r>
    </w:p>
    <w:p>
      <w:pPr>
        <w:pStyle w:val="Compact"/>
        <w:numPr>
          <w:ilvl w:val="0"/>
          <w:numId w:val="1043"/>
        </w:numPr>
      </w:pPr>
      <w:r>
        <w:rPr>
          <w:b/>
          <w:bCs/>
        </w:rPr>
        <w:t xml:space="preserve">Carico lento pesante</w:t>
      </w:r>
      <w:r>
        <w:t xml:space="preserve"> </w:t>
      </w:r>
      <w:r>
        <w:t xml:space="preserve">— programma di esercizio con pesi alti e movimenti lenti in entrambe le direzioni. È l’alternativa all’eccentrico, con la stessa efficacia.</w:t>
      </w:r>
    </w:p>
    <w:p>
      <w:pPr>
        <w:pStyle w:val="Compact"/>
        <w:numPr>
          <w:ilvl w:val="0"/>
          <w:numId w:val="1043"/>
        </w:numPr>
      </w:pPr>
      <w:r>
        <w:rPr>
          <w:b/>
          <w:bCs/>
        </w:rPr>
        <w:t xml:space="preserve">Catastrofizzazione</w:t>
      </w:r>
      <w:r>
        <w:t xml:space="preserve"> </w:t>
      </w:r>
      <w:r>
        <w:t xml:space="preserve">— la tendenza ad aspettarsi il peggio dal dolore, a ruminarci sopra e a sentirsi impotenti davanti a lui. È l’unico costrutto psicologico che la meta-analisi dedicata trova più alto in chi ha una tendinopatia.</w:t>
      </w:r>
    </w:p>
    <w:p>
      <w:pPr>
        <w:pStyle w:val="Compact"/>
        <w:numPr>
          <w:ilvl w:val="0"/>
          <w:numId w:val="1043"/>
        </w:numPr>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Compact"/>
        <w:numPr>
          <w:ilvl w:val="0"/>
          <w:numId w:val="1043"/>
        </w:numPr>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Compact"/>
        <w:numPr>
          <w:ilvl w:val="0"/>
          <w:numId w:val="1043"/>
        </w:numPr>
      </w:pPr>
      <w:r>
        <w:rPr>
          <w:b/>
          <w:bCs/>
        </w:rPr>
        <w:t xml:space="preserve">Continuum</w:t>
      </w:r>
      <w:r>
        <w:t xml:space="preserve"> </w:t>
      </w:r>
      <w:r>
        <w:t xml:space="preserve">— modello che descrive la tendinopatia come passaggio fra tre stati: reattivo, riparazione fallita (</w:t>
      </w:r>
      <w:r>
        <w:rPr>
          <w:i/>
          <w:iCs/>
        </w:rPr>
        <w:t xml:space="preserve">disrepair</w:t>
      </w:r>
      <w:r>
        <w:t xml:space="preserve">), degenerativo. I cinque sottotipi di questo documento</w:t>
      </w:r>
      <w:r>
        <w:t xml:space="preserve"> </w:t>
      </w:r>
      <w:r>
        <w:rPr>
          <w:b/>
          <w:bCs/>
        </w:rPr>
        <w:t xml:space="preserve">non</w:t>
      </w:r>
      <w:r>
        <w:t xml:space="preserve"> </w:t>
      </w:r>
      <w:r>
        <w:t xml:space="preserve">sono i tre stati del continuum: sono pattern clinici, e uno stesso stato può presentarsi in pattern diversi.</w:t>
      </w:r>
    </w:p>
    <w:p>
      <w:pPr>
        <w:pStyle w:val="Compact"/>
        <w:numPr>
          <w:ilvl w:val="0"/>
          <w:numId w:val="1043"/>
        </w:numPr>
      </w:pPr>
      <w:r>
        <w:rPr>
          <w:b/>
          <w:bCs/>
        </w:rPr>
        <w:t xml:space="preserve">Co-regolazione</w:t>
      </w:r>
      <w:r>
        <w:t xml:space="preserve"> </w:t>
      </w:r>
      <w:r>
        <w:t xml:space="preserve">— la componente del livello di attivazione che passa dal contatto lento, dal ritmo del respiro e dal tempo dedicato. Su questa condizione non è misurata, e non è stabilita nemmeno sul meccanismo: l’assenza è stata cercata.</w:t>
      </w:r>
    </w:p>
    <w:p>
      <w:pPr>
        <w:pStyle w:val="Compact"/>
        <w:numPr>
          <w:ilvl w:val="0"/>
          <w:numId w:val="1043"/>
        </w:numPr>
      </w:pPr>
      <w:r>
        <w:rPr>
          <w:b/>
          <w:bCs/>
        </w:rPr>
        <w:t xml:space="preserve">Dattilite</w:t>
      </w:r>
      <w:r>
        <w:t xml:space="preserve"> </w:t>
      </w:r>
      <w:r>
        <w:t xml:space="preserve">— un dito gonfio per intero, «a salsicciotto», e non solo a livello di un’articolazione. È un segno di malattia reumatologica, ed è un criterio di invio.</w:t>
      </w:r>
    </w:p>
    <w:p>
      <w:pPr>
        <w:pStyle w:val="Compact"/>
        <w:numPr>
          <w:ilvl w:val="0"/>
          <w:numId w:val="1043"/>
        </w:numPr>
      </w:pPr>
      <w:r>
        <w:rPr>
          <w:b/>
          <w:bCs/>
        </w:rPr>
        <w:t xml:space="preserve">DIMOSTRATO</w:t>
      </w:r>
      <w:r>
        <w:t xml:space="preserve"> </w:t>
      </w:r>
      <w:r>
        <w:t xml:space="preserve">— etichetta di solidità: studi sull’uomo, solidi.</w:t>
      </w:r>
    </w:p>
    <w:p>
      <w:pPr>
        <w:pStyle w:val="Compact"/>
        <w:numPr>
          <w:ilvl w:val="0"/>
          <w:numId w:val="1043"/>
        </w:numPr>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Compact"/>
        <w:numPr>
          <w:ilvl w:val="0"/>
          <w:numId w:val="1043"/>
        </w:numPr>
      </w:pPr>
      <w:r>
        <w:rPr>
          <w:b/>
          <w:bCs/>
        </w:rPr>
        <w:t xml:space="preserve">Eccentrico</w:t>
      </w:r>
      <w:r>
        <w:t xml:space="preserve"> </w:t>
      </w:r>
      <w:r>
        <w:t xml:space="preserve">— contrazione in cui il muscolo produce forza mentre si allunga. Il programma di Alfredson ne è l’esempio storico.</w:t>
      </w:r>
    </w:p>
    <w:p>
      <w:pPr>
        <w:pStyle w:val="Compact"/>
        <w:numPr>
          <w:ilvl w:val="0"/>
          <w:numId w:val="1043"/>
        </w:numPr>
      </w:pPr>
      <w:r>
        <w:rPr>
          <w:b/>
          <w:bCs/>
        </w:rPr>
        <w:t xml:space="preserve">Entesi</w:t>
      </w:r>
      <w:r>
        <w:t xml:space="preserve"> </w:t>
      </w:r>
      <w:r>
        <w:t xml:space="preserve">— la zona in cui il tendine si inserisce sull’osso, con una transizione di fibrocartilagine.</w:t>
      </w:r>
    </w:p>
    <w:p>
      <w:pPr>
        <w:pStyle w:val="Compact"/>
        <w:numPr>
          <w:ilvl w:val="0"/>
          <w:numId w:val="1043"/>
        </w:numPr>
      </w:pPr>
      <w:r>
        <w:rPr>
          <w:b/>
          <w:bCs/>
        </w:rPr>
        <w:t xml:space="preserve">Entesite</w:t>
      </w:r>
      <w:r>
        <w:t xml:space="preserve"> </w:t>
      </w:r>
      <w:r>
        <w:t xml:space="preserve">— infiammazione dell’entesi di origine reumatologica, tipica dello spondiloartrite. Non è una tendinopatia da carico.</w:t>
      </w:r>
    </w:p>
    <w:p>
      <w:pPr>
        <w:pStyle w:val="Compact"/>
        <w:numPr>
          <w:ilvl w:val="0"/>
          <w:numId w:val="1043"/>
        </w:numPr>
      </w:pPr>
      <w:r>
        <w:rPr>
          <w:b/>
          <w:bCs/>
        </w:rPr>
        <w:t xml:space="preserve">Epicondilalgia</w:t>
      </w:r>
      <w:r>
        <w:t xml:space="preserve"> </w:t>
      </w:r>
      <w:r>
        <w:t xml:space="preserve">— dolore all’epicondilo laterale del gomito, quello che il paziente chiama «gomito del tennista». È la sede su cui poggia l’unico effetto manuale DIMOSTRATO di questo documento.</w:t>
      </w:r>
    </w:p>
    <w:p>
      <w:pPr>
        <w:pStyle w:val="Compact"/>
        <w:numPr>
          <w:ilvl w:val="0"/>
          <w:numId w:val="1043"/>
        </w:numPr>
      </w:pPr>
      <w:r>
        <w:rPr>
          <w:b/>
          <w:bCs/>
        </w:rPr>
        <w:t xml:space="preserve">IFOMPT Cervical Framework</w:t>
      </w:r>
      <w:r>
        <w:t xml:space="preserve"> </w:t>
      </w:r>
      <w:r>
        <w:t xml:space="preserve">— quadro internazionale di riferimento per la valutazione anamnestica della regione cervicale prima di un intervento muscolo-scheletrico, mobilizzazione compresa. Serve a intercettare le rare patologie vascolari del collo.</w:t>
      </w:r>
    </w:p>
    <w:p>
      <w:pPr>
        <w:pStyle w:val="Compact"/>
        <w:numPr>
          <w:ilvl w:val="0"/>
          <w:numId w:val="1043"/>
        </w:numPr>
      </w:pPr>
      <w:r>
        <w:rPr>
          <w:b/>
          <w:bCs/>
        </w:rPr>
        <w:t xml:space="preserve">Inserzionale</w:t>
      </w:r>
      <w:r>
        <w:t xml:space="preserve"> </w:t>
      </w:r>
      <w:r>
        <w:t xml:space="preserve">— sede del dolore sul rilievo osseo dove il tendine si attacca, cioè sull’entesi. Si oppone a</w:t>
      </w:r>
      <w:r>
        <w:t xml:space="preserve"> </w:t>
      </w:r>
      <w:r>
        <w:rPr>
          <w:i/>
          <w:iCs/>
        </w:rPr>
        <w:t xml:space="preserve">medio-portale</w:t>
      </w:r>
      <w:r>
        <w:t xml:space="preserve">.</w:t>
      </w:r>
    </w:p>
    <w:p>
      <w:pPr>
        <w:pStyle w:val="Compact"/>
        <w:numPr>
          <w:ilvl w:val="0"/>
          <w:numId w:val="1043"/>
        </w:numPr>
      </w:pPr>
      <w:r>
        <w:rPr>
          <w:b/>
          <w:bCs/>
        </w:rPr>
        <w:t xml:space="preserve">Ipoalgesia</w:t>
      </w:r>
      <w:r>
        <w:t xml:space="preserve"> </w:t>
      </w:r>
      <w:r>
        <w:t xml:space="preserve">— innalzamento della soglia a cui uno stimolo diventa doloroso.</w:t>
      </w:r>
    </w:p>
    <w:p>
      <w:pPr>
        <w:pStyle w:val="Compact"/>
        <w:numPr>
          <w:ilvl w:val="0"/>
          <w:numId w:val="1043"/>
        </w:numPr>
      </w:pPr>
      <w:r>
        <w:rPr>
          <w:b/>
          <w:bCs/>
        </w:rPr>
        <w:t xml:space="preserve">IPOTESI</w:t>
      </w:r>
      <w:r>
        <w:t xml:space="preserve"> </w:t>
      </w:r>
      <w:r>
        <w:t xml:space="preserve">— etichetta di solidità: meccanismo coerente, nessuno studio.</w:t>
      </w:r>
    </w:p>
    <w:p>
      <w:pPr>
        <w:pStyle w:val="Compact"/>
        <w:numPr>
          <w:ilvl w:val="0"/>
          <w:numId w:val="1043"/>
        </w:numPr>
      </w:pPr>
      <w:r>
        <w:rPr>
          <w:b/>
          <w:bCs/>
        </w:rPr>
        <w:t xml:space="preserve">Lesione da stress ossea</w:t>
      </w:r>
      <w:r>
        <w:t xml:space="preserve"> </w:t>
      </w:r>
      <w:r>
        <w:t xml:space="preserve">— microfrattura da carico ripetuto, con dolore sull’osso che anticipa nel gesto settimana dopo settimana. La radiografia precoce è spesso negativa. È la diagnosi differenziale in cui il carico progressivo è il meccanismo del danno.</w:t>
      </w:r>
    </w:p>
    <w:p>
      <w:pPr>
        <w:pStyle w:val="Compact"/>
        <w:numPr>
          <w:ilvl w:val="0"/>
          <w:numId w:val="1043"/>
        </w:numPr>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Compact"/>
        <w:numPr>
          <w:ilvl w:val="0"/>
          <w:numId w:val="1043"/>
        </w:numPr>
      </w:pPr>
      <w:r>
        <w:rPr>
          <w:b/>
          <w:bCs/>
        </w:rPr>
        <w:t xml:space="preserve">Livello di attivazione</w:t>
      </w:r>
      <w:r>
        <w:t xml:space="preserve"> </w:t>
      </w:r>
      <w:r>
        <w:t xml:space="preserve">— quanto il sistema di questo paziente sta rispondendo come se ci fosse una minaccia: soglia di dolore più bassa, respiro alto e corto, attenzione tutta sul punto che fa male. Non è una struttura e non si palpa. Ha due componenti, con due modelli e due etichette: la</w:t>
      </w:r>
      <w:r>
        <w:t xml:space="preserve"> </w:t>
      </w:r>
      <w:r>
        <w:rPr>
          <w:b/>
          <w:bCs/>
        </w:rPr>
        <w:t xml:space="preserve">modulazione discendente della nocicezione</w:t>
      </w:r>
      <w:r>
        <w:t xml:space="preserve"> </w:t>
      </w:r>
      <w:r>
        <w:t xml:space="preserve">(Neurologico, con prove) e la</w:t>
      </w:r>
      <w:r>
        <w:t xml:space="preserve"> </w:t>
      </w:r>
      <w:r>
        <w:rPr>
          <w:b/>
          <w:bCs/>
        </w:rPr>
        <w:t xml:space="preserve">co-regolazione</w:t>
      </w:r>
      <w:r>
        <w:t xml:space="preserve"> </w:t>
      </w:r>
      <w:r>
        <w:t xml:space="preserve">— contatto lento, respiro, tempo dedicato (Comportamentale, IPOTESI su questa condizione).</w:t>
      </w:r>
    </w:p>
    <w:p>
      <w:pPr>
        <w:pStyle w:val="Compact"/>
        <w:numPr>
          <w:ilvl w:val="0"/>
          <w:numId w:val="1043"/>
        </w:numPr>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43"/>
        </w:numPr>
      </w:pPr>
      <w:r>
        <w:rPr>
          <w:b/>
          <w:bCs/>
        </w:rPr>
        <w:t xml:space="preserve">Medio-portale</w:t>
      </w:r>
      <w:r>
        <w:t xml:space="preserve"> </w:t>
      </w:r>
      <w:r>
        <w:t xml:space="preserve">— la porzione centrale del tendine, indicativamente due-sei centimetri sopra l’inserzione. Si oppone a</w:t>
      </w:r>
      <w:r>
        <w:t xml:space="preserve"> </w:t>
      </w:r>
      <w:r>
        <w:rPr>
          <w:i/>
          <w:iCs/>
        </w:rPr>
        <w:t xml:space="preserve">inserzionale</w:t>
      </w:r>
      <w:r>
        <w:t xml:space="preserve">, e la distinzione fra le due è quella che cambia di più la condotta.</w:t>
      </w:r>
    </w:p>
    <w:p>
      <w:pPr>
        <w:pStyle w:val="Compact"/>
        <w:numPr>
          <w:ilvl w:val="0"/>
          <w:numId w:val="1043"/>
        </w:numPr>
      </w:pPr>
      <w:r>
        <w:rPr>
          <w:b/>
          <w:bCs/>
        </w:rPr>
        <w:t xml:space="preserve">Mobilizzazione con movimento</w:t>
      </w:r>
      <w:r>
        <w:t xml:space="preserve"> </w:t>
      </w:r>
      <w:r>
        <w:t xml:space="preserve">— tecnica manuale in cui l’operatore applica uno scorrimento articolare mantenuto mentre il paziente esegue attivamente il movimento che gli fa male. Non è una manipolazione ad alta velocità.</w:t>
      </w:r>
    </w:p>
    <w:p>
      <w:pPr>
        <w:pStyle w:val="Compact"/>
        <w:numPr>
          <w:ilvl w:val="0"/>
          <w:numId w:val="1043"/>
        </w:numPr>
      </w:pPr>
      <w:r>
        <w:rPr>
          <w:b/>
          <w:bCs/>
        </w:rPr>
        <w:t xml:space="preserve">Neovasi</w:t>
      </w:r>
      <w:r>
        <w:t xml:space="preserve"> </w:t>
      </w:r>
      <w:r>
        <w:t xml:space="preserve">— piccoli vasi che crescono dentro un tendine malato, accompagnati da fibre nervose sensitive. Sono abbondanti e non correlano con il dolore.</w:t>
      </w:r>
    </w:p>
    <w:p>
      <w:pPr>
        <w:pStyle w:val="Compact"/>
        <w:numPr>
          <w:ilvl w:val="0"/>
          <w:numId w:val="1043"/>
        </w:numPr>
      </w:pPr>
      <w:r>
        <w:rPr>
          <w:b/>
          <w:bCs/>
        </w:rPr>
        <w:t xml:space="preserve">Neuropatico</w:t>
      </w:r>
      <w:r>
        <w:t xml:space="preserve"> </w:t>
      </w:r>
      <w:r>
        <w:t xml:space="preserve">— dolore che nasce da una lesione o da una malattia del sistema nervoso che porta la sensibilità. Segue un territorio nervoso, formicola, riduce la sensibilità: non è una tendinopatia da carico, non è nostro, e si cerca a monte.</w:t>
      </w:r>
    </w:p>
    <w:p>
      <w:pPr>
        <w:pStyle w:val="Compact"/>
        <w:numPr>
          <w:ilvl w:val="0"/>
          <w:numId w:val="1043"/>
        </w:numPr>
      </w:pPr>
      <w:r>
        <w:rPr>
          <w:b/>
          <w:bCs/>
        </w:rPr>
        <w:t xml:space="preserve">Nocicettivo</w:t>
      </w:r>
      <w:r>
        <w:t xml:space="preserve"> </w:t>
      </w:r>
      <w:r>
        <w:t xml:space="preserve">— dolore che nasce da un danno o da uno stress reale nel tessuto e dai recettori che lo segnalano. È il quadro della grande maggioranza di questi pazienti, e segue il carico.</w:t>
      </w:r>
    </w:p>
    <w:p>
      <w:pPr>
        <w:pStyle w:val="Compact"/>
        <w:numPr>
          <w:ilvl w:val="0"/>
          <w:numId w:val="1043"/>
        </w:numPr>
      </w:pPr>
      <w:r>
        <w:rPr>
          <w:b/>
          <w:bCs/>
        </w:rPr>
        <w:t xml:space="preserve">Nociplastico</w:t>
      </w:r>
      <w:r>
        <w:t xml:space="preserve"> </w:t>
      </w:r>
      <w:r>
        <w:t xml:space="preserve">— dolore che nasce da un’alterazione del modo in cui il sistema nervoso elabora il segnale, senza un danno tissutale o una lesione nervosa che lo spieghi. Richiede criteri positivi: dolore diffuso, ipersensibilità, sonno e fatica alterati. Su questa condizione è un quadro raro.</w:t>
      </w:r>
    </w:p>
    <w:p>
      <w:pPr>
        <w:pStyle w:val="Compact"/>
        <w:numPr>
          <w:ilvl w:val="0"/>
          <w:numId w:val="1043"/>
        </w:numPr>
      </w:pPr>
      <w:r>
        <w:rPr>
          <w:b/>
          <w:bCs/>
        </w:rPr>
        <w:t xml:space="preserve">Paratenonio</w:t>
      </w:r>
      <w:r>
        <w:t xml:space="preserve"> </w:t>
      </w:r>
      <w:r>
        <w:t xml:space="preserve">— il tessuto che avvolge il tendine e ne permette lo scorrimento.</w:t>
      </w:r>
    </w:p>
    <w:p>
      <w:pPr>
        <w:pStyle w:val="Compact"/>
        <w:numPr>
          <w:ilvl w:val="0"/>
          <w:numId w:val="1043"/>
        </w:numPr>
      </w:pPr>
      <w:r>
        <w:rPr>
          <w:b/>
          <w:bCs/>
        </w:rPr>
        <w:t xml:space="preserve">PROBABILE</w:t>
      </w:r>
      <w:r>
        <w:t xml:space="preserve"> </w:t>
      </w:r>
      <w:r>
        <w:t xml:space="preserve">— etichetta di solidità: razionale forte, prove parziali.</w:t>
      </w:r>
    </w:p>
    <w:p>
      <w:pPr>
        <w:pStyle w:val="Compact"/>
        <w:numPr>
          <w:ilvl w:val="0"/>
          <w:numId w:val="1043"/>
        </w:numPr>
      </w:pPr>
      <w:r>
        <w:rPr>
          <w:b/>
          <w:bCs/>
        </w:rPr>
        <w:t xml:space="preserve">RAGIONAMENTO</w:t>
      </w:r>
      <w:r>
        <w:t xml:space="preserve"> </w:t>
      </w:r>
      <w:r>
        <w:t xml:space="preserve">— etichetta di solidità: cornice clinica, non una prova.</w:t>
      </w:r>
    </w:p>
    <w:p>
      <w:pPr>
        <w:pStyle w:val="Compact"/>
        <w:numPr>
          <w:ilvl w:val="0"/>
          <w:numId w:val="1043"/>
        </w:numPr>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Compact"/>
        <w:numPr>
          <w:ilvl w:val="0"/>
          <w:numId w:val="1043"/>
        </w:numPr>
      </w:pPr>
      <w:r>
        <w:rPr>
          <w:b/>
          <w:bCs/>
        </w:rPr>
        <w:t xml:space="preserve">Rigidità del tendine</w:t>
      </w:r>
      <w:r>
        <w:t xml:space="preserve"> </w:t>
      </w:r>
      <w:r>
        <w:t xml:space="preserve">— quanta forza serve per allungarlo di una certa quantità. È la proprietà che il carico modifica.</w:t>
      </w:r>
    </w:p>
    <w:p>
      <w:pPr>
        <w:pStyle w:val="Compact"/>
        <w:numPr>
          <w:ilvl w:val="0"/>
          <w:numId w:val="1043"/>
        </w:numPr>
      </w:pPr>
      <w:r>
        <w:rPr>
          <w:b/>
          <w:bCs/>
        </w:rPr>
        <w:t xml:space="preserve">Sensibilizzazione centrale</w:t>
      </w:r>
      <w:r>
        <w:t xml:space="preserve"> </w:t>
      </w:r>
      <w:r>
        <w:t xml:space="preserve">— abbassamento della soglia nelle vie che ricevono il segnale, tale che il dolore compare anche in sedi lontane e non toccate. Su questa condizione si misura al gomito e alla spalla; all’achilleo, alla rotula e al gluteo la soglia remota è risultata normale. Nel testo la trovi come</w:t>
      </w:r>
      <w:r>
        <w:t xml:space="preserve"> </w:t>
      </w:r>
      <w:r>
        <w:rPr>
          <w:i/>
          <w:iCs/>
        </w:rPr>
        <w:t xml:space="preserve">il sistema del dolore che si è allargato</w:t>
      </w:r>
      <w:r>
        <w:t xml:space="preserve">.</w:t>
      </w:r>
    </w:p>
    <w:p>
      <w:pPr>
        <w:pStyle w:val="Compact"/>
        <w:numPr>
          <w:ilvl w:val="0"/>
          <w:numId w:val="1043"/>
        </w:numPr>
      </w:pPr>
      <w:r>
        <w:rPr>
          <w:b/>
          <w:bCs/>
        </w:rPr>
        <w:t xml:space="preserve">Sensibilizzazione periferica</w:t>
      </w:r>
      <w:r>
        <w:t xml:space="preserve"> </w:t>
      </w:r>
      <w:r>
        <w:t xml:space="preserve">— abbassamento della soglia dei recettori nel tessuto malato stesso: fa male prima, lì dove il problema è.</w:t>
      </w:r>
    </w:p>
    <w:p>
      <w:pPr>
        <w:pStyle w:val="Compact"/>
        <w:numPr>
          <w:ilvl w:val="0"/>
          <w:numId w:val="1043"/>
        </w:numPr>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Compact"/>
        <w:numPr>
          <w:ilvl w:val="0"/>
          <w:numId w:val="1043"/>
        </w:numPr>
      </w:pPr>
      <w:r>
        <w:rPr>
          <w:b/>
          <w:bCs/>
        </w:rPr>
        <w:t xml:space="preserve">Soglia di pressione dolorosa</w:t>
      </w:r>
      <w:r>
        <w:t xml:space="preserve"> </w:t>
      </w:r>
      <w:r>
        <w:t xml:space="preserve">— la pressione, misurata con un algometro, alla quale il paziente comincia a sentire dolore.</w:t>
      </w:r>
    </w:p>
    <w:p>
      <w:pPr>
        <w:pStyle w:val="Compact"/>
        <w:numPr>
          <w:ilvl w:val="0"/>
          <w:numId w:val="1043"/>
        </w:numPr>
      </w:pPr>
      <w:r>
        <w:rPr>
          <w:b/>
          <w:bCs/>
        </w:rPr>
        <w:t xml:space="preserve">Spondiloartrite</w:t>
      </w:r>
      <w:r>
        <w:t xml:space="preserve"> </w:t>
      </w:r>
      <w:r>
        <w:t xml:space="preserve">— famiglia di malattie reumatologiche che colpisce entesi e articolazioni, spesso con psoriasi, uveite o malattia intestinale.</w:t>
      </w:r>
    </w:p>
    <w:p>
      <w:pPr>
        <w:pStyle w:val="Compact"/>
        <w:numPr>
          <w:ilvl w:val="0"/>
          <w:numId w:val="1043"/>
        </w:numPr>
      </w:pPr>
      <w:r>
        <w:rPr>
          <w:b/>
          <w:bCs/>
        </w:rPr>
        <w:t xml:space="preserve">Sympathoeccitazione</w:t>
      </w:r>
      <w:r>
        <w:t xml:space="preserve"> </w:t>
      </w:r>
      <w:r>
        <w:t xml:space="preserve">— aumento dell’attività del sistema nervoso simpatico. Accompagna l’ipoalgesia prodotta dalla terapia manuale in questa condizione: il paziente si attiva, non si rilassa. Nel testo,</w:t>
      </w:r>
      <w:r>
        <w:t xml:space="preserve"> </w:t>
      </w:r>
      <w:r>
        <w:rPr>
          <w:i/>
          <w:iCs/>
        </w:rPr>
        <w:t xml:space="preserve">aumento dell’attività simpatica</w:t>
      </w:r>
      <w:r>
        <w:t xml:space="preserve">.</w:t>
      </w:r>
    </w:p>
    <w:p>
      <w:pPr>
        <w:pStyle w:val="Compact"/>
        <w:numPr>
          <w:ilvl w:val="0"/>
          <w:numId w:val="1043"/>
        </w:numPr>
      </w:pPr>
      <w:r>
        <w:rPr>
          <w:b/>
          <w:bCs/>
        </w:rPr>
        <w:t xml:space="preserve">Tendinopatia</w:t>
      </w:r>
      <w:r>
        <w:t xml:space="preserve"> </w:t>
      </w:r>
      <w:r>
        <w:t xml:space="preserve">— disturbo del tendine con dolore legato all’attività, calo di funzione e ridotta tolleranza all’esercizio.</w:t>
      </w:r>
    </w:p>
    <w:p>
      <w:pPr>
        <w:pStyle w:val="Compact"/>
        <w:numPr>
          <w:ilvl w:val="0"/>
          <w:numId w:val="1043"/>
        </w:numPr>
      </w:pPr>
      <w:r>
        <w:rPr>
          <w:b/>
          <w:bCs/>
        </w:rPr>
        <w:t xml:space="preserve">Tendinopatia calcifica</w:t>
      </w:r>
      <w:r>
        <w:t xml:space="preserve"> </w:t>
      </w:r>
      <w:r>
        <w:t xml:space="preserve">— deposito di idrossiapatite dentro il tendine, con decorso a fasi e una fase riassorbitiva molto dolorosa. Non è una tendinopatia da carico e non risponde al carico progressivo.</w:t>
      </w:r>
    </w:p>
    <w:p>
      <w:pPr>
        <w:pStyle w:val="Compact"/>
        <w:numPr>
          <w:ilvl w:val="0"/>
          <w:numId w:val="1043"/>
        </w:numPr>
      </w:pPr>
      <w:r>
        <w:rPr>
          <w:b/>
          <w:bCs/>
        </w:rPr>
        <w:t xml:space="preserve">Tenocita</w:t>
      </w:r>
      <w:r>
        <w:t xml:space="preserve"> </w:t>
      </w:r>
      <w:r>
        <w:t xml:space="preserve">— la cellula del tendine, che legge la deformazione del tessuto e regola la produzione di collagene.</w:t>
      </w:r>
    </w:p>
    <w:p>
      <w:pPr>
        <w:pStyle w:val="Compact"/>
        <w:numPr>
          <w:ilvl w:val="0"/>
          <w:numId w:val="1043"/>
        </w:numPr>
      </w:pPr>
      <w:r>
        <w:rPr>
          <w:b/>
          <w:bCs/>
        </w:rPr>
        <w:t xml:space="preserve">VISA-A</w:t>
      </w:r>
      <w:r>
        <w:t xml:space="preserve"> </w:t>
      </w:r>
      <w:r>
        <w:t xml:space="preserve">— questionario validato che misura sintomi e funzione nella tendinopatia achillea.</w:t>
      </w:r>
    </w:p>
    <w:p>
      <w:r>
        <w:pict>
          <v:rect style="width:0;height:1.5pt" o:hralign="center" o:hrstd="t" o:hr="t"/>
        </w:pict>
      </w:r>
    </w:p>
    <w:bookmarkEnd w:id="72"/>
    <w:bookmarkStart w:id="138" w:name="appendice-b-le-fonti"/>
    <w:p>
      <w:pPr>
        <w:pStyle w:val="Heading2"/>
      </w:pPr>
      <w:r>
        <w:t xml:space="preserve">Appendice B — Le fonti</w:t>
      </w:r>
    </w:p>
    <w:p>
      <w:pPr>
        <w:pStyle w:val="FirstParagraph"/>
      </w:pPr>
      <w:r>
        <w:t xml:space="preserve">Le prime trentadue nell’ordine in cui compaiono nel testo; dalla trentatreesima, le fonti entrate con la revisione di primo livello; dalla cinquantanovesima, quelle entrate con il secondo.</w:t>
      </w:r>
    </w:p>
    <w:p>
      <w:pPr>
        <w:pStyle w:val="Compact"/>
        <w:numPr>
          <w:ilvl w:val="0"/>
          <w:numId w:val="1044"/>
        </w:numPr>
      </w:pPr>
      <w:r>
        <w:t xml:space="preserve">Millar NL, Murrell GA, McInnes IB.</w:t>
      </w:r>
      <w:r>
        <w:t xml:space="preserve"> </w:t>
      </w:r>
      <w:r>
        <w:rPr>
          <w:i/>
          <w:iCs/>
        </w:rPr>
        <w:t xml:space="preserve">Inflammatory mechanisms in tendinopathy — towards translation.</w:t>
      </w:r>
      <w:r>
        <w:t xml:space="preserve"> </w:t>
      </w:r>
      <w:r>
        <w:t xml:space="preserve">Nat Rev Rheumatol 2017;13(2):110-122.</w:t>
      </w:r>
      <w:r>
        <w:t xml:space="preserve"> </w:t>
      </w:r>
      <w:hyperlink r:id="rId73">
        <w:r>
          <w:rPr>
            <w:rStyle w:val="Hyperlink"/>
          </w:rPr>
          <w:t xml:space="preserve">PMID 28119539</w:t>
        </w:r>
      </w:hyperlink>
    </w:p>
    <w:p>
      <w:pPr>
        <w:pStyle w:val="Compact"/>
        <w:numPr>
          <w:ilvl w:val="0"/>
          <w:numId w:val="1044"/>
        </w:numPr>
      </w:pPr>
      <w:r>
        <w:t xml:space="preserve">de Jonge S, van den Berg C, de Vos RJ, et al. </w:t>
      </w:r>
      <w:r>
        <w:rPr>
          <w:i/>
          <w:iCs/>
        </w:rPr>
        <w:t xml:space="preserve">Incidence of midportion Achilles tendinopathy in the general population.</w:t>
      </w:r>
      <w:r>
        <w:t xml:space="preserve"> </w:t>
      </w:r>
      <w:r>
        <w:t xml:space="preserve">Br J Sports Med 2011;45(13):1026-1028.</w:t>
      </w:r>
      <w:r>
        <w:t xml:space="preserve"> </w:t>
      </w:r>
      <w:hyperlink r:id="rId74">
        <w:r>
          <w:rPr>
            <w:rStyle w:val="Hyperlink"/>
          </w:rPr>
          <w:t xml:space="preserve">PMID 21926076</w:t>
        </w:r>
      </w:hyperlink>
    </w:p>
    <w:p>
      <w:pPr>
        <w:pStyle w:val="Compact"/>
        <w:numPr>
          <w:ilvl w:val="0"/>
          <w:numId w:val="1044"/>
        </w:numPr>
      </w:pPr>
      <w:r>
        <w:t xml:space="preserve">Millar NL, Silbernagel KG, Thorborg K, et al. </w:t>
      </w:r>
      <w:r>
        <w:rPr>
          <w:i/>
          <w:iCs/>
        </w:rPr>
        <w:t xml:space="preserve">Tendinopathy.</w:t>
      </w:r>
      <w:r>
        <w:t xml:space="preserve"> </w:t>
      </w:r>
      <w:r>
        <w:t xml:space="preserve">Nat Rev Dis Primers 2021;7(1):1.</w:t>
      </w:r>
      <w:r>
        <w:t xml:space="preserve"> </w:t>
      </w:r>
      <w:hyperlink r:id="rId75">
        <w:r>
          <w:rPr>
            <w:rStyle w:val="Hyperlink"/>
          </w:rPr>
          <w:t xml:space="preserve">PMID 33414454</w:t>
        </w:r>
      </w:hyperlink>
    </w:p>
    <w:p>
      <w:pPr>
        <w:pStyle w:val="Compact"/>
        <w:numPr>
          <w:ilvl w:val="0"/>
          <w:numId w:val="1044"/>
        </w:numPr>
      </w:pPr>
      <w:r>
        <w:t xml:space="preserve">Khan KM, Cook JL, Kannus P, Maffulli N, Bonar SF.</w:t>
      </w:r>
      <w:r>
        <w:t xml:space="preserve"> </w:t>
      </w:r>
      <w:r>
        <w:rPr>
          <w:i/>
          <w:iCs/>
        </w:rPr>
        <w:t xml:space="preserve">Time to abandon the</w:t>
      </w:r>
      <w:r>
        <w:rPr>
          <w:i/>
          <w:iCs/>
        </w:rPr>
        <w:t xml:space="preserve"> </w:t>
      </w:r>
      <w:r>
        <w:rPr>
          <w:i/>
          <w:iCs/>
        </w:rPr>
        <w:t xml:space="preserve">“tendinitis”</w:t>
      </w:r>
      <w:r>
        <w:rPr>
          <w:i/>
          <w:iCs/>
        </w:rPr>
        <w:t xml:space="preserve"> </w:t>
      </w:r>
      <w:r>
        <w:rPr>
          <w:i/>
          <w:iCs/>
        </w:rPr>
        <w:t xml:space="preserve">myth.</w:t>
      </w:r>
      <w:r>
        <w:t xml:space="preserve"> </w:t>
      </w:r>
      <w:r>
        <w:t xml:space="preserve">BMJ 2002;324(7338):626-627.</w:t>
      </w:r>
      <w:r>
        <w:t xml:space="preserve"> </w:t>
      </w:r>
      <w:hyperlink r:id="rId76">
        <w:r>
          <w:rPr>
            <w:rStyle w:val="Hyperlink"/>
          </w:rPr>
          <w:t xml:space="preserve">PMID 11895810</w:t>
        </w:r>
      </w:hyperlink>
    </w:p>
    <w:p>
      <w:pPr>
        <w:pStyle w:val="Compact"/>
        <w:numPr>
          <w:ilvl w:val="0"/>
          <w:numId w:val="1044"/>
        </w:numPr>
      </w:pPr>
      <w:r>
        <w:t xml:space="preserve">Smidt N, van der Windt DA, Assendelft WJ, et al. </w:t>
      </w:r>
      <w:r>
        <w:rPr>
          <w:i/>
          <w:iCs/>
        </w:rPr>
        <w:t xml:space="preserve">Corticosteroid injections, physiotherapy, or a wait-and-see policy for lateral epicondylitis: a randomised controlled trial.</w:t>
      </w:r>
      <w:r>
        <w:t xml:space="preserve"> </w:t>
      </w:r>
      <w:r>
        <w:t xml:space="preserve">Lancet 2002;359(9307):657-662.</w:t>
      </w:r>
      <w:r>
        <w:t xml:space="preserve"> </w:t>
      </w:r>
      <w:hyperlink r:id="rId77">
        <w:r>
          <w:rPr>
            <w:rStyle w:val="Hyperlink"/>
          </w:rPr>
          <w:t xml:space="preserve">PMID 11879861</w:t>
        </w:r>
      </w:hyperlink>
    </w:p>
    <w:p>
      <w:pPr>
        <w:pStyle w:val="Compact"/>
        <w:numPr>
          <w:ilvl w:val="0"/>
          <w:numId w:val="1044"/>
        </w:numPr>
      </w:pPr>
      <w:r>
        <w:t xml:space="preserve">Cushman DM, Vomer R, Teramoto M, et al. </w:t>
      </w:r>
      <w:r>
        <w:rPr>
          <w:i/>
          <w:iCs/>
        </w:rPr>
        <w:t xml:space="preserve">Sonographic assessment of asymptomatic patellar and Achilles tendons to predict future pain: a systematic review and meta-analysis.</w:t>
      </w:r>
      <w:r>
        <w:t xml:space="preserve"> </w:t>
      </w:r>
      <w:r>
        <w:t xml:space="preserve">Clin J Sport Med 2025;35(1):13-22.</w:t>
      </w:r>
      <w:r>
        <w:t xml:space="preserve"> </w:t>
      </w:r>
      <w:hyperlink r:id="rId78">
        <w:r>
          <w:rPr>
            <w:rStyle w:val="Hyperlink"/>
          </w:rPr>
          <w:t xml:space="preserve">PMID 38864880</w:t>
        </w:r>
      </w:hyperlink>
    </w:p>
    <w:p>
      <w:pPr>
        <w:pStyle w:val="Compact"/>
        <w:numPr>
          <w:ilvl w:val="0"/>
          <w:numId w:val="1044"/>
        </w:numPr>
      </w:pPr>
      <w:r>
        <w:t xml:space="preserve">Rudwaleit M, van der Heijde D, Landewé R, et al. </w:t>
      </w:r>
      <w:r>
        <w:rPr>
          <w:i/>
          <w:iCs/>
        </w:rPr>
        <w:t xml:space="preserve">The ASAS classification criteria for peripheral spondyloarthritis and for spondyloarthritis in general.</w:t>
      </w:r>
      <w:r>
        <w:t xml:space="preserve"> </w:t>
      </w:r>
      <w:r>
        <w:t xml:space="preserve">Ann Rheum Dis 2011;70(1):25-31.</w:t>
      </w:r>
      <w:r>
        <w:t xml:space="preserve"> </w:t>
      </w:r>
      <w:hyperlink r:id="rId79">
        <w:r>
          <w:rPr>
            <w:rStyle w:val="Hyperlink"/>
          </w:rPr>
          <w:t xml:space="preserve">PMID 21109520</w:t>
        </w:r>
      </w:hyperlink>
    </w:p>
    <w:p>
      <w:pPr>
        <w:pStyle w:val="Compact"/>
        <w:numPr>
          <w:ilvl w:val="0"/>
          <w:numId w:val="1044"/>
        </w:numPr>
      </w:pPr>
      <w:r>
        <w:t xml:space="preserve">Heinemeier KM, Schjerling P, Heinemeier J, Magnusson SP, Kjaer M.</w:t>
      </w:r>
      <w:r>
        <w:t xml:space="preserve"> </w:t>
      </w:r>
      <w:r>
        <w:rPr>
          <w:i/>
          <w:iCs/>
        </w:rPr>
        <w:t xml:space="preserve">Lack of tissue renewal in human adult Achilles tendon is revealed by nuclear bomb 14C.</w:t>
      </w:r>
      <w:r>
        <w:t xml:space="preserve"> </w:t>
      </w:r>
      <w:r>
        <w:t xml:space="preserve">FASEB J 2013;27(5):2074-2079.</w:t>
      </w:r>
      <w:r>
        <w:t xml:space="preserve"> </w:t>
      </w:r>
      <w:hyperlink r:id="rId80">
        <w:r>
          <w:rPr>
            <w:rStyle w:val="Hyperlink"/>
          </w:rPr>
          <w:t xml:space="preserve">PMID 23401563</w:t>
        </w:r>
      </w:hyperlink>
    </w:p>
    <w:p>
      <w:pPr>
        <w:pStyle w:val="Compact"/>
        <w:numPr>
          <w:ilvl w:val="0"/>
          <w:numId w:val="1044"/>
        </w:numPr>
      </w:pPr>
      <w:r>
        <w:t xml:space="preserve">Cook JL, Purdam C.</w:t>
      </w:r>
      <w:r>
        <w:t xml:space="preserve"> </w:t>
      </w:r>
      <w:r>
        <w:rPr>
          <w:i/>
          <w:iCs/>
        </w:rPr>
        <w:t xml:space="preserve">Is compressive load a factor in the development of tendinopathy?</w:t>
      </w:r>
      <w:r>
        <w:t xml:space="preserve"> </w:t>
      </w:r>
      <w:r>
        <w:t xml:space="preserve">Br J Sports Med 2012;46(3):163-168.</w:t>
      </w:r>
      <w:r>
        <w:t xml:space="preserve"> </w:t>
      </w:r>
      <w:hyperlink r:id="rId81">
        <w:r>
          <w:rPr>
            <w:rStyle w:val="Hyperlink"/>
          </w:rPr>
          <w:t xml:space="preserve">PMID 22113234</w:t>
        </w:r>
      </w:hyperlink>
    </w:p>
    <w:p>
      <w:pPr>
        <w:pStyle w:val="Compact"/>
        <w:numPr>
          <w:ilvl w:val="0"/>
          <w:numId w:val="1044"/>
        </w:numPr>
      </w:pPr>
      <w:r>
        <w:t xml:space="preserve">Plinsinga ML, Brink MS, Vicenzino B, van Wilgen CP.</w:t>
      </w:r>
      <w:r>
        <w:t xml:space="preserve"> </w:t>
      </w:r>
      <w:r>
        <w:rPr>
          <w:i/>
          <w:iCs/>
        </w:rPr>
        <w:t xml:space="preserve">Evidence of nervous system sensitization in commonly presenting and persistent painful tendinopathies: a systematic review.</w:t>
      </w:r>
      <w:r>
        <w:t xml:space="preserve"> </w:t>
      </w:r>
      <w:r>
        <w:t xml:space="preserve">J Orthop Sports Phys Ther 2015;45(11):864-875.</w:t>
      </w:r>
      <w:r>
        <w:t xml:space="preserve"> </w:t>
      </w:r>
      <w:hyperlink r:id="rId82">
        <w:r>
          <w:rPr>
            <w:rStyle w:val="Hyperlink"/>
          </w:rPr>
          <w:t xml:space="preserve">PMID 26390275</w:t>
        </w:r>
      </w:hyperlink>
    </w:p>
    <w:p>
      <w:pPr>
        <w:pStyle w:val="Compact"/>
        <w:numPr>
          <w:ilvl w:val="0"/>
          <w:numId w:val="1044"/>
        </w:numPr>
      </w:pPr>
      <w:r>
        <w:t xml:space="preserve">Bohm S, Mersmann F, Arampatzis A.</w:t>
      </w:r>
      <w:r>
        <w:t xml:space="preserve"> </w:t>
      </w:r>
      <w:r>
        <w:rPr>
          <w:i/>
          <w:iCs/>
        </w:rPr>
        <w:t xml:space="preserve">Human tendon adaptation in response to mechanical loading: a systematic review and meta-analysis of exercise intervention studies on healthy adults.</w:t>
      </w:r>
      <w:r>
        <w:t xml:space="preserve"> </w:t>
      </w:r>
      <w:r>
        <w:t xml:space="preserve">Sports Med Open 2015;1(1):7.</w:t>
      </w:r>
      <w:r>
        <w:t xml:space="preserve"> </w:t>
      </w:r>
      <w:hyperlink r:id="rId83">
        <w:r>
          <w:rPr>
            <w:rStyle w:val="Hyperlink"/>
          </w:rPr>
          <w:t xml:space="preserve">PMID 27747846</w:t>
        </w:r>
      </w:hyperlink>
    </w:p>
    <w:p>
      <w:pPr>
        <w:pStyle w:val="Compact"/>
        <w:numPr>
          <w:ilvl w:val="0"/>
          <w:numId w:val="1044"/>
        </w:numPr>
      </w:pPr>
      <w:r>
        <w:t xml:space="preserve">Cook JL, Purdam CR.</w:t>
      </w:r>
      <w:r>
        <w:t xml:space="preserve"> </w:t>
      </w:r>
      <w:r>
        <w:rPr>
          <w:i/>
          <w:iCs/>
        </w:rPr>
        <w:t xml:space="preserve">Is tendon pathology a continuum? A pathology model to explain the clinical presentation of load-induced tendinopathy.</w:t>
      </w:r>
      <w:r>
        <w:t xml:space="preserve"> </w:t>
      </w:r>
      <w:r>
        <w:t xml:space="preserve">Br J Sports Med 2009;43(6):409-416.</w:t>
      </w:r>
      <w:r>
        <w:t xml:space="preserve"> </w:t>
      </w:r>
      <w:hyperlink r:id="rId84">
        <w:r>
          <w:rPr>
            <w:rStyle w:val="Hyperlink"/>
          </w:rPr>
          <w:t xml:space="preserve">PMID 18812414</w:t>
        </w:r>
      </w:hyperlink>
    </w:p>
    <w:p>
      <w:pPr>
        <w:pStyle w:val="Compact"/>
        <w:numPr>
          <w:ilvl w:val="0"/>
          <w:numId w:val="1044"/>
        </w:numPr>
      </w:pPr>
      <w:r>
        <w:t xml:space="preserve">Silbernagel KG, Thomeé R, Eriksson BI, Karlsson J.</w:t>
      </w:r>
      <w:r>
        <w:t xml:space="preserve"> </w:t>
      </w:r>
      <w:r>
        <w:rPr>
          <w:i/>
          <w:iCs/>
        </w:rPr>
        <w:t xml:space="preserve">Continued sports activity, using a pain-monitoring model, during rehabilitation in patients with Achilles tendinopathy: a randomized controlled study.</w:t>
      </w:r>
      <w:r>
        <w:t xml:space="preserve"> </w:t>
      </w:r>
      <w:r>
        <w:t xml:space="preserve">Am J Sports Med 2007;35(6):897-906.</w:t>
      </w:r>
      <w:r>
        <w:t xml:space="preserve"> </w:t>
      </w:r>
      <w:hyperlink r:id="rId85">
        <w:r>
          <w:rPr>
            <w:rStyle w:val="Hyperlink"/>
          </w:rPr>
          <w:t xml:space="preserve">PMID 17307888</w:t>
        </w:r>
      </w:hyperlink>
    </w:p>
    <w:p>
      <w:pPr>
        <w:pStyle w:val="Compact"/>
        <w:numPr>
          <w:ilvl w:val="0"/>
          <w:numId w:val="1044"/>
        </w:numPr>
      </w:pPr>
      <w:r>
        <w:t xml:space="preserve">Quarmby A, Mönnig J, Mugele H, et al. </w:t>
      </w:r>
      <w:r>
        <w:rPr>
          <w:i/>
          <w:iCs/>
        </w:rPr>
        <w:t xml:space="preserve">Biomechanics and lower limb function are altered in athletes and runners with Achilles tendinopathy compared with healthy controls: a systematic review.</w:t>
      </w:r>
      <w:r>
        <w:t xml:space="preserve"> </w:t>
      </w:r>
      <w:r>
        <w:t xml:space="preserve">Front Sports Act Living 2023;4:1012471.</w:t>
      </w:r>
      <w:r>
        <w:t xml:space="preserve"> </w:t>
      </w:r>
      <w:hyperlink r:id="rId86">
        <w:r>
          <w:rPr>
            <w:rStyle w:val="Hyperlink"/>
          </w:rPr>
          <w:t xml:space="preserve">PMID 36685067</w:t>
        </w:r>
      </w:hyperlink>
    </w:p>
    <w:p>
      <w:pPr>
        <w:pStyle w:val="Compact"/>
        <w:numPr>
          <w:ilvl w:val="0"/>
          <w:numId w:val="1044"/>
        </w:numPr>
      </w:pPr>
      <w:r>
        <w:t xml:space="preserve">Vicenzino B, Collins D, Wright A.</w:t>
      </w:r>
      <w:r>
        <w:t xml:space="preserve"> </w:t>
      </w:r>
      <w:r>
        <w:rPr>
          <w:i/>
          <w:iCs/>
        </w:rPr>
        <w:t xml:space="preserve">The initial effects of a cervical spine manipulative physiotherapy treatment on the pain and dysfunction of lateral epicondylalgia.</w:t>
      </w:r>
      <w:r>
        <w:t xml:space="preserve"> </w:t>
      </w:r>
      <w:r>
        <w:t xml:space="preserve">Pain 1996;68(1):69-74.</w:t>
      </w:r>
      <w:r>
        <w:t xml:space="preserve"> </w:t>
      </w:r>
      <w:hyperlink r:id="rId87">
        <w:r>
          <w:rPr>
            <w:rStyle w:val="Hyperlink"/>
          </w:rPr>
          <w:t xml:space="preserve">PMID 9252000</w:t>
        </w:r>
      </w:hyperlink>
    </w:p>
    <w:p>
      <w:pPr>
        <w:pStyle w:val="Compact"/>
        <w:numPr>
          <w:ilvl w:val="0"/>
          <w:numId w:val="1044"/>
        </w:numPr>
      </w:pPr>
      <w:r>
        <w:t xml:space="preserve">Ranger TA, Wong AM, Cook JL, Gaida JE.</w:t>
      </w:r>
      <w:r>
        <w:t xml:space="preserve"> </w:t>
      </w:r>
      <w:r>
        <w:rPr>
          <w:i/>
          <w:iCs/>
        </w:rPr>
        <w:t xml:space="preserve">Is there an association between tendinopathy and diabetes mellitus? A systematic review with meta-analysis.</w:t>
      </w:r>
      <w:r>
        <w:t xml:space="preserve"> </w:t>
      </w:r>
      <w:r>
        <w:t xml:space="preserve">Br J Sports Med 2016;50(16):982-989.</w:t>
      </w:r>
      <w:r>
        <w:t xml:space="preserve"> </w:t>
      </w:r>
      <w:hyperlink r:id="rId88">
        <w:r>
          <w:rPr>
            <w:rStyle w:val="Hyperlink"/>
          </w:rPr>
          <w:t xml:space="preserve">PMID 26598716</w:t>
        </w:r>
      </w:hyperlink>
    </w:p>
    <w:p>
      <w:pPr>
        <w:pStyle w:val="Compact"/>
        <w:numPr>
          <w:ilvl w:val="0"/>
          <w:numId w:val="1044"/>
        </w:numPr>
      </w:pPr>
      <w:r>
        <w:t xml:space="preserve">Mellor R, Bennell K, Grimaldi A, et al. </w:t>
      </w:r>
      <w:r>
        <w:rPr>
          <w:i/>
          <w:iCs/>
        </w:rPr>
        <w:t xml:space="preserve">Education plus exercise versus corticosteroid injection use versus a wait and see approach on global outcome and pain from gluteal tendinopathy: prospective, single blinded, randomised clinical trial.</w:t>
      </w:r>
      <w:r>
        <w:t xml:space="preserve"> </w:t>
      </w:r>
      <w:r>
        <w:t xml:space="preserve">BMJ 2018;361:k1662.</w:t>
      </w:r>
      <w:r>
        <w:t xml:space="preserve"> </w:t>
      </w:r>
      <w:hyperlink r:id="rId89">
        <w:r>
          <w:rPr>
            <w:rStyle w:val="Hyperlink"/>
          </w:rPr>
          <w:t xml:space="preserve">PMID 29720374</w:t>
        </w:r>
      </w:hyperlink>
    </w:p>
    <w:p>
      <w:pPr>
        <w:pStyle w:val="Compact"/>
        <w:numPr>
          <w:ilvl w:val="0"/>
          <w:numId w:val="1044"/>
        </w:numPr>
      </w:pPr>
      <w:r>
        <w:t xml:space="preserve">Coombes BK, Bisset L, Brooks P, Khan A, Vicenzino B.</w:t>
      </w:r>
      <w:r>
        <w:t xml:space="preserve"> </w:t>
      </w:r>
      <w:r>
        <w:rPr>
          <w:i/>
          <w:iCs/>
        </w:rPr>
        <w:t xml:space="preserve">Effect of corticosteroid injection, physiotherapy, or both on clinical outcomes in patients with unilateral lateral epicondylalgia: a randomized controlled trial.</w:t>
      </w:r>
      <w:r>
        <w:t xml:space="preserve"> </w:t>
      </w:r>
      <w:r>
        <w:t xml:space="preserve">JAMA 2013;309(5):461-469.</w:t>
      </w:r>
      <w:r>
        <w:t xml:space="preserve"> </w:t>
      </w:r>
      <w:hyperlink r:id="rId90">
        <w:r>
          <w:rPr>
            <w:rStyle w:val="Hyperlink"/>
          </w:rPr>
          <w:t xml:space="preserve">PMID 23385272</w:t>
        </w:r>
      </w:hyperlink>
    </w:p>
    <w:p>
      <w:pPr>
        <w:pStyle w:val="Compact"/>
        <w:numPr>
          <w:ilvl w:val="0"/>
          <w:numId w:val="1044"/>
        </w:numPr>
      </w:pPr>
      <w:r>
        <w:t xml:space="preserve">Alves C, Mendes D, Marques FB.</w:t>
      </w:r>
      <w:r>
        <w:t xml:space="preserve"> </w:t>
      </w:r>
      <w:r>
        <w:rPr>
          <w:i/>
          <w:iCs/>
        </w:rPr>
        <w:t xml:space="preserve">Fluoroquinolones and the risk of tendon injury: a systematic review and meta-analysis.</w:t>
      </w:r>
      <w:r>
        <w:t xml:space="preserve"> </w:t>
      </w:r>
      <w:r>
        <w:t xml:space="preserve">Eur J Clin Pharmacol 2019;75(10):1431-1443.</w:t>
      </w:r>
      <w:r>
        <w:t xml:space="preserve"> </w:t>
      </w:r>
      <w:hyperlink r:id="rId91">
        <w:r>
          <w:rPr>
            <w:rStyle w:val="Hyperlink"/>
          </w:rPr>
          <w:t xml:space="preserve">PMID 31270563</w:t>
        </w:r>
      </w:hyperlink>
    </w:p>
    <w:p>
      <w:pPr>
        <w:pStyle w:val="Compact"/>
        <w:numPr>
          <w:ilvl w:val="0"/>
          <w:numId w:val="1044"/>
        </w:numPr>
      </w:pPr>
      <w:r>
        <w:t xml:space="preserve">Martin RL, Chimenti R, Cuddeford T, et al. </w:t>
      </w:r>
      <w:r>
        <w:rPr>
          <w:i/>
          <w:iCs/>
        </w:rPr>
        <w:t xml:space="preserve">Achilles pain, stiffness, and muscle power deficits: midportion Achilles tendinopathy revision 2018.</w:t>
      </w:r>
      <w:r>
        <w:t xml:space="preserve"> </w:t>
      </w:r>
      <w:r>
        <w:t xml:space="preserve">J Orthop Sports Phys Ther 2018;48(5):A1-A38.</w:t>
      </w:r>
      <w:r>
        <w:t xml:space="preserve"> </w:t>
      </w:r>
      <w:hyperlink r:id="rId92">
        <w:r>
          <w:rPr>
            <w:rStyle w:val="Hyperlink"/>
          </w:rPr>
          <w:t xml:space="preserve">PMID 29712543</w:t>
        </w:r>
      </w:hyperlink>
    </w:p>
    <w:p>
      <w:pPr>
        <w:pStyle w:val="Compact"/>
        <w:numPr>
          <w:ilvl w:val="0"/>
          <w:numId w:val="1044"/>
        </w:numPr>
      </w:pPr>
      <w:r>
        <w:t xml:space="preserve">Bisset L, Beller E, Jull G, Brooks P, Darnell R, Vicenzino B.</w:t>
      </w:r>
      <w:r>
        <w:t xml:space="preserve"> </w:t>
      </w:r>
      <w:r>
        <w:rPr>
          <w:i/>
          <w:iCs/>
        </w:rPr>
        <w:t xml:space="preserve">Mobilisation with movement and exercise, corticosteroid injection, or wait and see for tennis elbow: randomised trial.</w:t>
      </w:r>
      <w:r>
        <w:t xml:space="preserve"> </w:t>
      </w:r>
      <w:r>
        <w:t xml:space="preserve">BMJ 2006;333(7575):939.</w:t>
      </w:r>
      <w:r>
        <w:t xml:space="preserve"> </w:t>
      </w:r>
      <w:hyperlink r:id="rId93">
        <w:r>
          <w:rPr>
            <w:rStyle w:val="Hyperlink"/>
          </w:rPr>
          <w:t xml:space="preserve">PMID 17012266</w:t>
        </w:r>
      </w:hyperlink>
    </w:p>
    <w:p>
      <w:pPr>
        <w:pStyle w:val="Compact"/>
        <w:numPr>
          <w:ilvl w:val="0"/>
          <w:numId w:val="1044"/>
        </w:numPr>
      </w:pPr>
      <w:r>
        <w:t xml:space="preserve">Beyer R, Kongsgaard M, Hougs Kjær B, Øhlenschlæger T, Kjær M, Magnusson SP.</w:t>
      </w:r>
      <w:r>
        <w:t xml:space="preserve"> </w:t>
      </w:r>
      <w:r>
        <w:rPr>
          <w:i/>
          <w:iCs/>
        </w:rPr>
        <w:t xml:space="preserve">Heavy slow resistance versus eccentric training as treatment for Achilles tendinopathy: a randomized controlled trial.</w:t>
      </w:r>
      <w:r>
        <w:t xml:space="preserve"> </w:t>
      </w:r>
      <w:r>
        <w:t xml:space="preserve">Am J Sports Med 2015;43(7):1704-1711.</w:t>
      </w:r>
      <w:r>
        <w:t xml:space="preserve"> </w:t>
      </w:r>
      <w:hyperlink r:id="rId94">
        <w:r>
          <w:rPr>
            <w:rStyle w:val="Hyperlink"/>
          </w:rPr>
          <w:t xml:space="preserve">PMID 26018970</w:t>
        </w:r>
      </w:hyperlink>
    </w:p>
    <w:p>
      <w:pPr>
        <w:pStyle w:val="Compact"/>
        <w:numPr>
          <w:ilvl w:val="0"/>
          <w:numId w:val="1044"/>
        </w:numPr>
      </w:pPr>
      <w:r>
        <w:t xml:space="preserve">Drew BT, Smith TO, Littlewood C, Sturrock B.</w:t>
      </w:r>
      <w:r>
        <w:t xml:space="preserve"> </w:t>
      </w:r>
      <w:r>
        <w:rPr>
          <w:i/>
          <w:iCs/>
        </w:rPr>
        <w:t xml:space="preserve">Do structural changes (eg, collagen/matrix) explain the response to therapeutic exercises in tendinopathy: a systematic review.</w:t>
      </w:r>
      <w:r>
        <w:t xml:space="preserve"> </w:t>
      </w:r>
      <w:r>
        <w:t xml:space="preserve">Br J Sports Med 2014;48(12):966-972.</w:t>
      </w:r>
      <w:r>
        <w:t xml:space="preserve"> </w:t>
      </w:r>
      <w:hyperlink r:id="rId95">
        <w:r>
          <w:rPr>
            <w:rStyle w:val="Hyperlink"/>
          </w:rPr>
          <w:t xml:space="preserve">PMID 23118117</w:t>
        </w:r>
      </w:hyperlink>
    </w:p>
    <w:p>
      <w:pPr>
        <w:pStyle w:val="Compact"/>
        <w:numPr>
          <w:ilvl w:val="0"/>
          <w:numId w:val="1044"/>
        </w:numPr>
      </w:pPr>
      <w:r>
        <w:t xml:space="preserve">Challoumas D, Pedret C, Biddle M, et al. </w:t>
      </w:r>
      <w:r>
        <w:rPr>
          <w:i/>
          <w:iCs/>
        </w:rPr>
        <w:t xml:space="preserve">Management of patellar tendinopathy: a systematic review and network meta-analysis of randomised studies.</w:t>
      </w:r>
      <w:r>
        <w:t xml:space="preserve"> </w:t>
      </w:r>
      <w:r>
        <w:t xml:space="preserve">BMJ Open Sport Exerc Med 2021;7(4):e001110.</w:t>
      </w:r>
      <w:r>
        <w:t xml:space="preserve"> </w:t>
      </w:r>
      <w:hyperlink r:id="rId96">
        <w:r>
          <w:rPr>
            <w:rStyle w:val="Hyperlink"/>
          </w:rPr>
          <w:t xml:space="preserve">PMID 34900334</w:t>
        </w:r>
      </w:hyperlink>
    </w:p>
    <w:p>
      <w:pPr>
        <w:pStyle w:val="Compact"/>
        <w:numPr>
          <w:ilvl w:val="0"/>
          <w:numId w:val="1044"/>
        </w:numPr>
      </w:pPr>
      <w:r>
        <w:t xml:space="preserve">Senarath ID, Chen KK, Weerasekara I, de Zoete RMJ.</w:t>
      </w:r>
      <w:r>
        <w:t xml:space="preserve"> </w:t>
      </w:r>
      <w:r>
        <w:rPr>
          <w:i/>
          <w:iCs/>
        </w:rPr>
        <w:t xml:space="preserve">Exercise-induced hypoalgesic effects of different types of physical exercise in individuals with neck pain: a systematic review and meta-analysis.</w:t>
      </w:r>
      <w:r>
        <w:t xml:space="preserve"> </w:t>
      </w:r>
      <w:r>
        <w:t xml:space="preserve">Pain Pract 2023;23(1):110-122.</w:t>
      </w:r>
      <w:r>
        <w:t xml:space="preserve"> </w:t>
      </w:r>
      <w:hyperlink r:id="rId97">
        <w:r>
          <w:rPr>
            <w:rStyle w:val="Hyperlink"/>
          </w:rPr>
          <w:t xml:space="preserve">PMID 35869789</w:t>
        </w:r>
      </w:hyperlink>
    </w:p>
    <w:p>
      <w:pPr>
        <w:pStyle w:val="Compact"/>
        <w:numPr>
          <w:ilvl w:val="0"/>
          <w:numId w:val="1044"/>
        </w:numPr>
      </w:pPr>
      <w:r>
        <w:t xml:space="preserve">Page MJ, Green S, McBain B, et al. </w:t>
      </w:r>
      <w:r>
        <w:rPr>
          <w:i/>
          <w:iCs/>
        </w:rPr>
        <w:t xml:space="preserve">Manual therapy and exercise for rotator cuff disease.</w:t>
      </w:r>
      <w:r>
        <w:t xml:space="preserve"> </w:t>
      </w:r>
      <w:r>
        <w:t xml:space="preserve">Cochrane Database Syst Rev 2016;(6):CD012224.</w:t>
      </w:r>
      <w:r>
        <w:t xml:space="preserve"> </w:t>
      </w:r>
      <w:hyperlink r:id="rId98">
        <w:r>
          <w:rPr>
            <w:rStyle w:val="Hyperlink"/>
          </w:rPr>
          <w:t xml:space="preserve">PMID 27283590</w:t>
        </w:r>
      </w:hyperlink>
    </w:p>
    <w:p>
      <w:pPr>
        <w:pStyle w:val="Compact"/>
        <w:numPr>
          <w:ilvl w:val="0"/>
          <w:numId w:val="1044"/>
        </w:numPr>
      </w:pPr>
      <w:r>
        <w:t xml:space="preserve">Geldschläger S.</w:t>
      </w:r>
      <w:r>
        <w:t xml:space="preserve"> </w:t>
      </w:r>
      <w:r>
        <w:rPr>
          <w:i/>
          <w:iCs/>
        </w:rPr>
        <w:t xml:space="preserve">Osteopathische versus orthopädische Behandlung der chronischen Epicondylopathia humeri radialis: eine randomisierte kontrollierte Studie.</w:t>
      </w:r>
      <w:r>
        <w:t xml:space="preserve"> </w:t>
      </w:r>
      <w:r>
        <w:t xml:space="preserve">Forsch Komplementarmed Klass Naturheilkd 2004;11(2):93-97.</w:t>
      </w:r>
      <w:r>
        <w:t xml:space="preserve"> </w:t>
      </w:r>
      <w:hyperlink r:id="rId99">
        <w:r>
          <w:rPr>
            <w:rStyle w:val="Hyperlink"/>
          </w:rPr>
          <w:t xml:space="preserve">PMID 15138373</w:t>
        </w:r>
      </w:hyperlink>
    </w:p>
    <w:p>
      <w:pPr>
        <w:pStyle w:val="Compact"/>
        <w:numPr>
          <w:ilvl w:val="0"/>
          <w:numId w:val="1044"/>
        </w:numPr>
      </w:pPr>
      <w:r>
        <w:t xml:space="preserve">Westad K, Tjoestolvsen F, Hebron C.</w:t>
      </w:r>
      <w:r>
        <w:t xml:space="preserve"> </w:t>
      </w:r>
      <w:r>
        <w:rPr>
          <w:i/>
          <w:iCs/>
        </w:rPr>
        <w:t xml:space="preserve">The effectiveness of Mulligan’s mobilisation with movement (MWM) on peripheral joints in musculoskeletal conditions: a systematic review.</w:t>
      </w:r>
      <w:r>
        <w:t xml:space="preserve"> </w:t>
      </w:r>
      <w:r>
        <w:t xml:space="preserve">Musculoskelet Sci Pract 2019;39:157-163.</w:t>
      </w:r>
      <w:r>
        <w:t xml:space="preserve"> </w:t>
      </w:r>
      <w:hyperlink r:id="rId100">
        <w:r>
          <w:rPr>
            <w:rStyle w:val="Hyperlink"/>
          </w:rPr>
          <w:t xml:space="preserve">PMID 30583976</w:t>
        </w:r>
      </w:hyperlink>
    </w:p>
    <w:p>
      <w:pPr>
        <w:pStyle w:val="Compact"/>
        <w:numPr>
          <w:ilvl w:val="0"/>
          <w:numId w:val="1044"/>
        </w:numPr>
      </w:pPr>
      <w:r>
        <w:t xml:space="preserve">Rio E, Kidgell D, Purdam C, et al. </w:t>
      </w:r>
      <w:r>
        <w:rPr>
          <w:i/>
          <w:iCs/>
        </w:rPr>
        <w:t xml:space="preserve">Isometric exercise induces analgesia and reduces inhibition in patellar tendinopathy.</w:t>
      </w:r>
      <w:r>
        <w:t xml:space="preserve"> </w:t>
      </w:r>
      <w:r>
        <w:t xml:space="preserve">Br J Sports Med 2015;49(19):1277-1283.</w:t>
      </w:r>
      <w:r>
        <w:t xml:space="preserve"> </w:t>
      </w:r>
      <w:hyperlink r:id="rId101">
        <w:r>
          <w:rPr>
            <w:rStyle w:val="Hyperlink"/>
          </w:rPr>
          <w:t xml:space="preserve">PMID 25979840</w:t>
        </w:r>
      </w:hyperlink>
    </w:p>
    <w:p>
      <w:pPr>
        <w:pStyle w:val="Compact"/>
        <w:numPr>
          <w:ilvl w:val="0"/>
          <w:numId w:val="1044"/>
        </w:numPr>
      </w:pPr>
      <w:r>
        <w:t xml:space="preserve">Vicenzino B, Collins D, Benson H, Wright A.</w:t>
      </w:r>
      <w:r>
        <w:t xml:space="preserve"> </w:t>
      </w:r>
      <w:r>
        <w:rPr>
          <w:i/>
          <w:iCs/>
        </w:rPr>
        <w:t xml:space="preserve">An investigation of the interrelationship between manipulative therapy-induced hypoalgesia and sympathoexcitation.</w:t>
      </w:r>
      <w:r>
        <w:t xml:space="preserve"> </w:t>
      </w:r>
      <w:r>
        <w:t xml:space="preserve">J Manipulative Physiol Ther 1998;21(7):448-453.</w:t>
      </w:r>
      <w:r>
        <w:t xml:space="preserve"> </w:t>
      </w:r>
      <w:hyperlink r:id="rId102">
        <w:r>
          <w:rPr>
            <w:rStyle w:val="Hyperlink"/>
          </w:rPr>
          <w:t xml:space="preserve">PMID 9777544</w:t>
        </w:r>
      </w:hyperlink>
    </w:p>
    <w:p>
      <w:pPr>
        <w:pStyle w:val="Compact"/>
        <w:numPr>
          <w:ilvl w:val="0"/>
          <w:numId w:val="1044"/>
        </w:numPr>
      </w:pPr>
      <w:r>
        <w:t xml:space="preserve">Habets B, van Cingel REH, Backx FJG, et al. </w:t>
      </w:r>
      <w:r>
        <w:rPr>
          <w:i/>
          <w:iCs/>
        </w:rPr>
        <w:t xml:space="preserve">No difference in clinical effects when comparing Alfredson eccentric and Silbernagel combined concentric-eccentric loading in Achilles tendinopathy: a randomized controlled trial.</w:t>
      </w:r>
      <w:r>
        <w:t xml:space="preserve"> </w:t>
      </w:r>
      <w:r>
        <w:t xml:space="preserve">Orthop J Sports Med 2021;9(10):23259671211031254.</w:t>
      </w:r>
      <w:r>
        <w:t xml:space="preserve"> </w:t>
      </w:r>
      <w:hyperlink r:id="rId103">
        <w:r>
          <w:rPr>
            <w:rStyle w:val="Hyperlink"/>
          </w:rPr>
          <w:t xml:space="preserve">PMID 34722783</w:t>
        </w:r>
      </w:hyperlink>
    </w:p>
    <w:p>
      <w:pPr>
        <w:pStyle w:val="Compact"/>
        <w:numPr>
          <w:ilvl w:val="0"/>
          <w:numId w:val="1044"/>
        </w:numPr>
      </w:pPr>
      <w:r>
        <w:t xml:space="preserve">Alfredson H, Pietilä T, Jonsson P, Lorentzon R.</w:t>
      </w:r>
      <w:r>
        <w:t xml:space="preserve"> </w:t>
      </w:r>
      <w:r>
        <w:rPr>
          <w:i/>
          <w:iCs/>
        </w:rPr>
        <w:t xml:space="preserve">Heavy-load eccentric calf muscle training for the treatment of chronic Achilles tendinosis.</w:t>
      </w:r>
      <w:r>
        <w:t xml:space="preserve"> </w:t>
      </w:r>
      <w:r>
        <w:t xml:space="preserve">Am J Sports Med 1998;26(3):360-366.</w:t>
      </w:r>
      <w:r>
        <w:t xml:space="preserve"> </w:t>
      </w:r>
      <w:hyperlink r:id="rId104">
        <w:r>
          <w:rPr>
            <w:rStyle w:val="Hyperlink"/>
          </w:rPr>
          <w:t xml:space="preserve">PMID 9617396</w:t>
        </w:r>
      </w:hyperlink>
    </w:p>
    <w:p>
      <w:pPr>
        <w:pStyle w:val="Compact"/>
        <w:numPr>
          <w:ilvl w:val="0"/>
          <w:numId w:val="1044"/>
        </w:numPr>
      </w:pPr>
      <w:r>
        <w:t xml:space="preserve">Heinemeier KM, Schjerling P, Øhlenschlæger TF, Eismark C, Olsen J, Kjær M.</w:t>
      </w:r>
      <w:r>
        <w:t xml:space="preserve"> </w:t>
      </w:r>
      <w:r>
        <w:rPr>
          <w:i/>
          <w:iCs/>
        </w:rPr>
        <w:t xml:space="preserve">Carbon-14 bomb pulse dating shows that tendinopathy is preceded by years of abnormally high collagen turnover.</w:t>
      </w:r>
      <w:r>
        <w:t xml:space="preserve"> </w:t>
      </w:r>
      <w:r>
        <w:t xml:space="preserve">FASEB J 2018;32(9):4763-4775.</w:t>
      </w:r>
      <w:r>
        <w:t xml:space="preserve"> </w:t>
      </w:r>
      <w:hyperlink r:id="rId105">
        <w:r>
          <w:rPr>
            <w:rStyle w:val="Hyperlink"/>
          </w:rPr>
          <w:t xml:space="preserve">PMID 29570396</w:t>
        </w:r>
      </w:hyperlink>
    </w:p>
    <w:p>
      <w:pPr>
        <w:pStyle w:val="Compact"/>
        <w:numPr>
          <w:ilvl w:val="0"/>
          <w:numId w:val="1044"/>
        </w:numPr>
      </w:pPr>
      <w:r>
        <w:t xml:space="preserve">Garzón M, Balasch-Bernat M, Cook C, et al. </w:t>
      </w:r>
      <w:r>
        <w:rPr>
          <w:i/>
          <w:iCs/>
        </w:rPr>
        <w:t xml:space="preserve">How long does tendinopathy last if left untreated? Natural history of the main tendinopathies affecting the upper and lower limb.</w:t>
      </w:r>
      <w:r>
        <w:t xml:space="preserve"> </w:t>
      </w:r>
      <w:r>
        <w:t xml:space="preserve">Musculoskelet Sci Pract 2024;72:103103.</w:t>
      </w:r>
      <w:r>
        <w:t xml:space="preserve"> </w:t>
      </w:r>
      <w:hyperlink r:id="rId106">
        <w:r>
          <w:rPr>
            <w:rStyle w:val="Hyperlink"/>
          </w:rPr>
          <w:t xml:space="preserve">PMID 38879981</w:t>
        </w:r>
      </w:hyperlink>
    </w:p>
    <w:p>
      <w:pPr>
        <w:pStyle w:val="Compact"/>
        <w:numPr>
          <w:ilvl w:val="0"/>
          <w:numId w:val="1044"/>
        </w:numPr>
      </w:pPr>
      <w:r>
        <w:t xml:space="preserve">van der Plas A, de Jonge S, de Vos RJ, et al. </w:t>
      </w:r>
      <w:r>
        <w:rPr>
          <w:i/>
          <w:iCs/>
        </w:rPr>
        <w:t xml:space="preserve">A 5-year follow-up study of Alfredson’s heel-drop exercise programme in chronic midportion Achilles tendinopathy.</w:t>
      </w:r>
      <w:r>
        <w:t xml:space="preserve"> </w:t>
      </w:r>
      <w:r>
        <w:t xml:space="preserve">Br J Sports Med 2012;46(3):214-218.</w:t>
      </w:r>
      <w:r>
        <w:t xml:space="preserve"> </w:t>
      </w:r>
      <w:hyperlink r:id="rId107">
        <w:r>
          <w:rPr>
            <w:rStyle w:val="Hyperlink"/>
          </w:rPr>
          <w:t xml:space="preserve">PMID 22075719</w:t>
        </w:r>
      </w:hyperlink>
    </w:p>
    <w:p>
      <w:pPr>
        <w:pStyle w:val="Compact"/>
        <w:numPr>
          <w:ilvl w:val="0"/>
          <w:numId w:val="1044"/>
        </w:numPr>
      </w:pPr>
      <w:r>
        <w:t xml:space="preserve">Chimenti RL, Neville C, Houck J, Cuddeford T, Carreira D, Martin RL.</w:t>
      </w:r>
      <w:r>
        <w:t xml:space="preserve"> </w:t>
      </w:r>
      <w:r>
        <w:rPr>
          <w:i/>
          <w:iCs/>
        </w:rPr>
        <w:t xml:space="preserve">Achilles Pain, Stiffness, and Muscle Power Deficits: Midportion Achilles Tendinopathy Revision — 2024.</w:t>
      </w:r>
      <w:r>
        <w:t xml:space="preserve"> </w:t>
      </w:r>
      <w:r>
        <w:t xml:space="preserve">J Orthop Sports Phys Ther 2024;54(12):CPG1-CPG32.</w:t>
      </w:r>
      <w:r>
        <w:t xml:space="preserve"> </w:t>
      </w:r>
      <w:hyperlink r:id="rId108">
        <w:r>
          <w:rPr>
            <w:rStyle w:val="Hyperlink"/>
          </w:rPr>
          <w:t xml:space="preserve">PMID 39611662</w:t>
        </w:r>
      </w:hyperlink>
    </w:p>
    <w:p>
      <w:pPr>
        <w:pStyle w:val="Compact"/>
        <w:numPr>
          <w:ilvl w:val="0"/>
          <w:numId w:val="1044"/>
        </w:numPr>
      </w:pPr>
      <w:r>
        <w:t xml:space="preserve">Grimaldi A, Fearon A.</w:t>
      </w:r>
      <w:r>
        <w:t xml:space="preserve"> </w:t>
      </w:r>
      <w:r>
        <w:rPr>
          <w:i/>
          <w:iCs/>
        </w:rPr>
        <w:t xml:space="preserve">Gluteal tendinopathy: integrating pathomechanics and clinical features in its management.</w:t>
      </w:r>
      <w:r>
        <w:t xml:space="preserve"> </w:t>
      </w:r>
      <w:r>
        <w:t xml:space="preserve">J Orthop Sports Phys Ther 2015;45(11):910-922.</w:t>
      </w:r>
      <w:r>
        <w:t xml:space="preserve"> </w:t>
      </w:r>
      <w:hyperlink r:id="rId109">
        <w:r>
          <w:rPr>
            <w:rStyle w:val="Hyperlink"/>
          </w:rPr>
          <w:t xml:space="preserve">PMID 26381486</w:t>
        </w:r>
      </w:hyperlink>
    </w:p>
    <w:p>
      <w:pPr>
        <w:pStyle w:val="Compact"/>
        <w:numPr>
          <w:ilvl w:val="0"/>
          <w:numId w:val="1044"/>
        </w:numPr>
      </w:pPr>
      <w:r>
        <w:t xml:space="preserve">Jonsson P, Alfredson H, Sunding K, Fahlström M, Cook J.</w:t>
      </w:r>
      <w:r>
        <w:t xml:space="preserve"> </w:t>
      </w:r>
      <w:r>
        <w:rPr>
          <w:i/>
          <w:iCs/>
        </w:rPr>
        <w:t xml:space="preserve">New regimen for eccentric calf-muscle training in patients with chronic insertional Achilles tendinopathy.</w:t>
      </w:r>
      <w:r>
        <w:t xml:space="preserve"> </w:t>
      </w:r>
      <w:r>
        <w:t xml:space="preserve">Br J Sports Med 2008;42(9):746-749.</w:t>
      </w:r>
      <w:r>
        <w:t xml:space="preserve"> </w:t>
      </w:r>
      <w:hyperlink r:id="rId110">
        <w:r>
          <w:rPr>
            <w:rStyle w:val="Hyperlink"/>
          </w:rPr>
          <w:t xml:space="preserve">PMID 18184750</w:t>
        </w:r>
      </w:hyperlink>
    </w:p>
    <w:p>
      <w:pPr>
        <w:pStyle w:val="Compact"/>
        <w:numPr>
          <w:ilvl w:val="0"/>
          <w:numId w:val="1044"/>
        </w:numPr>
      </w:pPr>
      <w:r>
        <w:t xml:space="preserve">Segal NA, Felson DT, Torner JC, et al. </w:t>
      </w:r>
      <w:r>
        <w:rPr>
          <w:i/>
          <w:iCs/>
        </w:rPr>
        <w:t xml:space="preserve">Greater trochanteric pain syndrome: epidemiology and associated factors.</w:t>
      </w:r>
      <w:r>
        <w:t xml:space="preserve"> </w:t>
      </w:r>
      <w:r>
        <w:t xml:space="preserve">Arch Phys Med Rehabil 2007;88(8):988-992.</w:t>
      </w:r>
      <w:r>
        <w:t xml:space="preserve"> </w:t>
      </w:r>
      <w:hyperlink r:id="rId111">
        <w:r>
          <w:rPr>
            <w:rStyle w:val="Hyperlink"/>
          </w:rPr>
          <w:t xml:space="preserve">PMID 17678660</w:t>
        </w:r>
      </w:hyperlink>
    </w:p>
    <w:p>
      <w:pPr>
        <w:pStyle w:val="Compact"/>
        <w:numPr>
          <w:ilvl w:val="0"/>
          <w:numId w:val="1044"/>
        </w:numPr>
      </w:pPr>
      <w:r>
        <w:t xml:space="preserve">De Marchi A, Pozza S, Cenna E, et al. </w:t>
      </w:r>
      <w:r>
        <w:rPr>
          <w:i/>
          <w:iCs/>
        </w:rPr>
        <w:t xml:space="preserve">In Achilles tendinopathy, the neovascularization detected by contrast-enhanced ultrasound is abundant but not related to symptoms.</w:t>
      </w:r>
      <w:r>
        <w:t xml:space="preserve"> </w:t>
      </w:r>
      <w:r>
        <w:t xml:space="preserve">Knee Surg Sports Traumatol Arthrosc 2018;26(7):2051-2058.</w:t>
      </w:r>
      <w:r>
        <w:t xml:space="preserve"> </w:t>
      </w:r>
      <w:hyperlink r:id="rId112">
        <w:r>
          <w:rPr>
            <w:rStyle w:val="Hyperlink"/>
          </w:rPr>
          <w:t xml:space="preserve">PMID 29079961</w:t>
        </w:r>
      </w:hyperlink>
    </w:p>
    <w:p>
      <w:pPr>
        <w:pStyle w:val="Compact"/>
        <w:numPr>
          <w:ilvl w:val="0"/>
          <w:numId w:val="1044"/>
        </w:numPr>
      </w:pPr>
      <w:r>
        <w:t xml:space="preserve">Rio E, Moseley L, Purdam C, et al. </w:t>
      </w:r>
      <w:r>
        <w:rPr>
          <w:i/>
          <w:iCs/>
        </w:rPr>
        <w:t xml:space="preserve">The pain of tendinopathy: physiological or pathophysiological?</w:t>
      </w:r>
      <w:r>
        <w:t xml:space="preserve"> </w:t>
      </w:r>
      <w:r>
        <w:t xml:space="preserve">Sports Med 2014;44(1):9-23.</w:t>
      </w:r>
      <w:r>
        <w:t xml:space="preserve"> </w:t>
      </w:r>
      <w:hyperlink r:id="rId113">
        <w:r>
          <w:rPr>
            <w:rStyle w:val="Hyperlink"/>
          </w:rPr>
          <w:t xml:space="preserve">PMID 24027089</w:t>
        </w:r>
      </w:hyperlink>
    </w:p>
    <w:p>
      <w:pPr>
        <w:pStyle w:val="Compact"/>
        <w:numPr>
          <w:ilvl w:val="0"/>
          <w:numId w:val="1044"/>
        </w:numPr>
      </w:pPr>
      <w:r>
        <w:t xml:space="preserve">Plinsinga ML, van Wilgen CP, Brink MS, et al. </w:t>
      </w:r>
      <w:r>
        <w:rPr>
          <w:i/>
          <w:iCs/>
        </w:rPr>
        <w:t xml:space="preserve">Patellar and Achilles tendinopathies are predominantly peripheral pain states: a blinded case control study of somatosensory and psychological profiles.</w:t>
      </w:r>
      <w:r>
        <w:t xml:space="preserve"> </w:t>
      </w:r>
      <w:r>
        <w:t xml:space="preserve">Br J Sports Med 2018;52(5):284-291.</w:t>
      </w:r>
      <w:r>
        <w:t xml:space="preserve"> </w:t>
      </w:r>
      <w:hyperlink r:id="rId114">
        <w:r>
          <w:rPr>
            <w:rStyle w:val="Hyperlink"/>
          </w:rPr>
          <w:t xml:space="preserve">PMID 28698221</w:t>
        </w:r>
      </w:hyperlink>
    </w:p>
    <w:p>
      <w:pPr>
        <w:pStyle w:val="Compact"/>
        <w:numPr>
          <w:ilvl w:val="0"/>
          <w:numId w:val="1044"/>
        </w:numPr>
      </w:pPr>
      <w:r>
        <w:t xml:space="preserve">Rio E, Sandler J, Cheng K, Moseley GL, Cook J, Girdwood M.</w:t>
      </w:r>
      <w:r>
        <w:t xml:space="preserve"> </w:t>
      </w:r>
      <w:r>
        <w:rPr>
          <w:i/>
          <w:iCs/>
        </w:rPr>
        <w:t xml:space="preserve">Sensory processing in people with and without tendinopathy: a systematic review with meta-analysis.</w:t>
      </w:r>
      <w:r>
        <w:t xml:space="preserve"> </w:t>
      </w:r>
      <w:r>
        <w:t xml:space="preserve">J Orthop Sports Phys Ther 2021;51(1):12-26.</w:t>
      </w:r>
      <w:r>
        <w:t xml:space="preserve"> </w:t>
      </w:r>
      <w:hyperlink r:id="rId115">
        <w:r>
          <w:rPr>
            <w:rStyle w:val="Hyperlink"/>
          </w:rPr>
          <w:t xml:space="preserve">PMID 33383996</w:t>
        </w:r>
      </w:hyperlink>
    </w:p>
    <w:p>
      <w:pPr>
        <w:pStyle w:val="Compact"/>
        <w:numPr>
          <w:ilvl w:val="0"/>
          <w:numId w:val="1044"/>
        </w:numPr>
      </w:pPr>
      <w:r>
        <w:t xml:space="preserve">Miller BF, Olesen JL, Hansen M, et al. </w:t>
      </w:r>
      <w:r>
        <w:rPr>
          <w:i/>
          <w:iCs/>
        </w:rPr>
        <w:t xml:space="preserve">Coordinated collagen and muscle protein synthesis in human patella tendon and quadriceps muscle after exercise.</w:t>
      </w:r>
      <w:r>
        <w:t xml:space="preserve"> </w:t>
      </w:r>
      <w:r>
        <w:t xml:space="preserve">J Physiol 2005;567(Pt 3):1021-1033.</w:t>
      </w:r>
      <w:r>
        <w:t xml:space="preserve"> </w:t>
      </w:r>
      <w:hyperlink r:id="rId116">
        <w:r>
          <w:rPr>
            <w:rStyle w:val="Hyperlink"/>
          </w:rPr>
          <w:t xml:space="preserve">PMID 16002437</w:t>
        </w:r>
      </w:hyperlink>
    </w:p>
    <w:p>
      <w:pPr>
        <w:pStyle w:val="Compact"/>
        <w:numPr>
          <w:ilvl w:val="0"/>
          <w:numId w:val="1044"/>
        </w:numPr>
      </w:pPr>
      <w:r>
        <w:t xml:space="preserve">Tilley BJ, Cook JL, Docking SI, Gaida JE.</w:t>
      </w:r>
      <w:r>
        <w:t xml:space="preserve"> </w:t>
      </w:r>
      <w:r>
        <w:rPr>
          <w:i/>
          <w:iCs/>
        </w:rPr>
        <w:t xml:space="preserve">Is higher serum cholesterol associated with altered tendon structure or tendon pain?</w:t>
      </w:r>
      <w:r>
        <w:t xml:space="preserve"> </w:t>
      </w:r>
      <w:r>
        <w:t xml:space="preserve">Br J Sports Med 2015;49(23):1504-1509.</w:t>
      </w:r>
      <w:r>
        <w:t xml:space="preserve"> </w:t>
      </w:r>
      <w:hyperlink r:id="rId117">
        <w:r>
          <w:rPr>
            <w:rStyle w:val="Hyperlink"/>
          </w:rPr>
          <w:t xml:space="preserve">PMID 26474596</w:t>
        </w:r>
      </w:hyperlink>
    </w:p>
    <w:p>
      <w:pPr>
        <w:pStyle w:val="Compact"/>
        <w:numPr>
          <w:ilvl w:val="0"/>
          <w:numId w:val="1044"/>
        </w:numPr>
      </w:pPr>
      <w:r>
        <w:t xml:space="preserve">Paungmali A, O’Leary S, Souvlis T, Vicenzino B.</w:t>
      </w:r>
      <w:r>
        <w:t xml:space="preserve"> </w:t>
      </w:r>
      <w:r>
        <w:rPr>
          <w:i/>
          <w:iCs/>
        </w:rPr>
        <w:t xml:space="preserve">Hypoalgesic and sympathoexcitatory effects of mobilization with movement for lateral epicondylalgia.</w:t>
      </w:r>
      <w:r>
        <w:t xml:space="preserve"> </w:t>
      </w:r>
      <w:r>
        <w:t xml:space="preserve">Phys Ther 2003;83(4):374-383.</w:t>
      </w:r>
      <w:r>
        <w:t xml:space="preserve"> </w:t>
      </w:r>
      <w:hyperlink r:id="rId118">
        <w:r>
          <w:rPr>
            <w:rStyle w:val="Hyperlink"/>
          </w:rPr>
          <w:t xml:space="preserve">PMID 12665408</w:t>
        </w:r>
      </w:hyperlink>
    </w:p>
    <w:p>
      <w:pPr>
        <w:pStyle w:val="Compact"/>
        <w:numPr>
          <w:ilvl w:val="0"/>
          <w:numId w:val="1044"/>
        </w:numPr>
      </w:pPr>
      <w:r>
        <w:t xml:space="preserve">Lucado AM, Dale RB, Vincent J, Day JM.</w:t>
      </w:r>
      <w:r>
        <w:t xml:space="preserve"> </w:t>
      </w:r>
      <w:r>
        <w:rPr>
          <w:i/>
          <w:iCs/>
        </w:rPr>
        <w:t xml:space="preserve">Do joint mobilizations assist in the recovery of lateral elbow tendinopathy? A systematic review and meta-analysis.</w:t>
      </w:r>
      <w:r>
        <w:t xml:space="preserve"> </w:t>
      </w:r>
      <w:r>
        <w:t xml:space="preserve">J Hand Ther 2019;32(2):262-276.</w:t>
      </w:r>
      <w:r>
        <w:t xml:space="preserve"> </w:t>
      </w:r>
      <w:hyperlink r:id="rId119">
        <w:r>
          <w:rPr>
            <w:rStyle w:val="Hyperlink"/>
          </w:rPr>
          <w:t xml:space="preserve">PMID 29705077</w:t>
        </w:r>
      </w:hyperlink>
    </w:p>
    <w:p>
      <w:pPr>
        <w:pStyle w:val="Compact"/>
        <w:numPr>
          <w:ilvl w:val="0"/>
          <w:numId w:val="1044"/>
        </w:numPr>
      </w:pPr>
      <w:r>
        <w:t xml:space="preserve">Rushton A, Carlesso LC, Flynn T, et al. </w:t>
      </w:r>
      <w:r>
        <w:rPr>
          <w:i/>
          <w:iCs/>
        </w:rPr>
        <w:t xml:space="preserve">International Framework for Examination of the Cervical Region for Potential of Vascular Pathologies of the Neck Prior to Musculoskeletal Intervention.</w:t>
      </w:r>
      <w:r>
        <w:t xml:space="preserve"> </w:t>
      </w:r>
      <w:r>
        <w:t xml:space="preserve">J Orthop Sports Phys Ther 2023;53(1):7-22.</w:t>
      </w:r>
      <w:r>
        <w:t xml:space="preserve"> </w:t>
      </w:r>
      <w:hyperlink r:id="rId120">
        <w:r>
          <w:rPr>
            <w:rStyle w:val="Hyperlink"/>
          </w:rPr>
          <w:t xml:space="preserve">PMID 36099171</w:t>
        </w:r>
      </w:hyperlink>
    </w:p>
    <w:p>
      <w:pPr>
        <w:pStyle w:val="Compact"/>
        <w:numPr>
          <w:ilvl w:val="0"/>
          <w:numId w:val="1044"/>
        </w:numPr>
      </w:pPr>
      <w:r>
        <w:t xml:space="preserve">Deren ME, Klinge SA, Mukand NH, Mukand JA.</w:t>
      </w:r>
      <w:r>
        <w:t xml:space="preserve"> </w:t>
      </w:r>
      <w:r>
        <w:rPr>
          <w:i/>
          <w:iCs/>
        </w:rPr>
        <w:t xml:space="preserve">Tendinopathy and tendon rupture associated with statins.</w:t>
      </w:r>
      <w:r>
        <w:t xml:space="preserve"> </w:t>
      </w:r>
      <w:r>
        <w:t xml:space="preserve">JBJS Rev 2016;4(5):e4.</w:t>
      </w:r>
      <w:r>
        <w:t xml:space="preserve"> </w:t>
      </w:r>
      <w:hyperlink r:id="rId121">
        <w:r>
          <w:rPr>
            <w:rStyle w:val="Hyperlink"/>
          </w:rPr>
          <w:t xml:space="preserve">PMID 27490216</w:t>
        </w:r>
      </w:hyperlink>
    </w:p>
    <w:p>
      <w:pPr>
        <w:pStyle w:val="Compact"/>
        <w:numPr>
          <w:ilvl w:val="0"/>
          <w:numId w:val="1044"/>
        </w:numPr>
      </w:pPr>
      <w:r>
        <w:t xml:space="preserve">Singer O, Cigler T, Moore AB, et al. </w:t>
      </w:r>
      <w:r>
        <w:rPr>
          <w:i/>
          <w:iCs/>
        </w:rPr>
        <w:t xml:space="preserve">Defining the aromatase inhibitor musculoskeletal syndrome: a prospective study.</w:t>
      </w:r>
      <w:r>
        <w:t xml:space="preserve"> </w:t>
      </w:r>
      <w:r>
        <w:t xml:space="preserve">Arthritis Care Res 2012;64(12):1910-1918.</w:t>
      </w:r>
      <w:r>
        <w:t xml:space="preserve"> </w:t>
      </w:r>
      <w:hyperlink r:id="rId122">
        <w:r>
          <w:rPr>
            <w:rStyle w:val="Hyperlink"/>
          </w:rPr>
          <w:t xml:space="preserve">PMID 22730307</w:t>
        </w:r>
      </w:hyperlink>
    </w:p>
    <w:p>
      <w:pPr>
        <w:pStyle w:val="Compact"/>
        <w:numPr>
          <w:ilvl w:val="0"/>
          <w:numId w:val="1044"/>
        </w:numPr>
      </w:pPr>
      <w:r>
        <w:t xml:space="preserve">Chung KY, Ho G, Novak CB, Baltzer HL.</w:t>
      </w:r>
      <w:r>
        <w:t xml:space="preserve"> </w:t>
      </w:r>
      <w:r>
        <w:rPr>
          <w:i/>
          <w:iCs/>
        </w:rPr>
        <w:t xml:space="preserve">Aromatase inhibitor-induced carpal tunnel syndrome and stenosing tenosynovitis: a systematic review.</w:t>
      </w:r>
      <w:r>
        <w:t xml:space="preserve"> </w:t>
      </w:r>
      <w:r>
        <w:t xml:space="preserve">Plast Reconstr Surg 2022;149(3):445e-452e.</w:t>
      </w:r>
      <w:r>
        <w:t xml:space="preserve"> </w:t>
      </w:r>
      <w:hyperlink r:id="rId123">
        <w:r>
          <w:rPr>
            <w:rStyle w:val="Hyperlink"/>
          </w:rPr>
          <w:t xml:space="preserve">PMID 35196681</w:t>
        </w:r>
      </w:hyperlink>
    </w:p>
    <w:p>
      <w:pPr>
        <w:pStyle w:val="Compact"/>
        <w:numPr>
          <w:ilvl w:val="0"/>
          <w:numId w:val="1044"/>
        </w:numPr>
      </w:pPr>
      <w:r>
        <w:t xml:space="preserve">Rompe JD, Nafe B, Furia JP, Maffulli N.</w:t>
      </w:r>
      <w:r>
        <w:t xml:space="preserve"> </w:t>
      </w:r>
      <w:r>
        <w:rPr>
          <w:i/>
          <w:iCs/>
        </w:rPr>
        <w:t xml:space="preserve">Eccentric loading, shock-wave treatment, or a wait-and-see policy for tendinopathy of the main body of tendo Achillis: a randomized controlled trial.</w:t>
      </w:r>
      <w:r>
        <w:t xml:space="preserve"> </w:t>
      </w:r>
      <w:r>
        <w:t xml:space="preserve">Am J Sports Med 2007;35(3):374-383.</w:t>
      </w:r>
      <w:r>
        <w:t xml:space="preserve"> </w:t>
      </w:r>
      <w:hyperlink r:id="rId124">
        <w:r>
          <w:rPr>
            <w:rStyle w:val="Hyperlink"/>
          </w:rPr>
          <w:t xml:space="preserve">PMID 17244902</w:t>
        </w:r>
      </w:hyperlink>
    </w:p>
    <w:p>
      <w:pPr>
        <w:pStyle w:val="Compact"/>
        <w:numPr>
          <w:ilvl w:val="0"/>
          <w:numId w:val="1044"/>
        </w:numPr>
      </w:pPr>
      <w:r>
        <w:t xml:space="preserve">van der Vlist AC, Winters M, Weir A, et al. </w:t>
      </w:r>
      <w:r>
        <w:rPr>
          <w:i/>
          <w:iCs/>
        </w:rPr>
        <w:t xml:space="preserve">Which treatment is most effective for patients with Achilles tendinopathy? A living systematic review with network meta-analysis of 29 randomised controlled trials.</w:t>
      </w:r>
      <w:r>
        <w:t xml:space="preserve"> </w:t>
      </w:r>
      <w:r>
        <w:t xml:space="preserve">Br J Sports Med 2021;55(5):249-256.</w:t>
      </w:r>
      <w:r>
        <w:t xml:space="preserve"> </w:t>
      </w:r>
      <w:hyperlink r:id="rId125">
        <w:r>
          <w:rPr>
            <w:rStyle w:val="Hyperlink"/>
          </w:rPr>
          <w:t xml:space="preserve">PMID 32522732</w:t>
        </w:r>
      </w:hyperlink>
    </w:p>
    <w:p>
      <w:pPr>
        <w:pStyle w:val="Compact"/>
        <w:numPr>
          <w:ilvl w:val="0"/>
          <w:numId w:val="1044"/>
        </w:numPr>
      </w:pPr>
      <w:r>
        <w:t xml:space="preserve">Karanasios S, Korakakis V, Whiteley R, et al. </w:t>
      </w:r>
      <w:r>
        <w:rPr>
          <w:i/>
          <w:iCs/>
        </w:rPr>
        <w:t xml:space="preserve">Exercise interventions in lateral elbow tendinopathy have better outcomes than passive interventions, but the effects are small.</w:t>
      </w:r>
      <w:r>
        <w:t xml:space="preserve"> </w:t>
      </w:r>
      <w:r>
        <w:t xml:space="preserve">Br J Sports Med 2021;55(9):477-485.</w:t>
      </w:r>
      <w:r>
        <w:t xml:space="preserve"> </w:t>
      </w:r>
      <w:hyperlink r:id="rId126">
        <w:r>
          <w:rPr>
            <w:rStyle w:val="Hyperlink"/>
          </w:rPr>
          <w:t xml:space="preserve">PMID 33148599</w:t>
        </w:r>
      </w:hyperlink>
    </w:p>
    <w:p>
      <w:pPr>
        <w:pStyle w:val="Compact"/>
        <w:numPr>
          <w:ilvl w:val="0"/>
          <w:numId w:val="1044"/>
        </w:numPr>
      </w:pPr>
      <w:r>
        <w:t xml:space="preserve">de Boer MD, Maganaris CN, Seynnes OR, Rennie MJ, Narici MV.</w:t>
      </w:r>
      <w:r>
        <w:t xml:space="preserve"> </w:t>
      </w:r>
      <w:r>
        <w:rPr>
          <w:i/>
          <w:iCs/>
        </w:rPr>
        <w:t xml:space="preserve">Time course of muscular, neural and tendinous adaptations to 23 day unilateral lower-limb suspension in young men.</w:t>
      </w:r>
      <w:r>
        <w:t xml:space="preserve"> </w:t>
      </w:r>
      <w:r>
        <w:t xml:space="preserve">J Physiol 2007;583(Pt 3):1079-1091.</w:t>
      </w:r>
      <w:r>
        <w:t xml:space="preserve"> </w:t>
      </w:r>
      <w:hyperlink r:id="rId127">
        <w:r>
          <w:rPr>
            <w:rStyle w:val="Hyperlink"/>
          </w:rPr>
          <w:t xml:space="preserve">PMID 17656438</w:t>
        </w:r>
      </w:hyperlink>
    </w:p>
    <w:p>
      <w:pPr>
        <w:pStyle w:val="Compact"/>
        <w:numPr>
          <w:ilvl w:val="0"/>
          <w:numId w:val="1044"/>
        </w:numPr>
      </w:pPr>
      <w:r>
        <w:t xml:space="preserve">Pavlova AV, Shim JSC, Moss R, et al. </w:t>
      </w:r>
      <w:r>
        <w:rPr>
          <w:i/>
          <w:iCs/>
        </w:rPr>
        <w:t xml:space="preserve">Effect of resistance exercise dose components for tendinopathy management: a systematic review with meta-analysis.</w:t>
      </w:r>
      <w:r>
        <w:t xml:space="preserve"> </w:t>
      </w:r>
      <w:r>
        <w:t xml:space="preserve">Br J Sports Med 2023;57(20):1327-1334.</w:t>
      </w:r>
      <w:r>
        <w:t xml:space="preserve"> </w:t>
      </w:r>
      <w:hyperlink r:id="rId128">
        <w:r>
          <w:rPr>
            <w:rStyle w:val="Hyperlink"/>
          </w:rPr>
          <w:t xml:space="preserve">PMID 37169370</w:t>
        </w:r>
      </w:hyperlink>
    </w:p>
    <w:p>
      <w:pPr>
        <w:pStyle w:val="Compact"/>
        <w:numPr>
          <w:ilvl w:val="0"/>
          <w:numId w:val="1044"/>
        </w:numPr>
      </w:pPr>
      <w:r>
        <w:t xml:space="preserve">Phillips R, Hilton C, Sousa Filho LF, Farlie M, Morrissey D, Malliaras P.</w:t>
      </w:r>
      <w:r>
        <w:t xml:space="preserve"> </w:t>
      </w:r>
      <w:r>
        <w:rPr>
          <w:i/>
          <w:iCs/>
        </w:rPr>
        <w:t xml:space="preserve">Behaviour change and rehabilitation adherence in adults with tendinopathy: a scoping review.</w:t>
      </w:r>
      <w:r>
        <w:t xml:space="preserve"> </w:t>
      </w:r>
      <w:r>
        <w:t xml:space="preserve">Disabil Rehabil 2024;46(25):6021-6033.</w:t>
      </w:r>
      <w:r>
        <w:t xml:space="preserve"> </w:t>
      </w:r>
      <w:hyperlink r:id="rId129">
        <w:r>
          <w:rPr>
            <w:rStyle w:val="Hyperlink"/>
          </w:rPr>
          <w:t xml:space="preserve">PMID 38420953</w:t>
        </w:r>
      </w:hyperlink>
    </w:p>
    <w:p>
      <w:pPr>
        <w:pStyle w:val="Compact"/>
        <w:numPr>
          <w:ilvl w:val="0"/>
          <w:numId w:val="1044"/>
        </w:numPr>
      </w:pPr>
      <w:r>
        <w:t xml:space="preserve">Cook JL, Rio E, Purdam CR, Docking SI.</w:t>
      </w:r>
      <w:r>
        <w:t xml:space="preserve"> </w:t>
      </w:r>
      <w:r>
        <w:rPr>
          <w:i/>
          <w:iCs/>
        </w:rPr>
        <w:t xml:space="preserve">Revisiting the continuum model of tendon pathology: what is its merit in clinical practice and research?</w:t>
      </w:r>
      <w:r>
        <w:t xml:space="preserve"> </w:t>
      </w:r>
      <w:r>
        <w:t xml:space="preserve">Br J Sports Med 2016;50(19):1187-1191.</w:t>
      </w:r>
      <w:r>
        <w:t xml:space="preserve"> </w:t>
      </w:r>
      <w:hyperlink r:id="rId130">
        <w:r>
          <w:rPr>
            <w:rStyle w:val="Hyperlink"/>
          </w:rPr>
          <w:t xml:space="preserve">PMID 27127294</w:t>
        </w:r>
      </w:hyperlink>
    </w:p>
    <w:p>
      <w:pPr>
        <w:pStyle w:val="Compact"/>
        <w:numPr>
          <w:ilvl w:val="0"/>
          <w:numId w:val="1044"/>
        </w:numPr>
      </w:pPr>
      <w:r>
        <w:t xml:space="preserve">Naugle KM, Fillingim RB, Riley JL 3rd.</w:t>
      </w:r>
      <w:r>
        <w:t xml:space="preserve"> </w:t>
      </w:r>
      <w:r>
        <w:rPr>
          <w:i/>
          <w:iCs/>
        </w:rPr>
        <w:t xml:space="preserve">A meta-analytic review of the hypoalgesic effects of exercise.</w:t>
      </w:r>
      <w:r>
        <w:t xml:space="preserve"> </w:t>
      </w:r>
      <w:r>
        <w:t xml:space="preserve">J Pain 2012;13(12):1139-1150.</w:t>
      </w:r>
      <w:r>
        <w:t xml:space="preserve"> </w:t>
      </w:r>
      <w:hyperlink r:id="rId131">
        <w:r>
          <w:rPr>
            <w:rStyle w:val="Hyperlink"/>
          </w:rPr>
          <w:t xml:space="preserve">PMID 23141188</w:t>
        </w:r>
      </w:hyperlink>
    </w:p>
    <w:p>
      <w:pPr>
        <w:pStyle w:val="Compact"/>
        <w:numPr>
          <w:ilvl w:val="0"/>
          <w:numId w:val="1044"/>
        </w:numPr>
      </w:pPr>
      <w:r>
        <w:t xml:space="preserve">van der Vlist AC, Breda SJ, Oei EHG, Verhaar JAN, de Vos RJ.</w:t>
      </w:r>
      <w:r>
        <w:t xml:space="preserve"> </w:t>
      </w:r>
      <w:r>
        <w:rPr>
          <w:i/>
          <w:iCs/>
        </w:rPr>
        <w:t xml:space="preserve">Clinical risk factors for Achilles tendinopathy: a systematic review.</w:t>
      </w:r>
      <w:r>
        <w:t xml:space="preserve"> </w:t>
      </w:r>
      <w:r>
        <w:t xml:space="preserve">Br J Sports Med 2019;53(21):1352-1361.</w:t>
      </w:r>
      <w:r>
        <w:t xml:space="preserve"> </w:t>
      </w:r>
      <w:hyperlink r:id="rId132">
        <w:r>
          <w:rPr>
            <w:rStyle w:val="Hyperlink"/>
          </w:rPr>
          <w:t xml:space="preserve">PMID 30718234</w:t>
        </w:r>
      </w:hyperlink>
    </w:p>
    <w:p>
      <w:pPr>
        <w:pStyle w:val="Compact"/>
        <w:numPr>
          <w:ilvl w:val="0"/>
          <w:numId w:val="1044"/>
        </w:numPr>
      </w:pPr>
      <w:r>
        <w:t xml:space="preserve">Mest J, Flood A, Toufexis C, Waddington G, Malliaras P, Fearon AM.</w:t>
      </w:r>
      <w:r>
        <w:t xml:space="preserve"> </w:t>
      </w:r>
      <w:r>
        <w:rPr>
          <w:i/>
          <w:iCs/>
        </w:rPr>
        <w:t xml:space="preserve">Differences in psychological factors between people with persistent tendinopathy and those without tendinopathy: a systematic review with meta-analysis.</w:t>
      </w:r>
      <w:r>
        <w:t xml:space="preserve"> </w:t>
      </w:r>
      <w:r>
        <w:t xml:space="preserve">J Orthop Sports Phys Ther 2025;55(12):1-18.</w:t>
      </w:r>
      <w:r>
        <w:t xml:space="preserve"> </w:t>
      </w:r>
      <w:hyperlink r:id="rId133">
        <w:r>
          <w:rPr>
            <w:rStyle w:val="Hyperlink"/>
          </w:rPr>
          <w:t xml:space="preserve">PMID 41308022</w:t>
        </w:r>
      </w:hyperlink>
    </w:p>
    <w:p>
      <w:pPr>
        <w:pStyle w:val="Compact"/>
        <w:numPr>
          <w:ilvl w:val="0"/>
          <w:numId w:val="1044"/>
        </w:numPr>
      </w:pPr>
      <w:r>
        <w:t xml:space="preserve">Ferreira PH, Ferreira ML, Maher CG, Refshauge KM, Latimer J, Adams RD.</w:t>
      </w:r>
      <w:r>
        <w:t xml:space="preserve"> </w:t>
      </w:r>
      <w:r>
        <w:rPr>
          <w:i/>
          <w:iCs/>
        </w:rPr>
        <w:t xml:space="preserve">The therapeutic alliance between clinicians and patients predicts outcome in chronic low back pain.</w:t>
      </w:r>
      <w:r>
        <w:t xml:space="preserve"> </w:t>
      </w:r>
      <w:r>
        <w:t xml:space="preserve">Phys Ther 2013;93(4):470-478.</w:t>
      </w:r>
      <w:r>
        <w:t xml:space="preserve"> </w:t>
      </w:r>
      <w:hyperlink r:id="rId134">
        <w:r>
          <w:rPr>
            <w:rStyle w:val="Hyperlink"/>
          </w:rPr>
          <w:t xml:space="preserve">PMID 23139428</w:t>
        </w:r>
      </w:hyperlink>
    </w:p>
    <w:p>
      <w:pPr>
        <w:pStyle w:val="Compact"/>
        <w:numPr>
          <w:ilvl w:val="0"/>
          <w:numId w:val="1044"/>
        </w:numPr>
      </w:pPr>
      <w:r>
        <w:t xml:space="preserve">Hall AM, Ferreira PH, Maher CG, Latimer J, Ferreira ML.</w:t>
      </w:r>
      <w:r>
        <w:t xml:space="preserve"> </w:t>
      </w:r>
      <w:r>
        <w:rPr>
          <w:i/>
          <w:iCs/>
        </w:rPr>
        <w:t xml:space="preserve">The influence of the therapist-patient relationship on treatment outcome in physical rehabilitation: a systematic review.</w:t>
      </w:r>
      <w:r>
        <w:t xml:space="preserve"> </w:t>
      </w:r>
      <w:r>
        <w:t xml:space="preserve">Phys Ther 2010;90(8):1099-1110.</w:t>
      </w:r>
      <w:r>
        <w:t xml:space="preserve"> </w:t>
      </w:r>
      <w:hyperlink r:id="rId135">
        <w:r>
          <w:rPr>
            <w:rStyle w:val="Hyperlink"/>
          </w:rPr>
          <w:t xml:space="preserve">PMID 20576715</w:t>
        </w:r>
      </w:hyperlink>
    </w:p>
    <w:p>
      <w:pPr>
        <w:pStyle w:val="Compact"/>
        <w:numPr>
          <w:ilvl w:val="0"/>
          <w:numId w:val="1044"/>
        </w:numPr>
      </w:pPr>
      <w:r>
        <w:t xml:space="preserve">Schrimpf M, Liegl G, Boeckle M, Leitner A, Geisler P, Pieh C.</w:t>
      </w:r>
      <w:r>
        <w:t xml:space="preserve"> </w:t>
      </w:r>
      <w:r>
        <w:rPr>
          <w:i/>
          <w:iCs/>
        </w:rPr>
        <w:t xml:space="preserve">The effect of sleep deprivation on pain perception in healthy subjects: a meta-analysis.</w:t>
      </w:r>
      <w:r>
        <w:t xml:space="preserve"> </w:t>
      </w:r>
      <w:r>
        <w:t xml:space="preserve">Sleep Med 2015;16(11):1313-1320.</w:t>
      </w:r>
      <w:r>
        <w:t xml:space="preserve"> </w:t>
      </w:r>
      <w:hyperlink r:id="rId136">
        <w:r>
          <w:rPr>
            <w:rStyle w:val="Hyperlink"/>
          </w:rPr>
          <w:t xml:space="preserve">PMID 26498229</w:t>
        </w:r>
      </w:hyperlink>
    </w:p>
    <w:p>
      <w:pPr>
        <w:pStyle w:val="Compact"/>
        <w:numPr>
          <w:ilvl w:val="0"/>
          <w:numId w:val="1044"/>
        </w:numPr>
      </w:pPr>
      <w:r>
        <w:t xml:space="preserve">Clifford C, Challoumas D, Paul L, Syme G, Millar NL.</w:t>
      </w:r>
      <w:r>
        <w:t xml:space="preserve"> </w:t>
      </w:r>
      <w:r>
        <w:rPr>
          <w:i/>
          <w:iCs/>
        </w:rPr>
        <w:t xml:space="preserve">Effectiveness of isometric exercise in the management of tendinopathy: a systematic review and meta-analysis of randomised trials.</w:t>
      </w:r>
      <w:r>
        <w:t xml:space="preserve"> </w:t>
      </w:r>
      <w:r>
        <w:t xml:space="preserve">BMJ Open Sport Exerc Med 2020;6(1):e000760.</w:t>
      </w:r>
      <w:r>
        <w:t xml:space="preserve"> </w:t>
      </w:r>
      <w:hyperlink r:id="rId137">
        <w:r>
          <w:rPr>
            <w:rStyle w:val="Hyperlink"/>
          </w:rPr>
          <w:t xml:space="preserve">PMID 32818059</w:t>
        </w:r>
      </w:hyperlink>
    </w:p>
    <w:bookmarkEnd w:id="138"/>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7" Target="https://pubmed.ncbi.nlm.nih.gov/11879861/" TargetMode="External" /><Relationship Type="http://schemas.openxmlformats.org/officeDocument/2006/relationships/hyperlink" Id="rId76" Target="https://pubmed.ncbi.nlm.nih.gov/11895810/" TargetMode="External" /><Relationship Type="http://schemas.openxmlformats.org/officeDocument/2006/relationships/hyperlink" Id="rId118" Target="https://pubmed.ncbi.nlm.nih.gov/12665408/" TargetMode="External" /><Relationship Type="http://schemas.openxmlformats.org/officeDocument/2006/relationships/hyperlink" Id="rId99" Target="https://pubmed.ncbi.nlm.nih.gov/15138373/" TargetMode="External" /><Relationship Type="http://schemas.openxmlformats.org/officeDocument/2006/relationships/hyperlink" Id="rId116" Target="https://pubmed.ncbi.nlm.nih.gov/16002437/" TargetMode="External" /><Relationship Type="http://schemas.openxmlformats.org/officeDocument/2006/relationships/hyperlink" Id="rId93" Target="https://pubmed.ncbi.nlm.nih.gov/17012266/" TargetMode="External" /><Relationship Type="http://schemas.openxmlformats.org/officeDocument/2006/relationships/hyperlink" Id="rId124" Target="https://pubmed.ncbi.nlm.nih.gov/17244902/" TargetMode="External" /><Relationship Type="http://schemas.openxmlformats.org/officeDocument/2006/relationships/hyperlink" Id="rId85" Target="https://pubmed.ncbi.nlm.nih.gov/17307888/" TargetMode="External" /><Relationship Type="http://schemas.openxmlformats.org/officeDocument/2006/relationships/hyperlink" Id="rId127" Target="https://pubmed.ncbi.nlm.nih.gov/17656438/" TargetMode="External" /><Relationship Type="http://schemas.openxmlformats.org/officeDocument/2006/relationships/hyperlink" Id="rId111" Target="https://pubmed.ncbi.nlm.nih.gov/17678660/" TargetMode="External" /><Relationship Type="http://schemas.openxmlformats.org/officeDocument/2006/relationships/hyperlink" Id="rId110" Target="https://pubmed.ncbi.nlm.nih.gov/18184750/" TargetMode="External" /><Relationship Type="http://schemas.openxmlformats.org/officeDocument/2006/relationships/hyperlink" Id="rId84" Target="https://pubmed.ncbi.nlm.nih.gov/18812414/" TargetMode="External" /><Relationship Type="http://schemas.openxmlformats.org/officeDocument/2006/relationships/hyperlink" Id="rId135" Target="https://pubmed.ncbi.nlm.nih.gov/20576715/" TargetMode="External" /><Relationship Type="http://schemas.openxmlformats.org/officeDocument/2006/relationships/hyperlink" Id="rId79" Target="https://pubmed.ncbi.nlm.nih.gov/21109520/" TargetMode="External" /><Relationship Type="http://schemas.openxmlformats.org/officeDocument/2006/relationships/hyperlink" Id="rId74" Target="https://pubmed.ncbi.nlm.nih.gov/21926076/" TargetMode="External" /><Relationship Type="http://schemas.openxmlformats.org/officeDocument/2006/relationships/hyperlink" Id="rId107" Target="https://pubmed.ncbi.nlm.nih.gov/22075719/" TargetMode="External" /><Relationship Type="http://schemas.openxmlformats.org/officeDocument/2006/relationships/hyperlink" Id="rId81" Target="https://pubmed.ncbi.nlm.nih.gov/22113234/" TargetMode="External" /><Relationship Type="http://schemas.openxmlformats.org/officeDocument/2006/relationships/hyperlink" Id="rId122" Target="https://pubmed.ncbi.nlm.nih.gov/22730307/" TargetMode="External" /><Relationship Type="http://schemas.openxmlformats.org/officeDocument/2006/relationships/hyperlink" Id="rId95" Target="https://pubmed.ncbi.nlm.nih.gov/23118117/" TargetMode="External" /><Relationship Type="http://schemas.openxmlformats.org/officeDocument/2006/relationships/hyperlink" Id="rId134" Target="https://pubmed.ncbi.nlm.nih.gov/23139428/" TargetMode="External" /><Relationship Type="http://schemas.openxmlformats.org/officeDocument/2006/relationships/hyperlink" Id="rId131" Target="https://pubmed.ncbi.nlm.nih.gov/23141188/" TargetMode="External" /><Relationship Type="http://schemas.openxmlformats.org/officeDocument/2006/relationships/hyperlink" Id="rId90" Target="https://pubmed.ncbi.nlm.nih.gov/23385272/" TargetMode="External" /><Relationship Type="http://schemas.openxmlformats.org/officeDocument/2006/relationships/hyperlink" Id="rId80" Target="https://pubmed.ncbi.nlm.nih.gov/23401563/" TargetMode="External" /><Relationship Type="http://schemas.openxmlformats.org/officeDocument/2006/relationships/hyperlink" Id="rId113" Target="https://pubmed.ncbi.nlm.nih.gov/24027089/" TargetMode="External" /><Relationship Type="http://schemas.openxmlformats.org/officeDocument/2006/relationships/hyperlink" Id="rId101" Target="https://pubmed.ncbi.nlm.nih.gov/25979840/" TargetMode="External" /><Relationship Type="http://schemas.openxmlformats.org/officeDocument/2006/relationships/hyperlink" Id="rId94" Target="https://pubmed.ncbi.nlm.nih.gov/26018970/" TargetMode="External" /><Relationship Type="http://schemas.openxmlformats.org/officeDocument/2006/relationships/hyperlink" Id="rId109" Target="https://pubmed.ncbi.nlm.nih.gov/26381486/" TargetMode="External" /><Relationship Type="http://schemas.openxmlformats.org/officeDocument/2006/relationships/hyperlink" Id="rId82" Target="https://pubmed.ncbi.nlm.nih.gov/26390275/" TargetMode="External" /><Relationship Type="http://schemas.openxmlformats.org/officeDocument/2006/relationships/hyperlink" Id="rId117" Target="https://pubmed.ncbi.nlm.nih.gov/26474596/" TargetMode="External" /><Relationship Type="http://schemas.openxmlformats.org/officeDocument/2006/relationships/hyperlink" Id="rId136" Target="https://pubmed.ncbi.nlm.nih.gov/26498229/" TargetMode="External" /><Relationship Type="http://schemas.openxmlformats.org/officeDocument/2006/relationships/hyperlink" Id="rId88" Target="https://pubmed.ncbi.nlm.nih.gov/26598716/" TargetMode="External" /><Relationship Type="http://schemas.openxmlformats.org/officeDocument/2006/relationships/hyperlink" Id="rId130" Target="https://pubmed.ncbi.nlm.nih.gov/27127294/" TargetMode="External" /><Relationship Type="http://schemas.openxmlformats.org/officeDocument/2006/relationships/hyperlink" Id="rId98" Target="https://pubmed.ncbi.nlm.nih.gov/27283590/" TargetMode="External" /><Relationship Type="http://schemas.openxmlformats.org/officeDocument/2006/relationships/hyperlink" Id="rId121" Target="https://pubmed.ncbi.nlm.nih.gov/27490216/" TargetMode="External" /><Relationship Type="http://schemas.openxmlformats.org/officeDocument/2006/relationships/hyperlink" Id="rId83" Target="https://pubmed.ncbi.nlm.nih.gov/27747846/" TargetMode="External" /><Relationship Type="http://schemas.openxmlformats.org/officeDocument/2006/relationships/hyperlink" Id="rId73" Target="https://pubmed.ncbi.nlm.nih.gov/28119539/" TargetMode="External" /><Relationship Type="http://schemas.openxmlformats.org/officeDocument/2006/relationships/hyperlink" Id="rId114" Target="https://pubmed.ncbi.nlm.nih.gov/28698221/" TargetMode="External" /><Relationship Type="http://schemas.openxmlformats.org/officeDocument/2006/relationships/hyperlink" Id="rId112" Target="https://pubmed.ncbi.nlm.nih.gov/29079961/" TargetMode="External" /><Relationship Type="http://schemas.openxmlformats.org/officeDocument/2006/relationships/hyperlink" Id="rId105" Target="https://pubmed.ncbi.nlm.nih.gov/29570396/" TargetMode="External" /><Relationship Type="http://schemas.openxmlformats.org/officeDocument/2006/relationships/hyperlink" Id="rId119" Target="https://pubmed.ncbi.nlm.nih.gov/29705077/" TargetMode="External" /><Relationship Type="http://schemas.openxmlformats.org/officeDocument/2006/relationships/hyperlink" Id="rId92" Target="https://pubmed.ncbi.nlm.nih.gov/29712543/" TargetMode="External" /><Relationship Type="http://schemas.openxmlformats.org/officeDocument/2006/relationships/hyperlink" Id="rId89" Target="https://pubmed.ncbi.nlm.nih.gov/29720374/" TargetMode="External" /><Relationship Type="http://schemas.openxmlformats.org/officeDocument/2006/relationships/hyperlink" Id="rId100" Target="https://pubmed.ncbi.nlm.nih.gov/30583976/" TargetMode="External" /><Relationship Type="http://schemas.openxmlformats.org/officeDocument/2006/relationships/hyperlink" Id="rId132" Target="https://pubmed.ncbi.nlm.nih.gov/30718234/" TargetMode="External" /><Relationship Type="http://schemas.openxmlformats.org/officeDocument/2006/relationships/hyperlink" Id="rId91" Target="https://pubmed.ncbi.nlm.nih.gov/31270563/" TargetMode="External" /><Relationship Type="http://schemas.openxmlformats.org/officeDocument/2006/relationships/hyperlink" Id="rId125" Target="https://pubmed.ncbi.nlm.nih.gov/32522732/" TargetMode="External" /><Relationship Type="http://schemas.openxmlformats.org/officeDocument/2006/relationships/hyperlink" Id="rId137" Target="https://pubmed.ncbi.nlm.nih.gov/32818059/" TargetMode="External" /><Relationship Type="http://schemas.openxmlformats.org/officeDocument/2006/relationships/hyperlink" Id="rId126" Target="https://pubmed.ncbi.nlm.nih.gov/33148599/" TargetMode="External" /><Relationship Type="http://schemas.openxmlformats.org/officeDocument/2006/relationships/hyperlink" Id="rId115" Target="https://pubmed.ncbi.nlm.nih.gov/33383996/" TargetMode="External" /><Relationship Type="http://schemas.openxmlformats.org/officeDocument/2006/relationships/hyperlink" Id="rId75" Target="https://pubmed.ncbi.nlm.nih.gov/33414454/" TargetMode="External" /><Relationship Type="http://schemas.openxmlformats.org/officeDocument/2006/relationships/hyperlink" Id="rId103" Target="https://pubmed.ncbi.nlm.nih.gov/34722783/" TargetMode="External" /><Relationship Type="http://schemas.openxmlformats.org/officeDocument/2006/relationships/hyperlink" Id="rId96" Target="https://pubmed.ncbi.nlm.nih.gov/34900334/" TargetMode="External" /><Relationship Type="http://schemas.openxmlformats.org/officeDocument/2006/relationships/hyperlink" Id="rId123" Target="https://pubmed.ncbi.nlm.nih.gov/35196681/" TargetMode="External" /><Relationship Type="http://schemas.openxmlformats.org/officeDocument/2006/relationships/hyperlink" Id="rId97" Target="https://pubmed.ncbi.nlm.nih.gov/35869789/" TargetMode="External" /><Relationship Type="http://schemas.openxmlformats.org/officeDocument/2006/relationships/hyperlink" Id="rId120" Target="https://pubmed.ncbi.nlm.nih.gov/36099171/" TargetMode="External" /><Relationship Type="http://schemas.openxmlformats.org/officeDocument/2006/relationships/hyperlink" Id="rId86" Target="https://pubmed.ncbi.nlm.nih.gov/36685067/" TargetMode="External" /><Relationship Type="http://schemas.openxmlformats.org/officeDocument/2006/relationships/hyperlink" Id="rId128" Target="https://pubmed.ncbi.nlm.nih.gov/37169370/" TargetMode="External" /><Relationship Type="http://schemas.openxmlformats.org/officeDocument/2006/relationships/hyperlink" Id="rId129" Target="https://pubmed.ncbi.nlm.nih.gov/38420953/" TargetMode="External" /><Relationship Type="http://schemas.openxmlformats.org/officeDocument/2006/relationships/hyperlink" Id="rId78" Target="https://pubmed.ncbi.nlm.nih.gov/38864880/" TargetMode="External" /><Relationship Type="http://schemas.openxmlformats.org/officeDocument/2006/relationships/hyperlink" Id="rId106" Target="https://pubmed.ncbi.nlm.nih.gov/38879981/" TargetMode="External" /><Relationship Type="http://schemas.openxmlformats.org/officeDocument/2006/relationships/hyperlink" Id="rId108" Target="https://pubmed.ncbi.nlm.nih.gov/39611662/" TargetMode="External" /><Relationship Type="http://schemas.openxmlformats.org/officeDocument/2006/relationships/hyperlink" Id="rId133" Target="https://pubmed.ncbi.nlm.nih.gov/41308022/" TargetMode="External" /><Relationship Type="http://schemas.openxmlformats.org/officeDocument/2006/relationships/hyperlink" Id="rId87" Target="https://pubmed.ncbi.nlm.nih.gov/9252000/" TargetMode="External" /><Relationship Type="http://schemas.openxmlformats.org/officeDocument/2006/relationships/hyperlink" Id="rId104" Target="https://pubmed.ncbi.nlm.nih.gov/9617396/" TargetMode="External" /><Relationship Type="http://schemas.openxmlformats.org/officeDocument/2006/relationships/hyperlink" Id="rId102" Target="https://pubmed.ncbi.nlm.nih.gov/9777544/" TargetMode="External" /></Relationships>
</file>

<file path=word/_rels/footnotes.xml.rels><?xml version="1.0" encoding="UTF-8"?><Relationships xmlns="http://schemas.openxmlformats.org/package/2006/relationships"><Relationship Type="http://schemas.openxmlformats.org/officeDocument/2006/relationships/hyperlink" Id="rId77" Target="https://pubmed.ncbi.nlm.nih.gov/11879861/" TargetMode="External" /><Relationship Type="http://schemas.openxmlformats.org/officeDocument/2006/relationships/hyperlink" Id="rId76" Target="https://pubmed.ncbi.nlm.nih.gov/11895810/" TargetMode="External" /><Relationship Type="http://schemas.openxmlformats.org/officeDocument/2006/relationships/hyperlink" Id="rId118" Target="https://pubmed.ncbi.nlm.nih.gov/12665408/" TargetMode="External" /><Relationship Type="http://schemas.openxmlformats.org/officeDocument/2006/relationships/hyperlink" Id="rId99" Target="https://pubmed.ncbi.nlm.nih.gov/15138373/" TargetMode="External" /><Relationship Type="http://schemas.openxmlformats.org/officeDocument/2006/relationships/hyperlink" Id="rId116" Target="https://pubmed.ncbi.nlm.nih.gov/16002437/" TargetMode="External" /><Relationship Type="http://schemas.openxmlformats.org/officeDocument/2006/relationships/hyperlink" Id="rId93" Target="https://pubmed.ncbi.nlm.nih.gov/17012266/" TargetMode="External" /><Relationship Type="http://schemas.openxmlformats.org/officeDocument/2006/relationships/hyperlink" Id="rId124" Target="https://pubmed.ncbi.nlm.nih.gov/17244902/" TargetMode="External" /><Relationship Type="http://schemas.openxmlformats.org/officeDocument/2006/relationships/hyperlink" Id="rId85" Target="https://pubmed.ncbi.nlm.nih.gov/17307888/" TargetMode="External" /><Relationship Type="http://schemas.openxmlformats.org/officeDocument/2006/relationships/hyperlink" Id="rId127" Target="https://pubmed.ncbi.nlm.nih.gov/17656438/" TargetMode="External" /><Relationship Type="http://schemas.openxmlformats.org/officeDocument/2006/relationships/hyperlink" Id="rId111" Target="https://pubmed.ncbi.nlm.nih.gov/17678660/" TargetMode="External" /><Relationship Type="http://schemas.openxmlformats.org/officeDocument/2006/relationships/hyperlink" Id="rId110" Target="https://pubmed.ncbi.nlm.nih.gov/18184750/" TargetMode="External" /><Relationship Type="http://schemas.openxmlformats.org/officeDocument/2006/relationships/hyperlink" Id="rId84" Target="https://pubmed.ncbi.nlm.nih.gov/18812414/" TargetMode="External" /><Relationship Type="http://schemas.openxmlformats.org/officeDocument/2006/relationships/hyperlink" Id="rId135" Target="https://pubmed.ncbi.nlm.nih.gov/20576715/" TargetMode="External" /><Relationship Type="http://schemas.openxmlformats.org/officeDocument/2006/relationships/hyperlink" Id="rId79" Target="https://pubmed.ncbi.nlm.nih.gov/21109520/" TargetMode="External" /><Relationship Type="http://schemas.openxmlformats.org/officeDocument/2006/relationships/hyperlink" Id="rId74" Target="https://pubmed.ncbi.nlm.nih.gov/21926076/" TargetMode="External" /><Relationship Type="http://schemas.openxmlformats.org/officeDocument/2006/relationships/hyperlink" Id="rId107" Target="https://pubmed.ncbi.nlm.nih.gov/22075719/" TargetMode="External" /><Relationship Type="http://schemas.openxmlformats.org/officeDocument/2006/relationships/hyperlink" Id="rId81" Target="https://pubmed.ncbi.nlm.nih.gov/22113234/" TargetMode="External" /><Relationship Type="http://schemas.openxmlformats.org/officeDocument/2006/relationships/hyperlink" Id="rId122" Target="https://pubmed.ncbi.nlm.nih.gov/22730307/" TargetMode="External" /><Relationship Type="http://schemas.openxmlformats.org/officeDocument/2006/relationships/hyperlink" Id="rId95" Target="https://pubmed.ncbi.nlm.nih.gov/23118117/" TargetMode="External" /><Relationship Type="http://schemas.openxmlformats.org/officeDocument/2006/relationships/hyperlink" Id="rId134" Target="https://pubmed.ncbi.nlm.nih.gov/23139428/" TargetMode="External" /><Relationship Type="http://schemas.openxmlformats.org/officeDocument/2006/relationships/hyperlink" Id="rId131" Target="https://pubmed.ncbi.nlm.nih.gov/23141188/" TargetMode="External" /><Relationship Type="http://schemas.openxmlformats.org/officeDocument/2006/relationships/hyperlink" Id="rId90" Target="https://pubmed.ncbi.nlm.nih.gov/23385272/" TargetMode="External" /><Relationship Type="http://schemas.openxmlformats.org/officeDocument/2006/relationships/hyperlink" Id="rId80" Target="https://pubmed.ncbi.nlm.nih.gov/23401563/" TargetMode="External" /><Relationship Type="http://schemas.openxmlformats.org/officeDocument/2006/relationships/hyperlink" Id="rId113" Target="https://pubmed.ncbi.nlm.nih.gov/24027089/" TargetMode="External" /><Relationship Type="http://schemas.openxmlformats.org/officeDocument/2006/relationships/hyperlink" Id="rId101" Target="https://pubmed.ncbi.nlm.nih.gov/25979840/" TargetMode="External" /><Relationship Type="http://schemas.openxmlformats.org/officeDocument/2006/relationships/hyperlink" Id="rId94" Target="https://pubmed.ncbi.nlm.nih.gov/26018970/" TargetMode="External" /><Relationship Type="http://schemas.openxmlformats.org/officeDocument/2006/relationships/hyperlink" Id="rId109" Target="https://pubmed.ncbi.nlm.nih.gov/26381486/" TargetMode="External" /><Relationship Type="http://schemas.openxmlformats.org/officeDocument/2006/relationships/hyperlink" Id="rId82" Target="https://pubmed.ncbi.nlm.nih.gov/26390275/" TargetMode="External" /><Relationship Type="http://schemas.openxmlformats.org/officeDocument/2006/relationships/hyperlink" Id="rId117" Target="https://pubmed.ncbi.nlm.nih.gov/26474596/" TargetMode="External" /><Relationship Type="http://schemas.openxmlformats.org/officeDocument/2006/relationships/hyperlink" Id="rId136" Target="https://pubmed.ncbi.nlm.nih.gov/26498229/" TargetMode="External" /><Relationship Type="http://schemas.openxmlformats.org/officeDocument/2006/relationships/hyperlink" Id="rId88" Target="https://pubmed.ncbi.nlm.nih.gov/26598716/" TargetMode="External" /><Relationship Type="http://schemas.openxmlformats.org/officeDocument/2006/relationships/hyperlink" Id="rId130" Target="https://pubmed.ncbi.nlm.nih.gov/27127294/" TargetMode="External" /><Relationship Type="http://schemas.openxmlformats.org/officeDocument/2006/relationships/hyperlink" Id="rId98" Target="https://pubmed.ncbi.nlm.nih.gov/27283590/" TargetMode="External" /><Relationship Type="http://schemas.openxmlformats.org/officeDocument/2006/relationships/hyperlink" Id="rId121" Target="https://pubmed.ncbi.nlm.nih.gov/27490216/" TargetMode="External" /><Relationship Type="http://schemas.openxmlformats.org/officeDocument/2006/relationships/hyperlink" Id="rId83" Target="https://pubmed.ncbi.nlm.nih.gov/27747846/" TargetMode="External" /><Relationship Type="http://schemas.openxmlformats.org/officeDocument/2006/relationships/hyperlink" Id="rId73" Target="https://pubmed.ncbi.nlm.nih.gov/28119539/" TargetMode="External" /><Relationship Type="http://schemas.openxmlformats.org/officeDocument/2006/relationships/hyperlink" Id="rId114" Target="https://pubmed.ncbi.nlm.nih.gov/28698221/" TargetMode="External" /><Relationship Type="http://schemas.openxmlformats.org/officeDocument/2006/relationships/hyperlink" Id="rId112" Target="https://pubmed.ncbi.nlm.nih.gov/29079961/" TargetMode="External" /><Relationship Type="http://schemas.openxmlformats.org/officeDocument/2006/relationships/hyperlink" Id="rId105" Target="https://pubmed.ncbi.nlm.nih.gov/29570396/" TargetMode="External" /><Relationship Type="http://schemas.openxmlformats.org/officeDocument/2006/relationships/hyperlink" Id="rId119" Target="https://pubmed.ncbi.nlm.nih.gov/29705077/" TargetMode="External" /><Relationship Type="http://schemas.openxmlformats.org/officeDocument/2006/relationships/hyperlink" Id="rId92" Target="https://pubmed.ncbi.nlm.nih.gov/29712543/" TargetMode="External" /><Relationship Type="http://schemas.openxmlformats.org/officeDocument/2006/relationships/hyperlink" Id="rId89" Target="https://pubmed.ncbi.nlm.nih.gov/29720374/" TargetMode="External" /><Relationship Type="http://schemas.openxmlformats.org/officeDocument/2006/relationships/hyperlink" Id="rId100" Target="https://pubmed.ncbi.nlm.nih.gov/30583976/" TargetMode="External" /><Relationship Type="http://schemas.openxmlformats.org/officeDocument/2006/relationships/hyperlink" Id="rId132" Target="https://pubmed.ncbi.nlm.nih.gov/30718234/" TargetMode="External" /><Relationship Type="http://schemas.openxmlformats.org/officeDocument/2006/relationships/hyperlink" Id="rId91" Target="https://pubmed.ncbi.nlm.nih.gov/31270563/" TargetMode="External" /><Relationship Type="http://schemas.openxmlformats.org/officeDocument/2006/relationships/hyperlink" Id="rId125" Target="https://pubmed.ncbi.nlm.nih.gov/32522732/" TargetMode="External" /><Relationship Type="http://schemas.openxmlformats.org/officeDocument/2006/relationships/hyperlink" Id="rId137" Target="https://pubmed.ncbi.nlm.nih.gov/32818059/" TargetMode="External" /><Relationship Type="http://schemas.openxmlformats.org/officeDocument/2006/relationships/hyperlink" Id="rId126" Target="https://pubmed.ncbi.nlm.nih.gov/33148599/" TargetMode="External" /><Relationship Type="http://schemas.openxmlformats.org/officeDocument/2006/relationships/hyperlink" Id="rId115" Target="https://pubmed.ncbi.nlm.nih.gov/33383996/" TargetMode="External" /><Relationship Type="http://schemas.openxmlformats.org/officeDocument/2006/relationships/hyperlink" Id="rId75" Target="https://pubmed.ncbi.nlm.nih.gov/33414454/" TargetMode="External" /><Relationship Type="http://schemas.openxmlformats.org/officeDocument/2006/relationships/hyperlink" Id="rId103" Target="https://pubmed.ncbi.nlm.nih.gov/34722783/" TargetMode="External" /><Relationship Type="http://schemas.openxmlformats.org/officeDocument/2006/relationships/hyperlink" Id="rId96" Target="https://pubmed.ncbi.nlm.nih.gov/34900334/" TargetMode="External" /><Relationship Type="http://schemas.openxmlformats.org/officeDocument/2006/relationships/hyperlink" Id="rId123" Target="https://pubmed.ncbi.nlm.nih.gov/35196681/" TargetMode="External" /><Relationship Type="http://schemas.openxmlformats.org/officeDocument/2006/relationships/hyperlink" Id="rId97" Target="https://pubmed.ncbi.nlm.nih.gov/35869789/" TargetMode="External" /><Relationship Type="http://schemas.openxmlformats.org/officeDocument/2006/relationships/hyperlink" Id="rId120" Target="https://pubmed.ncbi.nlm.nih.gov/36099171/" TargetMode="External" /><Relationship Type="http://schemas.openxmlformats.org/officeDocument/2006/relationships/hyperlink" Id="rId86" Target="https://pubmed.ncbi.nlm.nih.gov/36685067/" TargetMode="External" /><Relationship Type="http://schemas.openxmlformats.org/officeDocument/2006/relationships/hyperlink" Id="rId128" Target="https://pubmed.ncbi.nlm.nih.gov/37169370/" TargetMode="External" /><Relationship Type="http://schemas.openxmlformats.org/officeDocument/2006/relationships/hyperlink" Id="rId129" Target="https://pubmed.ncbi.nlm.nih.gov/38420953/" TargetMode="External" /><Relationship Type="http://schemas.openxmlformats.org/officeDocument/2006/relationships/hyperlink" Id="rId78" Target="https://pubmed.ncbi.nlm.nih.gov/38864880/" TargetMode="External" /><Relationship Type="http://schemas.openxmlformats.org/officeDocument/2006/relationships/hyperlink" Id="rId106" Target="https://pubmed.ncbi.nlm.nih.gov/38879981/" TargetMode="External" /><Relationship Type="http://schemas.openxmlformats.org/officeDocument/2006/relationships/hyperlink" Id="rId108" Target="https://pubmed.ncbi.nlm.nih.gov/39611662/" TargetMode="External" /><Relationship Type="http://schemas.openxmlformats.org/officeDocument/2006/relationships/hyperlink" Id="rId133" Target="https://pubmed.ncbi.nlm.nih.gov/41308022/" TargetMode="External" /><Relationship Type="http://schemas.openxmlformats.org/officeDocument/2006/relationships/hyperlink" Id="rId87" Target="https://pubmed.ncbi.nlm.nih.gov/9252000/" TargetMode="External" /><Relationship Type="http://schemas.openxmlformats.org/officeDocument/2006/relationships/hyperlink" Id="rId104" Target="https://pubmed.ncbi.nlm.nih.gov/9617396/" TargetMode="External" /><Relationship Type="http://schemas.openxmlformats.org/officeDocument/2006/relationships/hyperlink" Id="rId102" Target="https://pubmed.ncbi.nlm.nih.gov/977754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Tendiniti</dc:title>
  <dc:creator>Mobilitas — Direzione Osteopatica</dc:creator>
  <dc:language>it-IT</dc:language>
  <cp:keywords/>
  <dcterms:created xsi:type="dcterms:W3CDTF">2026-08-30T23:53:49Z</dcterms:created>
  <dcterms:modified xsi:type="dcterms:W3CDTF">2026-08-30T23:53:49Z</dcterms:modified>
</cp:coreProperties>
</file>

<file path=docProps/custom.xml><?xml version="1.0" encoding="utf-8"?>
<Properties xmlns="http://schemas.openxmlformats.org/officeDocument/2006/custom-properties" xmlns:vt="http://schemas.openxmlformats.org/officeDocument/2006/docPropsVTypes"/>
</file>