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20" w:name="mappa-concettuale-tendiniti"/>
    <w:p>
      <w:pPr>
        <w:pStyle w:val="Heading1"/>
      </w:pPr>
      <w:r>
        <w:t xml:space="preserve">Mappa concettuale — Tendiniti</w:t>
      </w:r>
    </w:p>
    <w:p>
      <w:pPr>
        <w:pStyle w:val="FirstParagraph"/>
      </w:pPr>
      <w:r>
        <w:rPr>
          <w:b/>
          <w:bCs/>
        </w:rPr>
        <w:t xml:space="preserve">Condizione:</w:t>
      </w:r>
      <w:r>
        <w:t xml:space="preserve"> </w:t>
      </w:r>
      <w:r>
        <w:t xml:space="preserve">tendiniti (tendinopatie) ·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Bill Vicenzino, University of Queensland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Magnusson, Kjær, Heinemeier — Bispebjerg, Copenaghen ·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v7 — finale, dopo la revisione di lingua (6º livello)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31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· La condizione in tre righe</w:t>
      </w:r>
    </w:p>
    <w:p>
      <w:pPr>
        <w:pStyle w:val="FirstParagraph"/>
      </w:pPr>
      <w:r>
        <w:t xml:space="preserve">Dolore del tendine legato al carico, con calo di forza e di tolleranza all’attività. Non è una flogosi che un antinfiammatorio spegne.</w:t>
      </w:r>
      <w:r>
        <w:t xml:space="preserve"> </w:t>
      </w:r>
      <w:r>
        <w:t xml:space="preserve">È circa il 30% degli invii muscolo-scheletrici. All’achilleo poco più di un caso su tre è legato allo sport. All’anca laterale la frequenza è più che tripla nelle donne fra i 50 e i 79 anni.</w:t>
      </w:r>
      <w:r>
        <w:t xml:space="preserve"> </w:t>
      </w:r>
      <w:r>
        <w:t xml:space="preserve">Da sola migliora spesso,</w:t>
      </w:r>
      <w:r>
        <w:t xml:space="preserve"> </w:t>
      </w:r>
      <w:r>
        <w:rPr>
          <w:b/>
          <w:bCs/>
        </w:rPr>
        <w:t xml:space="preserve">sul gomito</w:t>
      </w:r>
      <w:r>
        <w:t xml:space="preserve">: 83% di successo a un anno (49 su 59) nel braccio in attesa di uno studio randomizzato. Sulle altre sedi il recupero spontaneo è parziale.</w:t>
      </w:r>
    </w:p>
    <w:bookmarkEnd w:id="9"/>
    <w:bookmarkStart w:id="10" w:name="la-sequenza-causale"/>
    <w:p>
      <w:pPr>
        <w:pStyle w:val="Heading2"/>
      </w:pPr>
      <w:r>
        <w:t xml:space="preserve">2 · La sequenza causale</w:t>
      </w:r>
    </w:p>
    <w:p>
      <w:pPr>
        <w:pStyle w:val="FirstParagraph"/>
      </w:pPr>
      <w:r>
        <w:rPr>
          <w:rStyle w:val="VerbatimChar"/>
        </w:rPr>
        <w:t xml:space="preserve">cambio di carico → richiesta oltre la capacità costruita prima → risposta del tessuto e soglia di dolore abbassata → riposo prescritto → rigidità tendinea giù del 10% in 2 settimane → ripresa allo stesso livello → ricaduta in tre giorni</w:t>
      </w:r>
    </w:p>
    <w:bookmarkEnd w:id="10"/>
    <w:bookmarkStart w:id="11" w:name="i-meccanismi-e-quanto-sono-solidi"/>
    <w:p>
      <w:pPr>
        <w:pStyle w:val="Heading2"/>
      </w:pPr>
      <w:r>
        <w:t xml:space="preserve">3 · I meccanismi e quanto sono solidi</w:t>
      </w:r>
    </w:p>
    <w:p>
      <w:pPr>
        <w:pStyle w:val="FirstParagraph"/>
      </w:pPr>
      <w:r>
        <w:t xml:space="preserve">L’ordine è quello in cui si incastrano nella storia del paziente, non una classifica di solidità.</w:t>
      </w:r>
      <w:r>
        <w:t xml:space="preserve"> </w:t>
      </w:r>
      <w:r>
        <w:rPr>
          <w:b/>
          <w:bCs/>
        </w:rPr>
        <w:t xml:space="preserve">La zona che ha smesso di essere caricata</w:t>
      </w:r>
      <w:r>
        <w:t xml:space="preserve"> </w:t>
      </w:r>
      <w:r>
        <w:t xml:space="preserve">porta le prove migliori.</w:t>
      </w:r>
      <w:r>
        <w:t xml:space="preserve"> </w:t>
      </w:r>
      <w:r>
        <w:rPr>
          <w:b/>
          <w:bCs/>
        </w:rPr>
        <w:t xml:space="preserve">Il carico che arriva da un’altra articolazione</w:t>
      </w:r>
      <w:r>
        <w:t xml:space="preserve"> </w:t>
      </w:r>
      <w:r>
        <w:t xml:space="preserve">è quello per cui il paziente viene da noi, ed è il meno dimostrato.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Carico oltre la capacità</w:t>
            </w:r>
          </w:p>
        </w:tc>
        <w:tc>
          <w:tcPr/>
          <w:p>
            <w:pPr>
              <w:pStyle w:val="Compact"/>
            </w:pPr>
            <w:r>
              <w:t xml:space="preserve">Cambio di carico nelle 6 settimane prima</w:t>
            </w:r>
          </w:p>
        </w:tc>
        <w:tc>
          <w:tcPr/>
          <w:p>
            <w:pPr>
              <w:pStyle w:val="Compact"/>
            </w:pPr>
            <w:r>
              <w:t xml:space="preserve">DIMOSTRATO +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Tessuto cambiato, non reversibile</w:t>
            </w:r>
          </w:p>
        </w:tc>
        <w:tc>
          <w:tcPr/>
          <w:p>
            <w:pPr>
              <w:pStyle w:val="Compact"/>
            </w:pPr>
            <w:r>
              <w:t xml:space="preserve">Tendine ingrossato, storia lunga</w:t>
            </w:r>
          </w:p>
        </w:tc>
        <w:tc>
          <w:tcPr/>
          <w:p>
            <w:pPr>
              <w:pStyle w:val="Compact"/>
            </w:pPr>
            <w:r>
              <w:t xml:space="preserve">DIMOSTRATO + 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del dolore allargato</w:t>
            </w:r>
          </w:p>
        </w:tc>
        <w:tc>
          <w:tcPr/>
          <w:p>
            <w:pPr>
              <w:pStyle w:val="Compact"/>
            </w:pPr>
            <w:r>
              <w:t xml:space="preserve">Dolore a riposo, notturno, diffuso</w:t>
            </w:r>
          </w:p>
        </w:tc>
        <w:tc>
          <w:tcPr/>
          <w:p>
            <w:pPr>
              <w:pStyle w:val="Compact"/>
            </w:pPr>
            <w:r>
              <w:t xml:space="preserve">PROBABILE arto sup. · IPOTESI arto inf.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Zona che ha smesso di caricare</w:t>
            </w:r>
          </w:p>
        </w:tc>
        <w:tc>
          <w:tcPr/>
          <w:p>
            <w:pPr>
              <w:pStyle w:val="Compact"/>
            </w:pPr>
            <w:r>
              <w:t xml:space="preserve">Riposo, tutore, forza ridotta</w:t>
            </w:r>
          </w:p>
        </w:tc>
        <w:tc>
          <w:tcPr/>
          <w:p>
            <w:pPr>
              <w:pStyle w:val="Compact"/>
            </w:pPr>
            <w:r>
              <w:t xml:space="preserve">DIMOSTRATO + PROBABILE +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Carico da un’altra articolazione</w:t>
            </w:r>
          </w:p>
        </w:tc>
        <w:tc>
          <w:tcPr/>
          <w:p>
            <w:pPr>
              <w:pStyle w:val="Compact"/>
            </w:pPr>
            <w:r>
              <w:t xml:space="preserve">Corsa adiacente asimmetrica ≥10° o 1 cm</w:t>
            </w:r>
          </w:p>
        </w:tc>
        <w:tc>
          <w:tcPr/>
          <w:p>
            <w:pPr>
              <w:pStyle w:val="Compact"/>
            </w:pPr>
            <w:r>
              <w:t xml:space="preserve">PROBABILE + IPOTESI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meno dimostrato dei cinque, e documentato come tale.</w:t>
      </w:r>
      <w:r>
        <w:t xml:space="preserve"> </w:t>
      </w:r>
      <w:r>
        <w:t xml:space="preserve">La revisione prospettica trova evidenza limitata per nove fattori di rischio, e</w:t>
      </w:r>
      <w:r>
        <w:t xml:space="preserve"> </w:t>
      </w:r>
      <w:r>
        <w:rPr>
          <w:b/>
          <w:bCs/>
        </w:rPr>
        <w:t xml:space="preserve">nessuna associazione per altri ventisei</w:t>
      </w:r>
      <w:r>
        <w:t xml:space="preserve">. Fra questi ultimi ci sono la postura statica del piede e il sovrappeso (van der Vlist, 2019, PMID 30718234).</w:t>
      </w:r>
    </w:p>
    <w:p>
      <w:pPr>
        <w:pStyle w:val="BodyText"/>
      </w:pPr>
      <w:r>
        <w:rPr>
          <w:b/>
          <w:bCs/>
        </w:rPr>
        <w:t xml:space="preserve">Il dolore, come si chiama.</w:t>
      </w:r>
      <w:r>
        <w:t xml:space="preserve"> </w:t>
      </w:r>
      <w:r>
        <w:t xml:space="preserve">Prevalentemente</w:t>
      </w:r>
      <w:r>
        <w:t xml:space="preserve"> </w:t>
      </w:r>
      <w:r>
        <w:rPr>
          <w:b/>
          <w:bCs/>
        </w:rPr>
        <w:t xml:space="preserve">nocicettivo e carico-dipendente</w:t>
      </w:r>
      <w:r>
        <w:t xml:space="preserve">. È</w:t>
      </w:r>
      <w:r>
        <w:t xml:space="preserve"> </w:t>
      </w:r>
      <w:r>
        <w:rPr>
          <w:b/>
          <w:bCs/>
        </w:rPr>
        <w:t xml:space="preserve">neuropatico</w:t>
      </w:r>
      <w:r>
        <w:t xml:space="preserve"> </w:t>
      </w:r>
      <w:r>
        <w:t xml:space="preserve">se segue un territorio nervoso: non è nostro. Il</w:t>
      </w:r>
      <w:r>
        <w:t xml:space="preserve"> </w:t>
      </w:r>
      <w:r>
        <w:rPr>
          <w:b/>
          <w:bCs/>
        </w:rPr>
        <w:t xml:space="preserve">nociplastico</w:t>
      </w:r>
      <w:r>
        <w:t xml:space="preserve"> </w:t>
      </w:r>
      <w:r>
        <w:t xml:space="preserve">è un quadro</w:t>
      </w:r>
      <w:r>
        <w:t xml:space="preserve"> </w:t>
      </w:r>
      <w:r>
        <w:rPr>
          <w:b/>
          <w:bCs/>
        </w:rPr>
        <w:t xml:space="preserve">raro</w:t>
      </w:r>
      <w:r>
        <w:t xml:space="preserve">, non la fase avanzata degli altri.</w:t>
      </w:r>
    </w:p>
    <w:bookmarkEnd w:id="11"/>
    <w:bookmarkStart w:id="12" w:name="i-sottotipi-e-chi-comanda"/>
    <w:p>
      <w:pPr>
        <w:pStyle w:val="Heading2"/>
      </w:pPr>
      <w:r>
        <w:t xml:space="preserve">4 ·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Meccanismo che comanda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Reattivo recente</w:t>
            </w:r>
          </w:p>
        </w:tc>
        <w:tc>
          <w:tcPr/>
          <w:p>
            <w:pPr>
              <w:pStyle w:val="Compact"/>
            </w:pPr>
            <w:r>
              <w:t xml:space="preserve">Giorni, cambio di carico chiaro</w:t>
            </w:r>
          </w:p>
        </w:tc>
        <w:tc>
          <w:tcPr/>
          <w:p>
            <w:pPr>
              <w:pStyle w:val="Compact"/>
            </w:pPr>
            <w:r>
              <w:t xml:space="preserve">Carico oltre capacità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Reattivo su degenerativo</w:t>
            </w:r>
          </w:p>
        </w:tc>
        <w:tc>
          <w:tcPr/>
          <w:p>
            <w:pPr>
              <w:pStyle w:val="Compact"/>
            </w:pPr>
            <w:r>
              <w:t xml:space="preserve">Anni di storia + riacutizzazione di giorni</w:t>
            </w:r>
          </w:p>
        </w:tc>
        <w:tc>
          <w:tcPr/>
          <w:p>
            <w:pPr>
              <w:pStyle w:val="Compact"/>
            </w:pPr>
            <w:r>
              <w:t xml:space="preserve">Carico su tessuto già cambiato</w:t>
            </w:r>
          </w:p>
        </w:tc>
        <w:tc>
          <w:tcPr/>
          <w:p>
            <w:pPr>
              <w:pStyle w:val="Compact"/>
            </w:pPr>
            <w:r>
              <w:t xml:space="preserve">Molto, con freno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Persistente da carico non gestito</w:t>
            </w:r>
          </w:p>
        </w:tc>
        <w:tc>
          <w:tcPr/>
          <w:p>
            <w:pPr>
              <w:pStyle w:val="Compact"/>
            </w:pPr>
            <w:r>
              <w:t xml:space="preserve">Mesi, si scalda e torna la sera</w:t>
            </w:r>
          </w:p>
        </w:tc>
        <w:tc>
          <w:tcPr/>
          <w:p>
            <w:pPr>
              <w:pStyle w:val="Compact"/>
            </w:pPr>
            <w:r>
              <w:t xml:space="preserve">Carico + decondizionamento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Inserzionale, da compressione</w:t>
            </w:r>
          </w:p>
        </w:tc>
        <w:tc>
          <w:tcPr/>
          <w:p>
            <w:pPr>
              <w:pStyle w:val="Compact"/>
            </w:pPr>
            <w:r>
              <w:t xml:space="preserve">Dolore sull’osso, peggiora in allungamento</w:t>
            </w:r>
          </w:p>
        </w:tc>
        <w:tc>
          <w:tcPr/>
          <w:p>
            <w:pPr>
              <w:pStyle w:val="Compact"/>
            </w:pPr>
            <w:r>
              <w:t xml:space="preserve">Compressione all’entesi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dolore allargato</w:t>
            </w:r>
          </w:p>
        </w:tc>
        <w:tc>
          <w:tcPr/>
          <w:p>
            <w:pPr>
              <w:pStyle w:val="Compact"/>
            </w:pPr>
            <w:r>
              <w:t xml:space="preserve">Dolore a riposo; soglia bassa fuori sede: gomito/spalla</w:t>
            </w:r>
          </w:p>
        </w:tc>
        <w:tc>
          <w:tcPr/>
          <w:p>
            <w:pPr>
              <w:pStyle w:val="Compact"/>
            </w:pPr>
            <w:r>
              <w:t xml:space="preserve">Livello di attivazione</w:t>
            </w:r>
          </w:p>
        </w:tc>
        <w:tc>
          <w:tcPr/>
          <w:p>
            <w:pPr>
              <w:pStyle w:val="Compact"/>
            </w:pPr>
            <w:r>
              <w:t xml:space="preserve">Molto, su due leve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Entesite infiammatoria</w:t>
            </w:r>
          </w:p>
        </w:tc>
        <w:tc>
          <w:tcPr/>
          <w:p>
            <w:pPr>
              <w:pStyle w:val="Compact"/>
            </w:pPr>
            <w:r>
              <w:t xml:space="preserve">Rigidità mattutina oltre 30 minuti, più sedi</w:t>
            </w:r>
          </w:p>
        </w:tc>
        <w:tc>
          <w:tcPr/>
          <w:p>
            <w:pPr>
              <w:pStyle w:val="Compact"/>
            </w:pPr>
            <w:r>
              <w:t xml:space="preserve">Non è da carico</w:t>
            </w:r>
          </w:p>
        </w:tc>
        <w:tc>
          <w:tcPr/>
          <w:p>
            <w:pPr>
              <w:pStyle w:val="Compact"/>
            </w:pPr>
            <w:r>
              <w:t xml:space="preserve">Niente — invio</w:t>
            </w:r>
          </w:p>
        </w:tc>
      </w:tr>
    </w:tbl>
    <w:p>
      <w:pPr>
        <w:pStyle w:val="BodyText"/>
      </w:pPr>
      <w:r>
        <w:rPr>
          <w:b/>
          <w:bCs/>
        </w:rPr>
        <w:t xml:space="preserve">Dove sta la compressione:</w:t>
      </w:r>
      <w:r>
        <w:t xml:space="preserve"> </w:t>
      </w:r>
      <w:r>
        <w:t xml:space="preserve">nelle posizioni tenute per ore. Anca in adduzione, cioè dormire sul fianco o con le gambe accavallate · dorsiflessione massima e contrafforte rigido della scarpa · flessione profonda di ginocchio · braccio sostenuto in elevazione.</w:t>
      </w:r>
    </w:p>
    <w:bookmarkEnd w:id="12"/>
    <w:bookmarkStart w:id="13" w:name="le-bandiere-rosse"/>
    <w:p>
      <w:pPr>
        <w:pStyle w:val="Heading2"/>
      </w:pPr>
      <w:r>
        <w:t xml:space="preserve">5 · Le bandiere rosse</w:t>
      </w:r>
    </w:p>
    <w:p>
      <w:pPr>
        <w:pStyle w:val="Compact"/>
        <w:numPr>
          <w:ilvl w:val="0"/>
          <w:numId w:val="1001"/>
        </w:numPr>
      </w:pPr>
      <w:r>
        <w:t xml:space="preserve">Zona calda, rossa, gonfia con</w:t>
      </w:r>
      <w:r>
        <w:t xml:space="preserve"> </w:t>
      </w:r>
      <w:r>
        <w:rPr>
          <w:b/>
          <w:bCs/>
        </w:rPr>
        <w:t xml:space="preserve">tossicità sistemica</w:t>
      </w:r>
      <w:r>
        <w:t xml:space="preserve"> </w:t>
      </w:r>
      <w:r>
        <w:t xml:space="preserve">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Zona calda, rossa, gonfia con febbre, paziente vigile → pronto soccorso →</w:t>
      </w:r>
      <w:r>
        <w:t xml:space="preserve"> </w:t>
      </w:r>
      <w:r>
        <w:rPr>
          <w:b/>
          <w:bCs/>
        </w:rPr>
        <w:t xml:space="preserve">in giornata</w:t>
      </w:r>
    </w:p>
    <w:p>
      <w:pPr>
        <w:pStyle w:val="Compact"/>
        <w:numPr>
          <w:ilvl w:val="0"/>
          <w:numId w:val="1001"/>
        </w:numPr>
      </w:pPr>
      <w:r>
        <w:t xml:space="preserve">Schiocco con perdita di funzione → pronto soccorso →</w:t>
      </w:r>
      <w:r>
        <w:t xml:space="preserve"> </w:t>
      </w:r>
      <w:r>
        <w:rPr>
          <w:b/>
          <w:bCs/>
        </w:rPr>
        <w:t xml:space="preserve">urgente, in giornata</w:t>
      </w:r>
    </w:p>
    <w:p>
      <w:pPr>
        <w:pStyle w:val="Compact"/>
        <w:numPr>
          <w:ilvl w:val="0"/>
          <w:numId w:val="1001"/>
        </w:numPr>
      </w:pPr>
      <w:r>
        <w:t xml:space="preserve">Gonfiore che cresce in fretta senza causa → pronto soccorso →</w:t>
      </w:r>
      <w:r>
        <w:t xml:space="preserve"> </w:t>
      </w:r>
      <w:r>
        <w:rPr>
          <w:b/>
          <w:bCs/>
        </w:rPr>
        <w:t xml:space="preserve">entro 24 ore</w:t>
      </w:r>
    </w:p>
    <w:p>
      <w:pPr>
        <w:pStyle w:val="Compact"/>
        <w:numPr>
          <w:ilvl w:val="0"/>
          <w:numId w:val="1001"/>
        </w:numPr>
      </w:pPr>
      <w:r>
        <w:t xml:space="preserve">Dolore comparso</w:t>
      </w:r>
      <w:r>
        <w:t xml:space="preserve"> </w:t>
      </w:r>
      <w:r>
        <w:rPr>
          <w:b/>
          <w:bCs/>
        </w:rPr>
        <w:t xml:space="preserve">durante un chinolone o nei mesi dopo</w:t>
      </w:r>
      <w:r>
        <w:t xml:space="preserve"> </w:t>
      </w:r>
      <w:r>
        <w:t xml:space="preserve">→ curante →</w:t>
      </w:r>
      <w:r>
        <w:t xml:space="preserve"> </w:t>
      </w:r>
      <w:r>
        <w:rPr>
          <w:b/>
          <w:bCs/>
        </w:rPr>
        <w:t xml:space="preserve">oggi, e nessun carico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Dolore osseo focale che anticipa nel gesto</w:t>
      </w:r>
      <w:r>
        <w:t xml:space="preserve"> </w:t>
      </w:r>
      <w:r>
        <w:t xml:space="preserve">→ ortopedico →</w:t>
      </w:r>
      <w:r>
        <w:t xml:space="preserve"> </w:t>
      </w:r>
      <w:r>
        <w:rPr>
          <w:b/>
          <w:bCs/>
        </w:rPr>
        <w:t xml:space="preserve">entro 48 ore</w:t>
      </w:r>
    </w:p>
    <w:p>
      <w:pPr>
        <w:pStyle w:val="Compact"/>
        <w:numPr>
          <w:ilvl w:val="0"/>
          <w:numId w:val="1001"/>
        </w:numPr>
      </w:pPr>
      <w:r>
        <w:t xml:space="preserve">Dolore notturno che cresce ogni settimana → curante, poi specialista →</w:t>
      </w:r>
      <w:r>
        <w:t xml:space="preserve"> </w:t>
      </w:r>
      <w:r>
        <w:rPr>
          <w:b/>
          <w:bCs/>
        </w:rPr>
        <w:t xml:space="preserve">entro 7 giorni</w:t>
      </w:r>
    </w:p>
    <w:p>
      <w:pPr>
        <w:pStyle w:val="Compact"/>
        <w:numPr>
          <w:ilvl w:val="0"/>
          <w:numId w:val="1001"/>
        </w:numPr>
      </w:pPr>
      <w:r>
        <w:t xml:space="preserve">Rigidità mattutina oltre 30 minuti, più sedi → reumatologo →</w:t>
      </w:r>
      <w:r>
        <w:t xml:space="preserve"> </w:t>
      </w:r>
      <w:r>
        <w:rPr>
          <w:b/>
          <w:bCs/>
        </w:rPr>
        <w:t xml:space="preserve">entro 7 giorni</w:t>
      </w:r>
    </w:p>
    <w:p>
      <w:pPr>
        <w:pStyle w:val="Compact"/>
        <w:numPr>
          <w:ilvl w:val="0"/>
          <w:numId w:val="1001"/>
        </w:numPr>
      </w:pPr>
      <w:r>
        <w:t xml:space="preserve">Deficit di forza netto e improvviso → ortopedico →</w:t>
      </w:r>
      <w:r>
        <w:t xml:space="preserve"> </w:t>
      </w:r>
      <w:r>
        <w:rPr>
          <w:b/>
          <w:bCs/>
        </w:rPr>
        <w:t xml:space="preserve">entro 48 ore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Spalla iperalgica acuta con calcificazione refertata</w:t>
      </w:r>
      <w:r>
        <w:t xml:space="preserve"> </w:t>
      </w:r>
      <w:r>
        <w:t xml:space="preserve">→ ortopedico o radiologo →</w:t>
      </w:r>
      <w:r>
        <w:t xml:space="preserve"> </w:t>
      </w:r>
      <w:r>
        <w:rPr>
          <w:b/>
          <w:bCs/>
        </w:rPr>
        <w:t xml:space="preserve">entro 7 giorni</w:t>
      </w:r>
    </w:p>
    <w:p>
      <w:pPr>
        <w:pStyle w:val="Compact"/>
        <w:numPr>
          <w:ilvl w:val="0"/>
          <w:numId w:val="1001"/>
        </w:numPr>
      </w:pPr>
      <w:r>
        <w:t xml:space="preserve">Diabete lungo, cortisone,</w:t>
      </w:r>
      <w:r>
        <w:t xml:space="preserve"> </w:t>
      </w:r>
      <w:r>
        <w:rPr>
          <w:b/>
          <w:bCs/>
        </w:rPr>
        <w:t xml:space="preserve">nefropatia, dialisi, trapianto, gotta, artrite</w:t>
      </w:r>
      <w:r>
        <w:t xml:space="preserve"> </w:t>
      </w:r>
      <w:r>
        <w:t xml:space="preserve">→ curante →</w:t>
      </w:r>
      <w:r>
        <w:t xml:space="preserve"> </w:t>
      </w:r>
      <w:r>
        <w:rPr>
          <w:b/>
          <w:bCs/>
        </w:rPr>
        <w:t xml:space="preserve">GIALLO prioritario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Ormonoterapia adiuvante con dolore a mani e polsi</w:t>
      </w:r>
      <w:r>
        <w:t xml:space="preserve"> </w:t>
      </w:r>
      <w:r>
        <w:t xml:space="preserve">→ oncologo, per iscritto →</w:t>
      </w:r>
      <w:r>
        <w:t xml:space="preserve"> </w:t>
      </w:r>
      <w:r>
        <w:rPr>
          <w:b/>
          <w:bCs/>
        </w:rPr>
        <w:t xml:space="preserve">GIALLO prioritario</w:t>
      </w:r>
    </w:p>
    <w:p>
      <w:pPr>
        <w:pStyle w:val="FirstParagraph"/>
      </w:pPr>
      <w:r>
        <w:t xml:space="preserve">Questa lista non è uno strumento validato. La linea guida corrente non ha bandiere rosse: ha una diagnosi differenziale. Si usa come rete, non come filtro.</w:t>
      </w:r>
    </w:p>
    <w:bookmarkEnd w:id="13"/>
    <w:bookmarkStart w:id="14" w:name="la-sicurezza-in-quattro-righe"/>
    <w:p>
      <w:pPr>
        <w:pStyle w:val="Heading2"/>
      </w:pPr>
      <w:r>
        <w:t xml:space="preserve">6 · La sicurezza, in quattro righe</w:t>
      </w:r>
    </w:p>
    <w:p>
      <w:pPr>
        <w:pStyle w:val="FirstParagraph"/>
      </w:pPr>
      <w:r>
        <w:t xml:space="preserve">Il rischio</w:t>
      </w:r>
      <w:r>
        <w:t xml:space="preserve"> </w:t>
      </w:r>
      <w:r>
        <w:rPr>
          <w:b/>
          <w:bCs/>
        </w:rPr>
        <w:t xml:space="preserve">prevalente</w:t>
      </w:r>
      <w:r>
        <w:t xml:space="preserve"> </w:t>
      </w:r>
      <w:r>
        <w:t xml:space="preserve">è la dose di carico che programmi.</w:t>
      </w:r>
      <w:r>
        <w:t xml:space="preserve"> </w:t>
      </w:r>
      <w:r>
        <w:rPr>
          <w:b/>
          <w:bCs/>
        </w:rPr>
        <w:t xml:space="preserve">Ma non è l’unico.</w:t>
      </w:r>
      <w:r>
        <w:t xml:space="preserve"> </w:t>
      </w:r>
      <w:r>
        <w:t xml:space="preserve">Cinque tendini non tollerano la stessa progressione, e la differenza non si palpa: reattivo recente, reattivo su degenerativo, in finestra da chinolone, infiltrato di recente, con lesione parziale. Stesso tetto per nefropatia, dialisi, trapianto, gotta, artrite reumatoide.</w:t>
      </w:r>
      <w:r>
        <w:t xml:space="preserve"> </w:t>
      </w:r>
      <w:r>
        <w:t xml:space="preserve">Le leve nominate toccano</w:t>
      </w:r>
      <w:r>
        <w:t xml:space="preserve"> </w:t>
      </w:r>
      <w:r>
        <w:rPr>
          <w:b/>
          <w:bCs/>
        </w:rPr>
        <w:t xml:space="preserve">cervicale e torace</w:t>
      </w:r>
      <w:r>
        <w:t xml:space="preserve">, che hanno un profilo di rischio proprio. Per la cervicale esiste un quadro anamnestico internazionale (IFOMPT). Sul torace il cortisone prolungato che hai già in cartella è la causa più comune di osteoporosi secondaria.</w:t>
      </w:r>
      <w:r>
        <w:t xml:space="preserve"> </w:t>
      </w:r>
      <w:r>
        <w:t xml:space="preserve">Le sette domande — chinoloni, cortisone, diabete, ormonoterapia, statine, pregressi, neoplasia — si fanno</w:t>
      </w:r>
      <w:r>
        <w:t xml:space="preserve"> </w:t>
      </w:r>
      <w:r>
        <w:rPr>
          <w:b/>
          <w:bCs/>
        </w:rPr>
        <w:t xml:space="preserve">prima</w:t>
      </w:r>
      <w:r>
        <w:t xml:space="preserve"> </w:t>
      </w:r>
      <w:r>
        <w:t xml:space="preserve">di caricare.</w:t>
      </w:r>
    </w:p>
    <w:bookmarkEnd w:id="14"/>
    <w:bookmarkStart w:id="15" w:name="come-decidi-e-su-cosa-verifichi"/>
    <w:p>
      <w:pPr>
        <w:pStyle w:val="Heading2"/>
      </w:pPr>
      <w:r>
        <w:t xml:space="preserve">7 · Come decidi, e su cosa verifichi</w:t>
      </w:r>
    </w:p>
    <w:p>
      <w:pPr>
        <w:pStyle w:val="FirstParagraph"/>
      </w:pPr>
      <w:r>
        <w:rPr>
          <w:b/>
          <w:bCs/>
        </w:rPr>
        <w:t xml:space="preserve">La punta è il tendine che duole. Il sommerso è una di quattro cose:</w:t>
      </w:r>
      <w:r>
        <w:t xml:space="preserve"> </w:t>
      </w:r>
      <w:r>
        <w:t xml:space="preserve">la dose di carico · la corsa dell’articolazione vicina · il livello di attivazione · la capacità metabolica.</w:t>
      </w:r>
    </w:p>
    <w:p>
      <w:pPr>
        <w:pStyle w:val="BodyText"/>
      </w:pPr>
      <w:r>
        <w:rPr>
          <w:b/>
          <w:bCs/>
        </w:rPr>
        <w:t xml:space="preserve">Road Map:</w:t>
      </w:r>
      <w:r>
        <w:t xml:space="preserve"> </w:t>
      </w:r>
      <w:r>
        <w:t xml:space="preserve">1) cosa è cambiato sei settimane prima · 2) la zona è stata scaricata · 3) la corsa adiacente è asimmetrica di ≥10° o 1 cm e il sintomo è in fine corsa · 4) il dolore segue ancora il carico · 5) c’è una ragione metabolica o farmacologica.</w:t>
      </w:r>
      <w:r>
        <w:t xml:space="preserve"> </w:t>
      </w:r>
      <w:r>
        <w:rPr>
          <w:b/>
          <w:bCs/>
        </w:rPr>
        <w:t xml:space="preserve">Se rispondono sì più passi:</w:t>
      </w:r>
      <w:r>
        <w:t xml:space="preserve"> </w:t>
      </w:r>
      <w:r>
        <w:t xml:space="preserve">comanda il piano che, lasciato dov’è, rende impossibile muovere gli altri. Il 4 si lavora insieme al carico. Il 5 non è un piano: è un tetto.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Soglia</w:t>
            </w:r>
          </w:p>
        </w:tc>
        <w:tc>
          <w:tcPr/>
          <w:p>
            <w:pPr>
              <w:pStyle w:val="Compact"/>
            </w:pPr>
            <w:r>
              <w:t xml:space="preserve">Provenienza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Ripetizioni al test di carico</w:t>
            </w:r>
          </w:p>
        </w:tc>
        <w:tc>
          <w:tcPr/>
          <w:p>
            <w:pPr>
              <w:pStyle w:val="Compact"/>
            </w:pPr>
            <w:r>
              <w:t xml:space="preserve">+30%</w:t>
            </w:r>
          </w:p>
        </w:tc>
        <w:tc>
          <w:tcPr/>
          <w:p>
            <w:pPr>
              <w:pStyle w:val="Compact"/>
            </w:pPr>
            <w:r>
              <w:t xml:space="preserve">Convenzione sopra l’errore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Dolore al test di carico (NRS)</w:t>
            </w:r>
          </w:p>
        </w:tc>
        <w:tc>
          <w:tcPr/>
          <w:p>
            <w:pPr>
              <w:pStyle w:val="Compact"/>
            </w:pPr>
            <w:r>
              <w:t xml:space="preserve">2 punti</w:t>
            </w:r>
          </w:p>
        </w:tc>
        <w:tc>
          <w:tcPr/>
          <w:p>
            <w:pPr>
              <w:pStyle w:val="Compact"/>
            </w:pPr>
            <w:r>
              <w:t xml:space="preserve">Convenzione clinica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Corsa articolare adiacente</w:t>
            </w:r>
          </w:p>
        </w:tc>
        <w:tc>
          <w:tcPr/>
          <w:p>
            <w:pPr>
              <w:pStyle w:val="Compact"/>
            </w:pPr>
            <w:r>
              <w:t xml:space="preserve">10 gradi o 1 cm</w:t>
            </w:r>
          </w:p>
        </w:tc>
        <w:tc>
          <w:tcPr/>
          <w:p>
            <w:pPr>
              <w:pStyle w:val="Compact"/>
            </w:pPr>
            <w:r>
              <w:t xml:space="preserve">Doppio errore strumento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di pressione, stesso sito remoto, pre/post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Convenzione sopra la variabilità</w:t>
            </w:r>
          </w:p>
        </w:tc>
      </w:tr>
    </w:tbl>
    <w:p>
      <w:pPr>
        <w:pStyle w:val="BodyText"/>
      </w:pPr>
      <w:r>
        <w:t xml:space="preserve">Senza algometro, l’alternativa dichiarata al quarto marker è la</w:t>
      </w:r>
      <w:r>
        <w:t xml:space="preserve"> </w:t>
      </w:r>
      <w:r>
        <w:rPr>
          <w:b/>
          <w:bCs/>
        </w:rPr>
        <w:t xml:space="preserve">frequenza respiratoria a riposo</w:t>
      </w:r>
      <w:r>
        <w:t xml:space="preserve">, contata a 60 secondi pre e post, soglia 3 atti. Non è un segno di stato autonomico: vale solo come differenza nella stessa seduta.</w:t>
      </w:r>
    </w:p>
    <w:p>
      <w:pPr>
        <w:pStyle w:val="BodyText"/>
      </w:pPr>
      <w:r>
        <w:rPr>
          <w:b/>
          <w:bCs/>
        </w:rPr>
        <w:t xml:space="preserve">La prova della chiave di volta: il marker che decide è quello del piano che NON hai trattato.</w:t>
      </w:r>
      <w:r>
        <w:t xml:space="preserve"> </w:t>
      </w:r>
      <w:r>
        <w:t xml:space="preserve">Se agisci sulla dose, verifichi sulla corsa adiacente. Se agisci sulla corsa a monte, verifichi sul test di carico. Se agisci sull’attivazione, verifichi sulla soglia remota, o sulla frequenza respiratoria se non hai l’algometro. Un marker fuori piano che resta fermo non smentisce il lavoro sul carico, e all’arto inferiore la soglia remota resta ferma per una ragione sistematica.</w:t>
      </w:r>
    </w:p>
    <w:bookmarkEnd w:id="15"/>
    <w:bookmarkStart w:id="16" w:name="cosa-fa-il-paziente-da-solo"/>
    <w:p>
      <w:pPr>
        <w:pStyle w:val="Heading2"/>
      </w:pPr>
      <w:r>
        <w:t xml:space="preserve">8 · Cosa fa il paziente da solo</w:t>
      </w:r>
    </w:p>
    <w:p>
      <w:pPr>
        <w:pStyle w:val="FirstParagraph"/>
      </w:pPr>
      <w:r>
        <w:rPr>
          <w:b/>
          <w:bCs/>
        </w:rPr>
        <w:t xml:space="preserve">Carico progressivo</w:t>
      </w:r>
      <w:r>
        <w:t xml:space="preserve"> </w:t>
      </w:r>
      <w:r>
        <w:t xml:space="preserve">— DIMOSTRATO all’achilleo, alla rotula e all’anca, contro attesa e con certezza dell’evidenza bassa;</w:t>
      </w:r>
      <w:r>
        <w:t xml:space="preserve"> </w:t>
      </w:r>
      <w:r>
        <w:rPr>
          <w:b/>
          <w:bCs/>
        </w:rPr>
        <w:t xml:space="preserve">PROBABILE al gomito, con effetto piccolo</w:t>
      </w:r>
      <w:r>
        <w:t xml:space="preserve">. Eccentrico e carico lento pesante sono equivalenti: li separa l’aderenza (92% contro 78%), e negli studi contava l’intensità, non il nome.</w:t>
      </w:r>
      <w:r>
        <w:t xml:space="preserve"> </w:t>
      </w:r>
      <w:r>
        <w:rPr>
          <w:b/>
          <w:bCs/>
        </w:rPr>
        <w:t xml:space="preserve">Educazione alla gestione del carico</w:t>
      </w:r>
      <w:r>
        <w:t xml:space="preserve"> </w:t>
      </w:r>
      <w:r>
        <w:t xml:space="preserve">— DIMOSTRATO dentro il pacchetto, sulla sede glutea, con salto di erogatore dichiarato. Barriere all’aderenza: credenze e paura, tempo, dolore e comorbilità.</w:t>
      </w:r>
      <w:r>
        <w:t xml:space="preserve"> </w:t>
      </w:r>
      <w:r>
        <w:rPr>
          <w:b/>
          <w:bCs/>
        </w:rPr>
        <w:t xml:space="preserve">Modello di monitoraggio del dolore</w:t>
      </w:r>
      <w:r>
        <w:t xml:space="preserve"> </w:t>
      </w:r>
      <w:r>
        <w:t xml:space="preserve">— PROBABILE, e con tre regole: sotto una soglia dichiarata, rientrato entro il mattino dopo, non in aumento di settimana in settimana.</w:t>
      </w:r>
      <w:r>
        <w:t xml:space="preserve"> </w:t>
      </w:r>
      <w:r>
        <w:rPr>
          <w:b/>
          <w:bCs/>
        </w:rPr>
        <w:t xml:space="preserve">Sul carico che arriva da un’altra articolazione — il nostro — non esiste uno strumento attivo con evidenza sopra IPOTESI.</w:t>
      </w:r>
      <w:r>
        <w:t xml:space="preserve"> </w:t>
      </w:r>
      <w:r>
        <w:t xml:space="preserve">È stato cercato. Cercata e dichiarata anche l’assenza sulla</w:t>
      </w:r>
      <w:r>
        <w:t xml:space="preserve"> </w:t>
      </w:r>
      <w:r>
        <w:rPr>
          <w:b/>
          <w:bCs/>
        </w:rPr>
        <w:t xml:space="preserve">respirazione</w:t>
      </w:r>
      <w:r>
        <w:t xml:space="preserve"> </w:t>
      </w:r>
      <w:r>
        <w:t xml:space="preserve">(nessun randomizzato) e sulla</w:t>
      </w:r>
      <w:r>
        <w:t xml:space="preserve"> </w:t>
      </w:r>
      <w:r>
        <w:rPr>
          <w:b/>
          <w:bCs/>
        </w:rPr>
        <w:t xml:space="preserve">co-regolazione</w:t>
      </w:r>
      <w:r>
        <w:t xml:space="preserve"> </w:t>
      </w:r>
      <w:r>
        <w:t xml:space="preserve">(non stabilita nemmeno sul meccanismo).</w:t>
      </w:r>
    </w:p>
    <w:bookmarkEnd w:id="16"/>
    <w:bookmarkStart w:id="17" w:name="X1984365b677ae72e04b633ac7847455db4005ca"/>
    <w:p>
      <w:pPr>
        <w:pStyle w:val="Heading2"/>
      </w:pPr>
      <w:r>
        <w:t xml:space="preserve">8-bis · Le quattro cose che non possiamo dire</w:t>
      </w:r>
    </w:p>
    <w:p>
      <w:pPr>
        <w:pStyle w:val="Compact"/>
        <w:numPr>
          <w:ilvl w:val="0"/>
          <w:numId w:val="1002"/>
        </w:numPr>
      </w:pPr>
      <w:r>
        <w:t xml:space="preserve">L’</w:t>
      </w:r>
      <w:r>
        <w:rPr>
          <w:b/>
          <w:bCs/>
        </w:rPr>
        <w:t xml:space="preserve">isometrico</w:t>
      </w:r>
      <w:r>
        <w:t xml:space="preserve"> </w:t>
      </w:r>
      <w:r>
        <w:t xml:space="preserve">non è superiore all’isotonico: dieci randomizzati, cinque sedi (Clifford, 2020).</w:t>
      </w:r>
    </w:p>
    <w:p>
      <w:pPr>
        <w:pStyle w:val="Compact"/>
        <w:numPr>
          <w:ilvl w:val="0"/>
          <w:numId w:val="100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chinesiofobia</w:t>
      </w:r>
      <w:r>
        <w:t xml:space="preserve"> </w:t>
      </w:r>
      <w:r>
        <w:t xml:space="preserve">non distingue chi ha una tendinopatia da chi non ce l’ha. Distinguono la catastrofizzazione e, all’arto inferiore, ansia e depressione (Mest, 2025).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Postura statica del piede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sovrappeso</w:t>
      </w:r>
      <w:r>
        <w:t xml:space="preserve"> </w:t>
      </w:r>
      <w:r>
        <w:t xml:space="preserve">non risultano fattori di rischio prospettici (van der Vlist, 2019).</w:t>
      </w:r>
    </w:p>
    <w:p>
      <w:pPr>
        <w:pStyle w:val="Compact"/>
        <w:numPr>
          <w:ilvl w:val="0"/>
          <w:numId w:val="1002"/>
        </w:numPr>
      </w:pPr>
      <w:r>
        <w:t xml:space="preserve">Il carico a dose bassa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riduce il dolore in ogni paziente: nel dolore cronico l’ipoalgesia da esercizio varia in grandezza e in</w:t>
      </w:r>
      <w:r>
        <w:t xml:space="preserve"> </w:t>
      </w:r>
      <w:r>
        <w:rPr>
          <w:b/>
          <w:bCs/>
        </w:rPr>
        <w:t xml:space="preserve">direzione</w:t>
      </w:r>
      <w:r>
        <w:t xml:space="preserve"> </w:t>
      </w:r>
      <w:r>
        <w:t xml:space="preserve">(Naugle, 2012).</w:t>
      </w:r>
    </w:p>
    <w:bookmarkEnd w:id="17"/>
    <w:bookmarkStart w:id="18" w:name="perché-ci-sei-tu"/>
    <w:p>
      <w:pPr>
        <w:pStyle w:val="Heading2"/>
      </w:pPr>
      <w:r>
        <w:t xml:space="preserve">9 · Perché ci sei tu</w: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Su questa condizione la leva con le prove migliori non è il tocco: è il carico progressivo, e lo esegue il paziente da solo. Questo ti autorizza a metterlo al centro del ciclo e a insegnarlo tu, perché nessun altro nel percorso lo sta facendo.</w:t>
      </w:r>
      <w:r>
        <w:t xml:space="preserve"> </w:t>
      </w:r>
      <w:r>
        <w:rPr>
          <w:b/>
          <w:bCs/>
        </w:rPr>
        <w:t xml:space="preserve">E ti restringe tre volte.</w:t>
      </w:r>
      <w:r>
        <w:t xml:space="preserve"> </w:t>
      </w:r>
      <w:r>
        <w:t xml:space="preserve">Non a chiamarlo trattamento manuale. Non a scriverlo come prescrizione di esercizio, perché per il profilo è azione educativa e di autogestione. E non a presentare come dimostrato il nostro pacchetto: nell’unico confronto con un placebo credibile, terapia manuale più esercizio non ha prodotto differenze clinicamente importanti, con più eventi avversi lievi (31% contro 8%).</w:t>
      </w:r>
    </w:p>
    <w:bookmarkEnd w:id="18"/>
    <w:bookmarkStart w:id="19" w:name="la-frase-per-il-paziente"/>
    <w:p>
      <w:pPr>
        <w:pStyle w:val="Heading2"/>
      </w:pPr>
      <w:r>
        <w:t xml:space="preserve">10 · La frase per il paziente</w:t>
      </w:r>
    </w:p>
    <w:p>
      <w:pPr>
        <w:pStyle w:val="FirstParagraph"/>
      </w:pPr>
      <w:r>
        <w:rPr>
          <w:i/>
          <w:iCs/>
        </w:rPr>
        <w:t xml:space="preserve">«Il tendine è come il callo sulla mano: si ingrossa se lo usi tutti i giorni, si spacca se in un giorno fai il lavoro di un mese, e se smetti del tutto torna più sottile — ed è quello che ti è successo dopo il mese di riposo.»</w:t>
      </w:r>
    </w:p>
    <w:p>
      <w:pPr>
        <w:pStyle w:val="BodyText"/>
      </w:pPr>
      <w:r>
        <w:rPr>
          <w:b/>
          <w:bCs/>
        </w:rPr>
        <w:t xml:space="preserve">E i tre segnali che non sono il dolore previsto</w:t>
      </w:r>
      <w:r>
        <w:t xml:space="preserve">, da consegnargli prima che inizi a caricare: schiocco con perdita di forza · zona calda, rossa e gonfia con febbre · gonfiore che cresce in fretta. Tutti e tre sono pronto soccorso, non la prossima seduta: i primi due in giornata, il terzo entro 24 ore.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BlockText"/>
      </w:pPr>
      <w:r>
        <w:rPr>
          <w:b/>
          <w:bCs/>
        </w:rPr>
        <w:t xml:space="preserve">Deviazioni dichiarate su questa Mappa:</w:t>
      </w:r>
      <w:r>
        <w:t xml:space="preserve"> </w:t>
      </w:r>
      <w:r>
        <w:t xml:space="preserve">i blocchi 6 (sicurezza), 7 (ragionamento clinico e marker), 8 (strumenti attivi) e 8-bis (evidenza negativa) non sono previsti dal formato standard a sei blocchi e sono aggiunti secondo D-042, D-018 e D-011.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2026-08-30T23:52:03Z</dcterms:created>
  <dcterms:modified xsi:type="dcterms:W3CDTF">2026-08-30T23:52:03Z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