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Epicondilite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4" w:name="la-bibbia-dellepicondilite"/>
    <w:p>
      <w:pPr>
        <w:pStyle w:val="Heading1"/>
      </w:pPr>
      <w:r>
        <w:t xml:space="preserve">La Bibbia dell’Epicondilite</w:t>
      </w:r>
    </w:p>
    <w:p>
      <w:pPr>
        <w:pStyle w:val="FirstParagraph"/>
      </w:pPr>
      <w:r>
        <w:rPr>
          <w:b/>
          <w:bCs/>
        </w:rPr>
        <w:t xml:space="preserve">Condizione:</w:t>
      </w:r>
      <w:r>
        <w:t xml:space="preserve"> </w:t>
      </w:r>
      <w:r>
        <w:t xml:space="preserve">epicondilite laterale (tendinopatia laterale di gomito,</w:t>
      </w:r>
      <w:r>
        <w:t xml:space="preserve"> </w:t>
      </w:r>
      <w:r>
        <w:t xml:space="preserve">“gomito del tennista”</w:t>
      </w:r>
      <w:r>
        <w:t xml:space="preserve">)</w:t>
      </w:r>
      <w:r>
        <w:t xml:space="preserve"> </w:t>
      </w:r>
      <w:r>
        <w:rPr>
          <w:b/>
          <w:bCs/>
        </w:rPr>
        <w:t xml:space="preserve">Ancora clinica:</w:t>
      </w:r>
      <w:r>
        <w:t xml:space="preserve"> </w:t>
      </w:r>
      <w:r>
        <w:t xml:space="preserve">Bill Vicenzino, University of Queensland — è l’unico gruppo al mondo che ha messo terapia manuale, esercizio e infiltrazione dentro lo stesso disegno randomizzato, su questa condizione</w:t>
      </w:r>
      <w:r>
        <w:t xml:space="preserve"> </w:t>
      </w:r>
      <w:r>
        <w:rPr>
          <w:b/>
          <w:bCs/>
        </w:rPr>
        <w:t xml:space="preserve">Versione:</w:t>
      </w:r>
      <w:r>
        <w:t xml:space="preserve"> </w:t>
      </w:r>
      <w:r>
        <w:t xml:space="preserve">v7 finale (revisione di lingua, 6º livello) ·</w:t>
      </w:r>
      <w:r>
        <w:t xml:space="preserve"> </w:t>
      </w:r>
      <w:r>
        <w:rPr>
          <w:b/>
          <w:bCs/>
        </w:rPr>
        <w:t xml:space="preserve">Data:</w:t>
      </w:r>
      <w:r>
        <w:t xml:space="preserve"> </w:t>
      </w:r>
      <w:r>
        <w:t xml:space="preserve">31 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dice tutto quello che devi sapere sul dolore laterale di gomito per lavorarci con un metodo verificabile, e si ferma esattamente dove comincia il gesto.</w:t>
      </w:r>
    </w:p>
    <w:p>
      <w:pPr>
        <w:pStyle w:val="FirstParagraph"/>
      </w:pPr>
      <w:r>
        <w:rPr>
          <w:b/>
          <w:bCs/>
        </w:rPr>
        <w:t xml:space="preserve">A chi parla, e cosa contiene.</w:t>
      </w:r>
      <w:r>
        <w:t xml:space="preserve"> </w:t>
      </w:r>
      <w:r>
        <w:t xml:space="preserve">Parla all’osteopata del team. Dice che cos’è la condizione, perché succede, quali meccanismi la tengono in piedi, quanto è solido ciascuno e perché le mani possono agire. Tecniche, dosi, sequenze e minuti non stanno qui: stanno nella</w:t>
      </w:r>
      <w:r>
        <w:t xml:space="preserve"> </w:t>
      </w:r>
      <w:r>
        <w:rPr>
          <w:b/>
          <w:bCs/>
        </w:rPr>
        <w:t xml:space="preserve">Procedura dell’epicondilite</w:t>
      </w:r>
      <w:r>
        <w:t xml:space="preserve">, che è un documento separato.</w:t>
      </w:r>
    </w:p>
    <w:p>
      <w:pPr>
        <w:pStyle w:val="BodyText"/>
      </w:pPr>
      <w:r>
        <w:rPr>
          <w:b/>
          <w:bCs/>
        </w:rPr>
        <w:t xml:space="preserve">Una parola sul nome.</w:t>
      </w:r>
      <w:r>
        <w:t xml:space="preserve"> </w:t>
      </w:r>
      <w:r>
        <w:t xml:space="preserve">Nel titolo resta</w:t>
      </w:r>
      <w:r>
        <w:t xml:space="preserve"> </w:t>
      </w:r>
      <w:r>
        <w:rPr>
          <w:i/>
          <w:iCs/>
        </w:rPr>
        <w:t xml:space="preserve">epicondilite</w:t>
      </w:r>
      <w:r>
        <w:t xml:space="preserve">. È la parola con cui il paziente cerca e con cui il medico scrive il referto. Nel testo userò invece</w:t>
      </w:r>
      <w:r>
        <w:t xml:space="preserve"> </w:t>
      </w:r>
      <w:r>
        <w:rPr>
          <w:b/>
          <w:bCs/>
        </w:rPr>
        <w:t xml:space="preserve">epicondilalgia</w:t>
      </w:r>
      <w:r>
        <w:t xml:space="preserve"> </w:t>
      </w:r>
      <w:r>
        <w:t xml:space="preserve">oppure</w:t>
      </w:r>
      <w:r>
        <w:t xml:space="preserve"> </w:t>
      </w:r>
      <w:r>
        <w:rPr>
          <w:b/>
          <w:bCs/>
        </w:rPr>
        <w:t xml:space="preserve">tendinopatia laterale di gomito</w:t>
      </w:r>
      <w:r>
        <w:t xml:space="preserve">. In «Che cos’è davvero» spiego perché il suffisso</w:t>
      </w:r>
      <w:r>
        <w:t xml:space="preserve"> </w:t>
      </w:r>
      <w:r>
        <w:rPr>
          <w:i/>
          <w:iCs/>
        </w:rPr>
        <w:t xml:space="preserve">-ite</w:t>
      </w:r>
      <w:r>
        <w:t xml:space="preserve"> </w:t>
      </w:r>
      <w:r>
        <w:t xml:space="preserve">porta a fare due cose sbagliate.</w:t>
      </w:r>
    </w:p>
    <w:p>
      <w:pPr>
        <w:pStyle w:val="BodyText"/>
      </w:pPr>
      <w:r>
        <w:rPr>
          <w:b/>
          <w:bCs/>
        </w:rPr>
        <w:t xml:space="preserve">Come si leggono le etichette.</w:t>
      </w:r>
      <w:r>
        <w:t xml:space="preserve"> </w:t>
      </w:r>
      <w:r>
        <w:t xml:space="preserve">Ogni meccanismo, ogni modello e ogni leva porta un box</w:t>
      </w:r>
      <w:r>
        <w:t xml:space="preserve"> </w:t>
      </w:r>
      <w:r>
        <w:rPr>
          <w:rStyle w:val="VerbatimChar"/>
        </w:rPr>
        <w:t xml:space="preserve">Quanto è solido</w:t>
      </w:r>
      <w:r>
        <w:t xml:space="preserve">. Dentro c’è una di quattro etichette, ciascuna con la sua glossa fissa:</w:t>
      </w:r>
    </w:p>
    <w:p>
      <w:pPr>
        <w:pStyle w:val="Compact"/>
        <w:numPr>
          <w:ilvl w:val="0"/>
          <w:numId w:val="1001"/>
        </w:numPr>
      </w:pPr>
      <w:r>
        <w:rPr>
          <w:b/>
          <w:bCs/>
        </w:rPr>
        <w:t xml:space="preserve">DIMOSTRATO</w:t>
      </w:r>
      <w:r>
        <w:t xml:space="preserve"> </w:t>
      </w:r>
      <w:r>
        <w:rPr>
          <w:i/>
          <w:iCs/>
        </w:rPr>
        <w:t xml:space="preserve">(studi sull’uomo, solidi)</w:t>
      </w:r>
    </w:p>
    <w:p>
      <w:pPr>
        <w:pStyle w:val="Compact"/>
        <w:numPr>
          <w:ilvl w:val="0"/>
          <w:numId w:val="1001"/>
        </w:numPr>
      </w:pPr>
      <w:r>
        <w:rPr>
          <w:b/>
          <w:bCs/>
        </w:rPr>
        <w:t xml:space="preserve">PROBABILE</w:t>
      </w:r>
      <w:r>
        <w:t xml:space="preserve"> </w:t>
      </w:r>
      <w:r>
        <w:rPr>
          <w:i/>
          <w:iCs/>
        </w:rPr>
        <w:t xml:space="preserve">(razionale forte, prove parziali)</w:t>
      </w:r>
    </w:p>
    <w:p>
      <w:pPr>
        <w:pStyle w:val="Compact"/>
        <w:numPr>
          <w:ilvl w:val="0"/>
          <w:numId w:val="1001"/>
        </w:numPr>
      </w:pPr>
      <w:r>
        <w:rPr>
          <w:b/>
          <w:bCs/>
        </w:rPr>
        <w:t xml:space="preserve">IPOTESI</w:t>
      </w:r>
      <w:r>
        <w:t xml:space="preserve"> </w:t>
      </w:r>
      <w:r>
        <w:rPr>
          <w:i/>
          <w:iCs/>
        </w:rPr>
        <w:t xml:space="preserve">(meccanismo coerente, nessuno studio)</w:t>
      </w:r>
    </w:p>
    <w:p>
      <w:pPr>
        <w:pStyle w:val="Compact"/>
        <w:numPr>
          <w:ilvl w:val="0"/>
          <w:numId w:val="1001"/>
        </w:numPr>
      </w:pPr>
      <w:r>
        <w:rPr>
          <w:b/>
          <w:bCs/>
        </w:rPr>
        <w:t xml:space="preserve">RAGIONAMENTO</w:t>
      </w:r>
      <w:r>
        <w:t xml:space="preserve"> </w:t>
      </w:r>
      <w:r>
        <w:rPr>
          <w:i/>
          <w:iCs/>
        </w:rPr>
        <w:t xml:space="preserve">(cornice clinica, non una prova)</w:t>
      </w:r>
    </w:p>
    <w:p>
      <w:pPr>
        <w:pStyle w:val="FirstParagraph"/>
      </w:pPr>
      <w:r>
        <w:t xml:space="preserve">Le etichette seguono due regole.</w:t>
      </w:r>
      <w:r>
        <w:t xml:space="preserve"> </w:t>
      </w:r>
      <w:r>
        <w:rPr>
          <w:b/>
          <w:bCs/>
        </w:rPr>
        <w:t xml:space="preserve">La prima: l’etichetta non si declina.</w:t>
      </w:r>
      <w:r>
        <w:t xml:space="preserve"> </w:t>
      </w:r>
      <w:r>
        <w:t xml:space="preserve">Se esistono prove contrarie, l’etichetta resta quella che è, e la prova contraria si scrive nella frase, nominata e citata.</w:t>
      </w:r>
      <w:r>
        <w:t xml:space="preserve"> </w:t>
      </w:r>
      <w:r>
        <w:rPr>
          <w:b/>
          <w:bCs/>
        </w:rPr>
        <w:t xml:space="preserve">La seconda: l’etichetta si spezza.</w:t>
      </w:r>
      <w:r>
        <w:t xml:space="preserve"> </w:t>
      </w:r>
      <w:r>
        <w:t xml:space="preserve">Quando un’affermazione è fatta di pezzi con basi diverse, ogni pezzo porta la sua etichetta dentro lo stesso box.</w:t>
      </w:r>
    </w:p>
    <w:p>
      <w:pPr>
        <w:pStyle w:val="BodyText"/>
      </w:pPr>
      <w:r>
        <w:rPr>
          <w:b/>
          <w:bCs/>
        </w:rPr>
        <w:t xml:space="preserve">Sulle parole del metodo.</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 </w:t>
      </w:r>
      <w:r>
        <w:t xml:space="preserve">e</w:t>
      </w:r>
      <w:r>
        <w:t xml:space="preserve"> </w:t>
      </w:r>
      <w:r>
        <w:rPr>
          <w:i/>
          <w:iCs/>
        </w:rPr>
        <w:t xml:space="preserve">lesione primaria</w:t>
      </w:r>
      <w:r>
        <w:t xml:space="preserve"> </w:t>
      </w:r>
      <w:r>
        <w:t xml:space="preserve">appartengono al metodo, non a questa condizione. Ciascuna ha un box</w:t>
      </w:r>
      <w:r>
        <w:t xml:space="preserve"> </w:t>
      </w:r>
      <w:r>
        <w:rPr>
          <w:rStyle w:val="VerbatimChar"/>
        </w:rPr>
        <w:t xml:space="preserve">Definizione</w:t>
      </w:r>
      <w:r>
        <w:t xml:space="preserve"> </w:t>
      </w:r>
      <w:r>
        <w:t xml:space="preserve">alla prima comparsa operativa, e il Glossario le tiene tutte per esteso.</w:t>
      </w:r>
    </w:p>
    <w:bookmarkStart w:id="9" w:name="come-si-studia-questa-bibbia"/>
    <w:p>
      <w:pPr>
        <w:pStyle w:val="Heading3"/>
      </w:pPr>
      <w:r>
        <w:t xml:space="preserve">Come si studia questa Bibbia</w:t>
      </w:r>
    </w:p>
    <w:p>
      <w:pPr>
        <w:pStyle w:val="Compact"/>
        <w:numPr>
          <w:ilvl w:val="0"/>
          <w:numId w:val="1002"/>
        </w:numPr>
      </w:pPr>
      <w:r>
        <w:rPr>
          <w:b/>
          <w:bCs/>
        </w:rPr>
        <w:t xml:space="preserve">Prima lettura tutta di fila, senza appunti.</w:t>
      </w:r>
      <w:r>
        <w:t xml:space="preserve"> </w:t>
      </w:r>
      <w:r>
        <w:t xml:space="preserve">Poi fai una seconda passata con un paziente vero in testa, su «Cosa si rompe» e su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meccanismi e da cosa si riconosce ciascuno. Quello che non sai dire, non l’hai imparato. Prima del primo paziente leggi la Mappa concettuale: due minuti, 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 E il secondo contiene sette risultati negativi, che a freddo si leggono come dettagli.</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3"/>
        </w:numPr>
      </w:pPr>
      <w:r>
        <w:t xml:space="preserve">Il documento arriva fino al razionale della leva e si ferma prima del gesto.</w:t>
      </w:r>
    </w:p>
    <w:p>
      <w:pPr>
        <w:pStyle w:val="Compact"/>
        <w:numPr>
          <w:ilvl w:val="0"/>
          <w:numId w:val="1003"/>
        </w:numPr>
      </w:pPr>
      <w:r>
        <w:t xml:space="preserve">Ogni affermazione importante porta la sua etichetta, e l’etichetta si spezza quando i pezzi non hanno la stessa forza.</w:t>
      </w:r>
    </w:p>
    <w:p>
      <w:pPr>
        <w:pStyle w:val="Compact"/>
        <w:numPr>
          <w:ilvl w:val="0"/>
          <w:numId w:val="1003"/>
        </w:numPr>
      </w:pPr>
      <w:r>
        <w:t xml:space="preserve">Nel testo si scrive</w:t>
      </w:r>
      <w:r>
        <w:t xml:space="preserve"> </w:t>
      </w:r>
      <w:r>
        <w:rPr>
          <w:i/>
          <w:iCs/>
        </w:rPr>
        <w:t xml:space="preserve">tendinopatia</w:t>
      </w:r>
      <w:r>
        <w:t xml:space="preserve">, non</w:t>
      </w:r>
      <w:r>
        <w:t xml:space="preserve"> </w:t>
      </w:r>
      <w:r>
        <w:rPr>
          <w:i/>
          <w:iCs/>
        </w:rPr>
        <w:t xml:space="preserve">infiammazione</w:t>
      </w:r>
      <w:r>
        <w:t xml:space="preserve">.</w:t>
      </w:r>
    </w:p>
    <w:p>
      <w:pPr>
        <w:pStyle w:val="Compact"/>
        <w:numPr>
          <w:ilvl w:val="0"/>
          <w:numId w:val="1003"/>
        </w:numPr>
      </w:pPr>
      <w:r>
        <w:rPr>
          <w:b/>
          <w:bCs/>
        </w:rPr>
        <w:t xml:space="preserve">Perché ci sei tu.</w:t>
      </w:r>
      <w:r>
        <w:t xml:space="preserve"> </w:t>
      </w:r>
      <w:r>
        <w:t xml:space="preserve">Trenta studi randomizzati su 2.123 persone hanno confrontato l’esercizio con altri trattamenti conservativi in questa condizione (Karanasios, 2021, PMID 33148599).</w:t>
      </w:r>
      <w:r>
        <w:t xml:space="preserve"> </w:t>
      </w:r>
      <w:r>
        <w:rPr>
          <w:b/>
          <w:bCs/>
        </w:rPr>
        <w:t xml:space="preserve">Per te:</w:t>
      </w:r>
      <w:r>
        <w:t xml:space="preserve"> </w:t>
      </w:r>
      <w:r>
        <w:t xml:space="preserve">non stai riempiendo un vuoto di prove. Stai entrando in un campo già misurato molto, anche contro di te. Questo ti autorizza a lavorare su una base di prove vera, non su un’intuizione. Non ti autorizza a dedurne che gli effetti siano grandi: gli stessi autori li dichiarano</w:t>
      </w:r>
      <w:r>
        <w:t xml:space="preserve"> </w:t>
      </w:r>
      <w:r>
        <w:rPr>
          <w:b/>
          <w:bCs/>
        </w:rPr>
        <w:t xml:space="preserve">piccoli e a certezza bassa</w:t>
      </w:r>
      <w:r>
        <w:t xml:space="preserve">.</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una persona che ha fatto tutto quello che le hanno detto di fare, che è stata ferma un mese senza risultato, e che ha paura perché sono passati sei mesi.</w:t>
      </w:r>
    </w:p>
    <w:bookmarkStart w:id="11" w:name="come-lo-racconta-lui"/>
    <w:p>
      <w:pPr>
        <w:pStyle w:val="Heading3"/>
      </w:pPr>
      <w:r>
        <w:t xml:space="preserve">Come lo racconta lui</w:t>
      </w:r>
    </w:p>
    <w:p>
      <w:pPr>
        <w:pStyle w:val="FirstParagraph"/>
      </w:pPr>
      <w:r>
        <w:t xml:space="preserve">Queste sono le frasi che senti. Non vanno tradotte subito in linguaggio clinico.</w:t>
      </w:r>
    </w:p>
    <w:p>
      <w:pPr>
        <w:pStyle w:val="Compact"/>
        <w:numPr>
          <w:ilvl w:val="0"/>
          <w:numId w:val="1004"/>
        </w:numPr>
      </w:pPr>
      <w:r>
        <w:rPr>
          <w:i/>
          <w:iCs/>
        </w:rPr>
        <w:t xml:space="preserve">«Prendo in mano una tazzina — pesa cinquanta grammi — e sento una fitta che mi fa quasi mollare la presa.»</w:t>
      </w:r>
    </w:p>
    <w:p>
      <w:pPr>
        <w:pStyle w:val="Compact"/>
        <w:numPr>
          <w:ilvl w:val="0"/>
          <w:numId w:val="1004"/>
        </w:numPr>
      </w:pPr>
      <w:r>
        <w:rPr>
          <w:i/>
          <w:iCs/>
        </w:rPr>
        <w:t xml:space="preserve">«Sono stato fermo un mese. Sono tornato a fare le mie cose e dopo tre giorni era di nuovo lì, identico.»</w:t>
      </w:r>
    </w:p>
    <w:p>
      <w:pPr>
        <w:pStyle w:val="Compact"/>
        <w:numPr>
          <w:ilvl w:val="0"/>
          <w:numId w:val="1004"/>
        </w:numPr>
      </w:pPr>
      <w:r>
        <w:rPr>
          <w:i/>
          <w:iCs/>
        </w:rPr>
        <w:t xml:space="preserve">«Mi capita di far cadere le cose senza volerlo.»</w:t>
      </w:r>
    </w:p>
    <w:p>
      <w:pPr>
        <w:pStyle w:val="Compact"/>
        <w:numPr>
          <w:ilvl w:val="0"/>
          <w:numId w:val="1004"/>
        </w:numPr>
      </w:pPr>
      <w:r>
        <w:rPr>
          <w:i/>
          <w:iCs/>
        </w:rPr>
        <w:t xml:space="preserve">«Adesso non è più solo il gomito: scende lungo l’avambraccio, a volte arriva al polso.»</w:t>
      </w:r>
    </w:p>
    <w:p>
      <w:pPr>
        <w:pStyle w:val="Compact"/>
        <w:numPr>
          <w:ilvl w:val="0"/>
          <w:numId w:val="1004"/>
        </w:numPr>
      </w:pPr>
      <w:r>
        <w:rPr>
          <w:i/>
          <w:iCs/>
        </w:rPr>
        <w:t xml:space="preserve">«Mi hanno detto epicondilite, mi hanno dato un antinfiammatorio e un tutore. Nessuno mi ha chiesto come uso quel braccio.»</w:t>
      </w:r>
    </w:p>
    <w:p>
      <w:pPr>
        <w:pStyle w:val="FirstParagraph"/>
      </w:pPr>
      <w:r>
        <w:t xml:space="preserve">La geografia del dolore è descritta con il suo meccanismo in «Cosa si rompe», meccanismi 1 e 3.</w:t>
      </w:r>
    </w:p>
    <w:bookmarkEnd w:id="11"/>
    <w:bookmarkStart w:id="12" w:name="cosa-ha-già-fatto"/>
    <w:p>
      <w:pPr>
        <w:pStyle w:val="Heading3"/>
      </w:pPr>
      <w:r>
        <w:t xml:space="preserve">Cosa ha già fatto</w:t>
      </w:r>
    </w:p>
    <w:p>
      <w:pPr>
        <w:pStyle w:val="FirstParagraph"/>
      </w:pPr>
      <w:r>
        <w:t xml:space="preserve">Quasi sempre in quest’ordine: riposo, antinfiammatorio, gel, fascia epicondiloidea, ghiaccio. Poi ecografia. Poi fisioterapia con eccentrici, onde d’urto o tecarterapia. Poi l’infiltrazione di cortisone, a volte il PRP. Alla fine, la parola</w:t>
      </w:r>
      <w:r>
        <w:t xml:space="preserve"> </w:t>
      </w:r>
      <w:r>
        <w:rPr>
          <w:i/>
          <w:iCs/>
        </w:rPr>
        <w:t xml:space="preserve">chirurgia</w:t>
      </w:r>
      <w:r>
        <w:t xml:space="preserve">.</w:t>
      </w:r>
    </w:p>
    <w:p>
      <w:pPr>
        <w:pStyle w:val="BodyText"/>
      </w:pPr>
      <w:r>
        <w:t xml:space="preserve">C’è una domanda che quasi nessuno gli fa, e va fatta qui:</w:t>
      </w:r>
      <w:r>
        <w:t xml:space="preserve"> </w:t>
      </w:r>
      <w:r>
        <w:rPr>
          <w:b/>
          <w:bCs/>
        </w:rPr>
        <w:t xml:space="preserve">quali antibiotici ha preso nell’ultimo mese.</w:t>
      </w:r>
      <w:r>
        <w:t xml:space="preserve"> </w:t>
      </w:r>
      <w:r>
        <w:t xml:space="preserve">Il perché sta in «Dove finisce il nostro campo».</w:t>
      </w:r>
    </w:p>
    <w:p>
      <w:pPr>
        <w:pStyle w:val="BodyText"/>
      </w:pPr>
      <w:r>
        <w:t xml:space="preserve">Ogni passaggio gli ha dato qualcosa e gliel’ha tolto. Il farmaco ha abbassato il dolore senza toccare il carico. La fascia dà sollievo finché la porta.</w:t>
      </w:r>
      <w:r>
        <w:t xml:space="preserve"> </w:t>
      </w:r>
      <w:r>
        <w:rPr>
          <w:b/>
          <w:bCs/>
        </w:rPr>
        <w:t xml:space="preserve">L’infiltrazione ha funzionato benissimo per qualche settimana, e poi è tornato tutto.</w:t>
      </w:r>
      <w:r>
        <w:t xml:space="preserve"> </w:t>
      </w:r>
      <w:r>
        <w:t xml:space="preserve">Arriva diffidente per un motivo che ha senso: tutto ha funzionato all’inizio. Ogni passo è stato un anticipo: copriva il mese e lasciava il conto dov’era.</w:t>
      </w:r>
    </w:p>
    <w:bookmarkEnd w:id="12"/>
    <w:bookmarkStart w:id="13" w:name="cosa-nessuno-ha-guardato"/>
    <w:p>
      <w:pPr>
        <w:pStyle w:val="Heading3"/>
      </w:pPr>
      <w:r>
        <w:t xml:space="preserve">Cosa nessuno ha guardato</w:t>
      </w:r>
    </w:p>
    <w:p>
      <w:pPr>
        <w:pStyle w:val="FirstParagraph"/>
      </w:pPr>
      <w:r>
        <w:t xml:space="preserve">Tutto è successo nel raggio di dieci centimetri dal punto che fa male. Quasi mai qualcuno ha guardato</w:t>
      </w:r>
      <w:r>
        <w:t xml:space="preserve"> </w:t>
      </w:r>
      <w:r>
        <w:rPr>
          <w:b/>
          <w:bCs/>
        </w:rPr>
        <w:t xml:space="preserve">come quel braccio lavora</w:t>
      </w:r>
      <w:r>
        <w:t xml:space="preserve">: escursione di spalla, scapola, rotazione dell’avambraccio, collo. E soprattutto</w:t>
      </w:r>
      <w:r>
        <w:t xml:space="preserve"> </w:t>
      </w:r>
      <w:r>
        <w:rPr>
          <w:b/>
          <w:bCs/>
        </w:rPr>
        <w:t xml:space="preserve">quale gesto ripete ottocento volte al giorno, e con che forza</w:t>
      </w:r>
      <w:r>
        <w:t xml:space="preserve">. Quel pezzo non appartiene al referto di un’ecografia.</w:t>
      </w:r>
    </w:p>
    <w:bookmarkEnd w:id="13"/>
    <w:bookmarkStart w:id="14" w:name="le-tre-domande-che-ti-farà"/>
    <w:p>
      <w:pPr>
        <w:pStyle w:val="Heading3"/>
      </w:pPr>
      <w:r>
        <w:t xml:space="preserve">Le tre domande che ti farà</w:t>
      </w:r>
    </w:p>
    <w:p>
      <w:pPr>
        <w:pStyle w:val="Compact"/>
        <w:numPr>
          <w:ilvl w:val="0"/>
          <w:numId w:val="1005"/>
        </w:numPr>
      </w:pPr>
      <w:r>
        <w:rPr>
          <w:i/>
          <w:iCs/>
        </w:rPr>
        <w:t xml:space="preserve">«Perché il riposo non è servito?»</w:t>
      </w:r>
      <w:r>
        <w:t xml:space="preserve"> </w:t>
      </w:r>
      <w:r>
        <w:t xml:space="preserve">→ «Come funziona quando funziona».</w:t>
      </w:r>
    </w:p>
    <w:p>
      <w:pPr>
        <w:pStyle w:val="Compact"/>
        <w:numPr>
          <w:ilvl w:val="0"/>
          <w:numId w:val="1005"/>
        </w:numPr>
      </w:pPr>
      <w:r>
        <w:rPr>
          <w:i/>
          <w:iCs/>
        </w:rPr>
        <w:t xml:space="preserve">«L’infiltrazione mi ha fatto peggiorare?»</w:t>
      </w:r>
      <w:r>
        <w:t xml:space="preserve"> </w:t>
      </w:r>
      <w:r>
        <w:t xml:space="preserve">→ «Cosa dice la scienza» per il numero, «Cosa dire al paziente» per le parole.</w:t>
      </w:r>
    </w:p>
    <w:p>
      <w:pPr>
        <w:pStyle w:val="Compact"/>
        <w:numPr>
          <w:ilvl w:val="0"/>
          <w:numId w:val="1005"/>
        </w:numPr>
      </w:pPr>
      <w:r>
        <w:rPr>
          <w:i/>
          <w:iCs/>
        </w:rPr>
        <w:t xml:space="preserve">«Se non è passato in sei mesi, perché dovrebbe passare adesso?»</w:t>
      </w:r>
      <w:r>
        <w:t xml:space="preserve"> </w:t>
      </w:r>
      <w:r>
        <w:t xml:space="preserve">→ «Non è una condizione sola».</w:t>
      </w:r>
    </w:p>
    <w:p>
      <w:pPr>
        <w:pStyle w:val="FirstParagraph"/>
      </w:pPr>
      <w:r>
        <w:rPr>
          <w:b/>
          <w:bCs/>
        </w:rPr>
        <w:t xml:space="preserve">Le tre cose da ricordare, più una</w:t>
      </w:r>
    </w:p>
    <w:p>
      <w:pPr>
        <w:pStyle w:val="Compact"/>
        <w:numPr>
          <w:ilvl w:val="0"/>
          <w:numId w:val="1006"/>
        </w:numPr>
      </w:pPr>
      <w:r>
        <w:t xml:space="preserve">Il paziente ha già provato quasi tutto: la tua credibilità non passa dall’offrire una cosa in più, ma dallo spiegare perché quelle non hanno tenuto.</w:t>
      </w:r>
    </w:p>
    <w:p>
      <w:pPr>
        <w:pStyle w:val="Compact"/>
        <w:numPr>
          <w:ilvl w:val="0"/>
          <w:numId w:val="1006"/>
        </w:numPr>
      </w:pPr>
      <w:r>
        <w:t xml:space="preserve">La geografia del dolore è precisa e va ascoltata: punto sull’epicondilo, scia verso il polso, dolore alla presa.</w:t>
      </w:r>
    </w:p>
    <w:p>
      <w:pPr>
        <w:pStyle w:val="Compact"/>
        <w:numPr>
          <w:ilvl w:val="0"/>
          <w:numId w:val="1006"/>
        </w:numPr>
      </w:pPr>
      <w:r>
        <w:t xml:space="preserve">Il buco del percorso non è un esame mancante: è il gesto quotidiano, che nessun esame fotografa.</w:t>
      </w:r>
    </w:p>
    <w:p>
      <w:pPr>
        <w:pStyle w:val="Compact"/>
        <w:numPr>
          <w:ilvl w:val="0"/>
          <w:numId w:val="1006"/>
        </w:numPr>
      </w:pPr>
      <w:r>
        <w:rPr>
          <w:b/>
          <w:bCs/>
        </w:rPr>
        <w:t xml:space="preserve">Perché ci sei tu.</w:t>
      </w:r>
      <w:r>
        <w:t xml:space="preserve"> </w:t>
      </w:r>
      <w:r>
        <w:t xml:space="preserve">Prendi chi si presenta dal medico per un disturbo di gomito. Poco più di</w:t>
      </w:r>
      <w:r>
        <w:t xml:space="preserve"> </w:t>
      </w:r>
      <w:r>
        <w:rPr>
          <w:b/>
          <w:bCs/>
        </w:rPr>
        <w:t xml:space="preserve">tre su dieci si dichiarano guarite a dodici mesi</w:t>
      </w:r>
      <w:r>
        <w:t xml:space="preserve"> </w:t>
      </w:r>
      <w:r>
        <w:t xml:space="preserve">(Bot,</w:t>
      </w:r>
      <w:r>
        <w:t xml:space="preserve"> </w:t>
      </w:r>
      <w:r>
        <w:rPr>
          <w:i/>
          <w:iCs/>
        </w:rPr>
        <w:t xml:space="preserve">Ann Rheum Dis</w:t>
      </w:r>
      <w:r>
        <w:t xml:space="preserve"> </w:t>
      </w:r>
      <w:r>
        <w:t xml:space="preserve">2005, PMID 15708885, 181 pazienti).</w:t>
      </w:r>
      <w:r>
        <w:t xml:space="preserve"> </w:t>
      </w:r>
      <w:r>
        <w:rPr>
          <w:b/>
          <w:bCs/>
        </w:rPr>
        <w:t xml:space="preserve">Per te:</w:t>
      </w:r>
      <w:r>
        <w:t xml:space="preserve"> </w:t>
      </w:r>
      <w:r>
        <w:t xml:space="preserve">chi arriva a sei mesi non è un caso raro né un fallito. È il decorso ordinario. Questo ti autorizza a trattare la persistenza come normale e non come colpa. Non ti autorizza a promettere che il tuo lavoro cambierà quella statistica: nessuno l’ha misurato.</w:t>
      </w:r>
    </w:p>
    <w:p>
      <w:r>
        <w:pict>
          <v:rect style="width:0;height:1.5pt" o:hralign="center" o:hrstd="t" o:hr="t"/>
        </w:pict>
      </w:r>
    </w:p>
    <w:bookmarkEnd w:id="14"/>
    <w:bookmarkEnd w:id="15"/>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non è un’infiammazione del tendine, è un tendine che ha cambiato struttura perché ha ricevuto più carico di quanto ne sapesse reggere — e il nome che il paziente porta scritto sul referto dice il contrario.</w:t>
      </w:r>
    </w:p>
    <w:bookmarkStart w:id="16" w:name="X786e10785e34967967c8084fe811d53c582bbeb"/>
    <w:p>
      <w:pPr>
        <w:pStyle w:val="Heading3"/>
      </w:pPr>
      <w:r>
        <w:t xml:space="preserve">La definizione, e la parola sbagliata dentro</w:t>
      </w:r>
    </w:p>
    <w:p>
      <w:pPr>
        <w:pStyle w:val="FirstParagraph"/>
      </w:pPr>
      <w:r>
        <w:t xml:space="preserve">L’epicondilalgia laterale è una</w:t>
      </w:r>
      <w:r>
        <w:t xml:space="preserve"> </w:t>
      </w:r>
      <w:r>
        <w:rPr>
          <w:b/>
          <w:bCs/>
        </w:rPr>
        <w:t xml:space="preserve">tendinopatia della zona d’origine degli estensori del polso sull’epicondilo laterale dell’omero</w:t>
      </w:r>
      <w:r>
        <w:t xml:space="preserve">. La struttura più coinvolta è l’estensore radiale breve del carpo. Il quadro è dolore locale alla palpazione e alla contrazione resistita degli estensori, con perdita di forza di presa.</w:t>
      </w:r>
    </w:p>
    <w:p>
      <w:pPr>
        <w:pStyle w:val="BodyText"/>
      </w:pPr>
      <w:r>
        <w:t xml:space="preserve">Sotto il microscopio non c’è la flogosi acuta che il nome promette. Si trova collagene disorganizzato, aumento dei microvasi e dell’innervazione sensitiva, alterazione della matrice e morte cellulare programmata (Millar,</w:t>
      </w:r>
      <w:r>
        <w:t xml:space="preserve"> </w:t>
      </w:r>
      <w:r>
        <w:rPr>
          <w:i/>
          <w:iCs/>
        </w:rPr>
        <w:t xml:space="preserve">Nat Rev Dis Primers</w:t>
      </w:r>
      <w:r>
        <w:t xml:space="preserve"> </w:t>
      </w:r>
      <w:r>
        <w:t xml:space="preserve">2021, PMID 33414454). Nei pazienti operati si trovano fibre nervose che esprimono sostanza P e CGRP attorno a piccoli vasi,</w:t>
      </w:r>
      <w:r>
        <w:t xml:space="preserve"> </w:t>
      </w:r>
      <w:r>
        <w:rPr>
          <w:b/>
          <w:bCs/>
        </w:rPr>
        <w:t xml:space="preserve">senza infiltrati di cellule infiammatorie</w:t>
      </w:r>
      <w:r>
        <w:t xml:space="preserve"> </w:t>
      </w:r>
      <w:r>
        <w:t xml:space="preserve">(Ljung,</w:t>
      </w:r>
      <w:r>
        <w:t xml:space="preserve"> </w:t>
      </w:r>
      <w:r>
        <w:rPr>
          <w:i/>
          <w:iCs/>
        </w:rPr>
        <w:t xml:space="preserve">J Orthop Res</w:t>
      </w:r>
      <w:r>
        <w:t xml:space="preserve"> </w:t>
      </w:r>
      <w:r>
        <w:t xml:space="preserve">1999, PMID 10459762).</w:t>
      </w:r>
    </w:p>
    <w:p>
      <w:pPr>
        <w:pStyle w:val="BodyText"/>
      </w:pPr>
      <w:r>
        <w:t xml:space="preserve">Ma anche la correzione opposta è superata.</w:t>
      </w:r>
      <w:r>
        <w:t xml:space="preserve"> </w:t>
      </w:r>
      <w:r>
        <w:rPr>
          <w:i/>
          <w:iCs/>
        </w:rPr>
        <w:t xml:space="preserve">«L’infiammazione non c’entra»</w:t>
      </w:r>
      <w:r>
        <w:t xml:space="preserve"> </w:t>
      </w:r>
      <w:r>
        <w:t xml:space="preserve">(Khan,</w:t>
      </w:r>
      <w:r>
        <w:t xml:space="preserve"> </w:t>
      </w:r>
      <w:r>
        <w:rPr>
          <w:i/>
          <w:iCs/>
        </w:rPr>
        <w:t xml:space="preserve">BMJ</w:t>
      </w:r>
      <w:r>
        <w:t xml:space="preserve"> </w:t>
      </w:r>
      <w:r>
        <w:t xml:space="preserve">2002, PMID 11895810) oggi non regge più: cellule immunitarie e mediatori sono documentati lungo tutto lo spettro della tendinopatia. Gli stessi autori scrivono però che</w:t>
      </w:r>
      <w:r>
        <w:t xml:space="preserve"> </w:t>
      </w:r>
      <w:r>
        <w:rPr>
          <w:b/>
          <w:bCs/>
        </w:rPr>
        <w:t xml:space="preserve">le terapie mirate su quei mediatori non esistono ancora</w:t>
      </w:r>
      <w:r>
        <w:t xml:space="preserve"> </w:t>
      </w:r>
      <w:r>
        <w:t xml:space="preserve">(Millar,</w:t>
      </w:r>
      <w:r>
        <w:t xml:space="preserve"> </w:t>
      </w:r>
      <w:r>
        <w:rPr>
          <w:i/>
          <w:iCs/>
        </w:rPr>
        <w:t xml:space="preserve">Nat Rev Rheumatol</w:t>
      </w:r>
      <w:r>
        <w:t xml:space="preserve"> </w:t>
      </w:r>
      <w:r>
        <w:t xml:space="preserve">2017, PMID 28119539).</w:t>
      </w:r>
    </w:p>
    <w:p>
      <w:pPr>
        <w:pStyle w:val="BodyText"/>
      </w:pPr>
      <w:r>
        <w:t xml:space="preserve">La formulazione che userai è a due tempi.</w:t>
      </w:r>
      <w:r>
        <w:t xml:space="preserve"> </w:t>
      </w:r>
      <w:r>
        <w:rPr>
          <w:b/>
          <w:bCs/>
        </w:rPr>
        <w:t xml:space="preserve">C’è una componente immunitaria, e non è la flogosi acuta che un antinfiammatorio spegne. Il tessuto non è infiammato: è disorganizzato, e i mediatori fanno parte di quel disordine.</w:t>
      </w:r>
    </w:p>
    <w:p>
      <w:pPr>
        <w:pStyle w:val="BlockText"/>
      </w:pPr>
      <w:r>
        <w:rPr>
          <w:b/>
          <w:bCs/>
        </w:rPr>
        <w:t xml:space="preserve">Cosa cambia per te.</w:t>
      </w:r>
      <w:r>
        <w:t xml:space="preserve"> </w:t>
      </w:r>
      <w:r>
        <w:t xml:space="preserve">La parola</w:t>
      </w:r>
      <w:r>
        <w:t xml:space="preserve"> </w:t>
      </w:r>
      <w:r>
        <w:rPr>
          <w:i/>
          <w:iCs/>
        </w:rPr>
        <w:t xml:space="preserve">«si infiamma»</w:t>
      </w:r>
      <w:r>
        <w:t xml:space="preserve">, detta al paziente, produce due conseguenze operative sbagliate. Giustifica il riposo, che abbassa la capacità del tendine e prepara la ricaduta. E giustifica il farmaco come atto risolutivo. Non è una questione di eleganza terminologica: è la ragione per cui quel paziente è stato fermo un mese.</w:t>
      </w:r>
    </w:p>
    <w:bookmarkEnd w:id="16"/>
    <w:bookmarkStart w:id="17" w:name="quanto-è-diffusa-e-chi-colpisce"/>
    <w:p>
      <w:pPr>
        <w:pStyle w:val="Heading3"/>
      </w:pPr>
      <w:r>
        <w:t xml:space="preserve">Quanto è diffusa e chi colpisce</w:t>
      </w:r>
    </w:p>
    <w:p>
      <w:pPr>
        <w:pStyle w:val="FirstParagraph"/>
      </w:pPr>
      <w:r>
        <w:t xml:space="preserve">Nella popolazione finlandese fra i 30 e i 64 anni, la prevalenza dell’epicondilite laterale</w:t>
      </w:r>
      <w:r>
        <w:t xml:space="preserve"> </w:t>
      </w:r>
      <w:r>
        <w:rPr>
          <w:b/>
          <w:bCs/>
        </w:rPr>
        <w:t xml:space="preserve">definita</w:t>
      </w:r>
      <w:r>
        <w:t xml:space="preserve"> </w:t>
      </w:r>
      <w:r>
        <w:t xml:space="preserve">è dell’1,3%. Non ci sono differenze fra i sessi, e il picco è fra i 45 e i 54 anni. Chi svolge insieme movimenti ripetitivi</w:t>
      </w:r>
      <w:r>
        <w:t xml:space="preserve"> </w:t>
      </w:r>
      <w:r>
        <w:rPr>
          <w:b/>
          <w:bCs/>
        </w:rPr>
        <w:t xml:space="preserve">e</w:t>
      </w:r>
      <w:r>
        <w:t xml:space="preserve"> </w:t>
      </w:r>
      <w:r>
        <w:t xml:space="preserve">attività di forza ha un rischio più che quintuplicato: odds ratio 5,6 (Shiri,</w:t>
      </w:r>
      <w:r>
        <w:t xml:space="preserve"> </w:t>
      </w:r>
      <w:r>
        <w:rPr>
          <w:i/>
          <w:iCs/>
        </w:rPr>
        <w:t xml:space="preserve">Am J Epidemiol</w:t>
      </w:r>
      <w:r>
        <w:t xml:space="preserve"> </w:t>
      </w:r>
      <w:r>
        <w:t xml:space="preserve">2006, PMID 16968862).</w:t>
      </w:r>
    </w:p>
    <w:p>
      <w:pPr>
        <w:pStyle w:val="BodyText"/>
      </w:pPr>
      <w:r>
        <w:rPr>
          <w:b/>
          <w:bCs/>
        </w:rPr>
        <w:t xml:space="preserve">Per te:</w:t>
      </w:r>
      <w:r>
        <w:t xml:space="preserve"> </w:t>
      </w:r>
      <w:r>
        <w:t xml:space="preserve">il fattore di rischio più forte non è la ripetizione da sola, né la forza da sola. È la</w:t>
      </w:r>
      <w:r>
        <w:t xml:space="preserve"> </w:t>
      </w:r>
      <w:r>
        <w:rPr>
          <w:b/>
          <w:bCs/>
        </w:rPr>
        <w:t xml:space="preserve">combinazione delle due</w:t>
      </w:r>
      <w:r>
        <w:t xml:space="preserve">. È la prima domanda dell’anamnesi lavorativa, e distingue l’impiegato al mouse dall’elettricista con il cacciavite: due carichi diversi con lo stesso nome.</w:t>
      </w:r>
    </w:p>
    <w:p>
      <w:pPr>
        <w:pStyle w:val="BodyText"/>
      </w:pPr>
      <w:r>
        <w:t xml:space="preserve">Un caso-controllo su quasi cinquemila pazienti, appaiati per età, sesso e ambulatorio, ha misurato le associazioni. La più forte è con la</w:t>
      </w:r>
      <w:r>
        <w:t xml:space="preserve"> </w:t>
      </w:r>
      <w:r>
        <w:rPr>
          <w:b/>
          <w:bCs/>
        </w:rPr>
        <w:t xml:space="preserve">patologia della cuffia dei rotatori</w:t>
      </w:r>
      <w:r>
        <w:t xml:space="preserve">, odds ratio 4,95. Seguono De Quervain (2,48), cortisone orale (1,68), tunnel carpale (1,50) e fumo pregresso (1,20) (Titchener,</w:t>
      </w:r>
      <w:r>
        <w:t xml:space="preserve"> </w:t>
      </w:r>
      <w:r>
        <w:rPr>
          <w:i/>
          <w:iCs/>
        </w:rPr>
        <w:t xml:space="preserve">J Hand Surg Eur Vol</w:t>
      </w:r>
      <w:r>
        <w:t xml:space="preserve"> </w:t>
      </w:r>
      <w:r>
        <w:t xml:space="preserve">2013, PMID 22490998). Le associazioni</w:t>
      </w:r>
      <w:r>
        <w:t xml:space="preserve"> </w:t>
      </w:r>
      <w:r>
        <w:rPr>
          <w:b/>
          <w:bCs/>
        </w:rPr>
        <w:t xml:space="preserve">non</w:t>
      </w:r>
      <w:r>
        <w:t xml:space="preserve"> </w:t>
      </w:r>
      <w:r>
        <w:t xml:space="preserve">trovate, e i due punti su cui un’altra fonte dissente, stanno nel modello Metabolico-Energetico.</w:t>
      </w:r>
    </w:p>
    <w:p>
      <w:pPr>
        <w:pStyle w:val="BodyText"/>
      </w:pPr>
      <w:r>
        <w:rPr>
          <w:b/>
          <w:bCs/>
        </w:rPr>
        <w:t xml:space="preserve">Per te:</w:t>
      </w:r>
      <w:r>
        <w:t xml:space="preserve"> </w:t>
      </w:r>
      <w:r>
        <w:t xml:space="preserve">la spalla va esaminata in ogni paziente con questo quadro. Ma</w:t>
      </w:r>
      <w:r>
        <w:t xml:space="preserve"> </w:t>
      </w:r>
      <w:r>
        <w:rPr>
          <w:b/>
          <w:bCs/>
        </w:rPr>
        <w:t xml:space="preserve">è un’associazione, non una causa</w:t>
      </w:r>
      <w:r>
        <w:t xml:space="preserve">. Non ti dice se la spalla ha prodotto il gomito, se il gomito ha prodotto la spalla, o se entrambi vengono dallo stesso lavoro.</w:t>
      </w:r>
    </w:p>
    <w:bookmarkEnd w:id="17"/>
    <w:bookmarkStart w:id="18" w:name="come-evolve-se-non-fai-nulla"/>
    <w:p>
      <w:pPr>
        <w:pStyle w:val="Heading3"/>
      </w:pPr>
      <w:r>
        <w:t xml:space="preserve">Come evolve se non fai nulla</w:t>
      </w:r>
    </w:p>
    <w:p>
      <w:pPr>
        <w:pStyle w:val="FirstParagraph"/>
      </w:pPr>
      <w:r>
        <w:t xml:space="preserve">Lo studio olandese su 185 pazienti aveva un braccio</w:t>
      </w:r>
      <w:r>
        <w:t xml:space="preserve"> </w:t>
      </w:r>
      <w:r>
        <w:rPr>
          <w:i/>
          <w:iCs/>
        </w:rPr>
        <w:t xml:space="preserve">wait-and-see</w:t>
      </w:r>
      <w:r>
        <w:t xml:space="preserve">: nessun trattamento attivo, solo informazione e consigli di gestione del carico. In quel braccio l’</w:t>
      </w:r>
      <w:r>
        <w:rPr>
          <w:b/>
          <w:bCs/>
        </w:rPr>
        <w:t xml:space="preserve">83% aveva un esito di successo a 52 settimane</w:t>
      </w:r>
      <w:r>
        <w:t xml:space="preserve">, contro il 91% della fisioterapia e il 69% delle infiltrazioni (Smidt,</w:t>
      </w:r>
      <w:r>
        <w:t xml:space="preserve"> </w:t>
      </w:r>
      <w:r>
        <w:rPr>
          <w:i/>
          <w:iCs/>
        </w:rPr>
        <w:t xml:space="preserve">Lancet</w:t>
      </w:r>
      <w:r>
        <w:t xml:space="preserve"> </w:t>
      </w:r>
      <w:r>
        <w:t xml:space="preserve">2002, PMID 11879861). In medicina generale, invece, a dodici mesi si dichiarava guarito il</w:t>
      </w:r>
      <w:r>
        <w:t xml:space="preserve"> </w:t>
      </w:r>
      <w:r>
        <w:rPr>
          <w:b/>
          <w:bCs/>
        </w:rPr>
        <w:t xml:space="preserve">34%</w:t>
      </w:r>
      <w:r>
        <w:t xml:space="preserve"> </w:t>
      </w:r>
      <w:r>
        <w:t xml:space="preserve">(Bot, 2005, PMID 15708885).</w:t>
      </w:r>
    </w:p>
    <w:p>
      <w:pPr>
        <w:pStyle w:val="BodyText"/>
      </w:pPr>
      <w:r>
        <w:rPr>
          <w:b/>
          <w:bCs/>
        </w:rPr>
        <w:t xml:space="preserve">Per te:</w:t>
      </w:r>
      <w:r>
        <w:t xml:space="preserve"> </w:t>
      </w:r>
      <w:r>
        <w:t xml:space="preserve">sono popolazioni diverse, e quale somiglia al tuo paziente dipende da quando arriva. Entro le prime settimane assomiglia alla coorte olandese: una buona parte del miglioramento sarebbe arrivata comunque, e se prometti l’esito ti stai attribuendo la storia naturale. A sei mesi assomiglia alla coorte di medicina generale, e su di lui l’attesa ha già fallito una volta.</w:t>
      </w:r>
    </w:p>
    <w:bookmarkEnd w:id="18"/>
    <w:bookmarkStart w:id="19" w:name="X33366b177538ae9fd773a963d812086931f46b7"/>
    <w:p>
      <w:pPr>
        <w:pStyle w:val="Heading3"/>
      </w:pPr>
      <w:r>
        <w:t xml:space="preserve">Cosa dicono le etichette diagnostiche, e cosa non dicono</w:t>
      </w:r>
    </w:p>
    <w:p>
      <w:pPr>
        <w:pStyle w:val="FirstParagraph"/>
      </w:pPr>
      <w:r>
        <w:rPr>
          <w:b/>
          <w:bCs/>
        </w:rPr>
        <w:t xml:space="preserve">L’ecografia</w:t>
      </w:r>
      <w:r>
        <w:t xml:space="preserve"> </w:t>
      </w:r>
      <w:r>
        <w:t xml:space="preserve">dice</w:t>
      </w:r>
      <w:r>
        <w:t xml:space="preserve"> </w:t>
      </w:r>
      <w:r>
        <w:rPr>
          <w:b/>
          <w:bCs/>
        </w:rPr>
        <w:t xml:space="preserve">com’è fatto</w:t>
      </w:r>
      <w:r>
        <w:t xml:space="preserve"> </w:t>
      </w:r>
      <w:r>
        <w:t xml:space="preserve">il tendine oggi: ispessimento, aree ipoecogene, calcificazioni, neovascolarizzazione. Non dice quanto fa male, né perché ci è arrivato. Un randomizzato ha confrontato PRP, cortisone e fisiologica. Il cortisone ha ridotto spessore e attività Doppler più degli altri due,</w:t>
      </w:r>
      <w:r>
        <w:t xml:space="preserve"> </w:t>
      </w:r>
      <w:r>
        <w:rPr>
          <w:b/>
          <w:bCs/>
        </w:rPr>
        <w:t xml:space="preserve">senza essere migliore sul dolore a tre mesi</w:t>
      </w:r>
      <w:r>
        <w:t xml:space="preserve"> </w:t>
      </w:r>
      <w:r>
        <w:t xml:space="preserve">(Krogh,</w:t>
      </w:r>
      <w:r>
        <w:t xml:space="preserve"> </w:t>
      </w:r>
      <w:r>
        <w:rPr>
          <w:i/>
          <w:iCs/>
        </w:rPr>
        <w:t xml:space="preserve">Am J Sports Med</w:t>
      </w:r>
      <w:r>
        <w:t xml:space="preserve"> </w:t>
      </w:r>
      <w:r>
        <w:t xml:space="preserve">2013, PMID 23328738). L’immagine è migliorata e il paziente no.</w:t>
      </w:r>
    </w:p>
    <w:p>
      <w:pPr>
        <w:pStyle w:val="BodyText"/>
      </w:pPr>
      <w:r>
        <w:rPr>
          <w:b/>
          <w:bCs/>
        </w:rPr>
        <w:t xml:space="preserve">La radiografia</w:t>
      </w:r>
      <w:r>
        <w:t xml:space="preserve"> </w:t>
      </w:r>
      <w:r>
        <w:t xml:space="preserve">esclude calcificazioni e artrosi.</w:t>
      </w:r>
      <w:r>
        <w:t xml:space="preserve"> </w:t>
      </w:r>
      <w:r>
        <w:rPr>
          <w:b/>
          <w:bCs/>
        </w:rPr>
        <w:t xml:space="preserve">La risonanza</w:t>
      </w:r>
      <w:r>
        <w:t xml:space="preserve"> </w:t>
      </w:r>
      <w:r>
        <w:t xml:space="preserve">entra nei casi resistenti.</w:t>
      </w:r>
      <w:r>
        <w:t xml:space="preserve"> </w:t>
      </w:r>
      <w:r>
        <w:rPr>
          <w:b/>
          <w:bCs/>
        </w:rPr>
        <w:t xml:space="preserve">L’elettromiografia</w:t>
      </w:r>
      <w:r>
        <w:t xml:space="preserve"> </w:t>
      </w:r>
      <w:r>
        <w:t xml:space="preserve">si chiede quando c’è formicolio.</w:t>
      </w:r>
      <w:r>
        <w:t xml:space="preserve"> </w:t>
      </w:r>
      <w:r>
        <w:rPr>
          <w:b/>
          <w:bCs/>
        </w:rPr>
        <w:t xml:space="preserve">La diagnosi è atto medico:</w:t>
      </w:r>
      <w:r>
        <w:t xml:space="preserve"> </w:t>
      </w:r>
      <w:r>
        <w:t xml:space="preserve">qui impari a leggere un referto, non a formularlo.</w:t>
      </w:r>
    </w:p>
    <w:bookmarkEnd w:id="19"/>
    <w:bookmarkStart w:id="21" w:name="cosa-non-è"/>
    <w:p>
      <w:pPr>
        <w:pStyle w:val="Heading3"/>
      </w:pPr>
      <w:r>
        <w:t xml:space="preserve">Cosa non è</w:t>
      </w:r>
    </w:p>
    <w:p>
      <w:pPr>
        <w:pStyle w:val="Compact"/>
        <w:numPr>
          <w:ilvl w:val="0"/>
          <w:numId w:val="1007"/>
        </w:numPr>
      </w:pPr>
      <w:r>
        <w:rPr>
          <w:b/>
          <w:bCs/>
        </w:rPr>
        <w:t xml:space="preserve">Sindrome del tunnel radiale, o neuropatia dell’interosseo posteriore.</w:t>
      </w:r>
      <w:r>
        <w:t xml:space="preserve"> </w:t>
      </w:r>
      <w:r>
        <w:t xml:space="preserve">Non è un’esclusione teorica. Su 62 pazienti studiati con esame elettrofisiologico, l’interosseo posteriore era sofferente nel</w:t>
      </w:r>
      <w:r>
        <w:t xml:space="preserve"> </w:t>
      </w:r>
      <w:r>
        <w:rPr>
          <w:b/>
          <w:bCs/>
        </w:rPr>
        <w:t xml:space="preserve">19,4%</w:t>
      </w:r>
      <w:r>
        <w:t xml:space="preserve">, contro l’1,9% dei controlli. E test provocativi, escursione, forza di presa e punteggi di dolore</w:t>
      </w:r>
      <w:r>
        <w:t xml:space="preserve"> </w:t>
      </w:r>
      <w:r>
        <w:rPr>
          <w:b/>
          <w:bCs/>
        </w:rPr>
        <w:t xml:space="preserve">non distinguevano</w:t>
      </w:r>
      <w:r>
        <w:t xml:space="preserve"> </w:t>
      </w:r>
      <w:r>
        <w:t xml:space="preserve">i positivi dai negativi (Çilingiroğlu,</w:t>
      </w:r>
      <w:r>
        <w:t xml:space="preserve"> </w:t>
      </w:r>
      <w:r>
        <w:rPr>
          <w:i/>
          <w:iCs/>
        </w:rPr>
        <w:t xml:space="preserve">Acta Neurol Belg</w:t>
      </w:r>
      <w:r>
        <w:t xml:space="preserve"> </w:t>
      </w:r>
      <w:r>
        <w:t xml:space="preserve">2026, PMID 40853587).</w:t>
      </w:r>
    </w:p>
    <w:p>
      <w:pPr>
        <w:pStyle w:val="Compact"/>
        <w:numPr>
          <w:ilvl w:val="0"/>
          <w:numId w:val="1007"/>
        </w:numPr>
      </w:pPr>
      <w:r>
        <w:rPr>
          <w:b/>
          <w:bCs/>
        </w:rPr>
        <w:t xml:space="preserve">Instabilità postero-laterale di rotazione</w:t>
      </w:r>
      <w:r>
        <w:t xml:space="preserve">, soprattutto dopo lussazioni o infiltrazioni ripetute.</w:t>
      </w:r>
    </w:p>
    <w:p>
      <w:pPr>
        <w:pStyle w:val="Compact"/>
        <w:numPr>
          <w:ilvl w:val="0"/>
          <w:numId w:val="1007"/>
        </w:numPr>
      </w:pPr>
      <w:r>
        <w:rPr>
          <w:b/>
          <w:bCs/>
        </w:rPr>
        <w:t xml:space="preserve">Osteocondrite dissecante del capitello</w:t>
      </w:r>
      <w:r>
        <w:t xml:space="preserve">, nel giovane.</w:t>
      </w:r>
    </w:p>
    <w:p>
      <w:pPr>
        <w:pStyle w:val="Compact"/>
        <w:numPr>
          <w:ilvl w:val="0"/>
          <w:numId w:val="1007"/>
        </w:numPr>
      </w:pPr>
      <w:r>
        <w:rPr>
          <w:b/>
          <w:bCs/>
        </w:rPr>
        <w:t xml:space="preserve">Radicolopatia cervicale C6-C7</w:t>
      </w:r>
      <w:r>
        <w:t xml:space="preserve">, quando il dolore segue un territorio e si accompagna a deficit.</w:t>
      </w:r>
    </w:p>
    <w:p>
      <w:pPr>
        <w:pStyle w:val="Compact"/>
        <w:numPr>
          <w:ilvl w:val="0"/>
          <w:numId w:val="1007"/>
        </w:numPr>
      </w:pPr>
      <w:r>
        <w:rPr>
          <w:b/>
          <w:bCs/>
        </w:rPr>
        <w:t xml:space="preserve">Artrosi radio-omerale</w:t>
      </w:r>
      <w:r>
        <w:t xml:space="preserve"> </w:t>
      </w:r>
      <w:r>
        <w:t xml:space="preserve">e</w:t>
      </w:r>
      <w:r>
        <w:t xml:space="preserve"> </w:t>
      </w:r>
      <w:r>
        <w:rPr>
          <w:b/>
          <w:bCs/>
        </w:rPr>
        <w:t xml:space="preserve">plica sinoviale</w:t>
      </w:r>
      <w:r>
        <w:t xml:space="preserve"> </w:t>
      </w:r>
      <w:r>
        <w:t xml:space="preserve">del compartimento laterale.</w:t>
      </w:r>
    </w:p>
    <w:p>
      <w:pPr>
        <w:pStyle w:val="Compact"/>
        <w:numPr>
          <w:ilvl w:val="0"/>
          <w:numId w:val="1007"/>
        </w:numPr>
      </w:pPr>
      <w:r>
        <w:rPr>
          <w:b/>
          <w:bCs/>
        </w:rPr>
        <w:t xml:space="preserve">Artrite settica del gomito</w:t>
      </w:r>
      <w:r>
        <w:t xml:space="preserve">, rara ma la sola vera emergenza.</w:t>
      </w:r>
    </w:p>
    <w:p>
      <w:pPr>
        <w:pStyle w:val="Compact"/>
        <w:numPr>
          <w:ilvl w:val="0"/>
          <w:numId w:val="1007"/>
        </w:numPr>
      </w:pPr>
      <w:r>
        <w:rPr>
          <w:b/>
          <w:bCs/>
        </w:rPr>
        <w:t xml:space="preserve">Entesopatia infiammatoria</w:t>
      </w:r>
      <w:r>
        <w:t xml:space="preserve"> </w:t>
      </w:r>
      <w:r>
        <w:t xml:space="preserve">delle spondiloartriti. L’epicondilo laterale è un’</w:t>
      </w:r>
      <w:r>
        <w:rPr>
          <w:b/>
          <w:bCs/>
        </w:rPr>
        <w:t xml:space="preserve">entesi</w:t>
      </w:r>
      <w:r>
        <w:t xml:space="preserve">, cioè una zona di transizione fra tendine e osso, ed è una sede tipica. I segnali sono questi: psoriasi anche solo ungueale, altre entesi dolenti, rigidità mattutina oltre i trenta-quarantacinque minuti, dolore notturno slegato dal carico, familiarità, malattia infiammatoria intestinale.</w:t>
      </w:r>
      <w:r>
        <w:t xml:space="preserve"> </w:t>
      </w:r>
      <w:r>
        <w:rPr>
          <w:b/>
          <w:bCs/>
        </w:rPr>
        <w:t xml:space="preserve">Un quadro bilaterale o multi-sede con segni sistemici non è un sottotipo:</w:t>
      </w:r>
      <w:r>
        <w:t xml:space="preserve"> </w:t>
      </w:r>
      <w:r>
        <w:t xml:space="preserve">è una comunicazione scritta al curante prima di aprire il ciclo.</w:t>
      </w:r>
    </w:p>
    <w:p>
      <w:pPr>
        <w:pStyle w:val="FirstParagraph"/>
      </w:pPr>
      <w:r>
        <w:rPr>
          <w:b/>
          <w:bCs/>
        </w:rPr>
        <w:t xml:space="preserve">Le tre cose da ricordare, più una</w:t>
      </w:r>
    </w:p>
    <w:p>
      <w:pPr>
        <w:pStyle w:val="Compact"/>
        <w:numPr>
          <w:ilvl w:val="0"/>
          <w:numId w:val="1008"/>
        </w:numPr>
      </w:pPr>
      <w:r>
        <w:t xml:space="preserve">Scrivi e dici</w:t>
      </w:r>
      <w:r>
        <w:t xml:space="preserve"> </w:t>
      </w:r>
      <w:r>
        <w:rPr>
          <w:i/>
          <w:iCs/>
        </w:rPr>
        <w:t xml:space="preserve">tendinopatia</w:t>
      </w:r>
      <w:r>
        <w:t xml:space="preserve">, non</w:t>
      </w:r>
      <w:r>
        <w:t xml:space="preserve"> </w:t>
      </w:r>
      <w:r>
        <w:rPr>
          <w:i/>
          <w:iCs/>
        </w:rPr>
        <w:t xml:space="preserve">infiammazione</w:t>
      </w:r>
      <w:r>
        <w:t xml:space="preserve">: il tessuto è disorganizzato, non infiammato, e i mediatori fanno parte del disordine.</w:t>
      </w:r>
    </w:p>
    <w:p>
      <w:pPr>
        <w:pStyle w:val="Compact"/>
        <w:numPr>
          <w:ilvl w:val="0"/>
          <w:numId w:val="1008"/>
        </w:numPr>
      </w:pPr>
      <w:r>
        <w:t xml:space="preserve">Il fattore di carico che pesa è la combinazione di ripetizione e forza, non l’una o l’altra.</w:t>
      </w:r>
    </w:p>
    <w:p>
      <w:pPr>
        <w:pStyle w:val="Compact"/>
        <w:numPr>
          <w:ilvl w:val="0"/>
          <w:numId w:val="1008"/>
        </w:numPr>
      </w:pPr>
      <w:r>
        <w:t xml:space="preserve">Nel primo anno una quota importante di questi pazienti riferisce un esito di successo senza trattamento attivo: se prometti l’esito ti stai attribuendo la storia naturale.</w:t>
      </w:r>
    </w:p>
    <w:p>
      <w:pPr>
        <w:pStyle w:val="Heading2"/>
        <w:numPr>
          <w:ilvl w:val="0"/>
          <w:numId w:val="1008"/>
        </w:numPr>
      </w:pPr>
      <w:bookmarkStart w:id="20" w:name="X979b7a4c7118058f0097e69b9089b85596bf5da"/>
      <w:r>
        <w:rPr>
          <w:b/>
          <w:bCs/>
        </w:rPr>
        <w:t xml:space="preserve">Perché ci sei tu.</w:t>
      </w:r>
      <w:r>
        <w:t xml:space="preserve"> </w:t>
      </w:r>
      <w:r>
        <w:t xml:space="preserve">Una coorte americana ha esaminato 576 cartelle.</w:t>
      </w:r>
      <w:r>
        <w:t xml:space="preserve"> </w:t>
      </w:r>
      <w:r>
        <w:rPr>
          <w:b/>
          <w:bCs/>
        </w:rPr>
        <w:t xml:space="preserve">Circa un paziente su dieci, fra quelli ancora sintomatici a sei mesi, è arrivato alla chirurgia</w:t>
      </w:r>
      <w:r>
        <w:t xml:space="preserve"> </w:t>
      </w:r>
      <w:r>
        <w:t xml:space="preserve">(Sanders,</w:t>
      </w:r>
      <w:r>
        <w:t xml:space="preserve"> </w:t>
      </w:r>
      <w:r>
        <w:rPr>
          <w:i/>
          <w:iCs/>
        </w:rPr>
        <w:t xml:space="preserve">Am J Sports Med</w:t>
      </w:r>
      <w:r>
        <w:t xml:space="preserve"> </w:t>
      </w:r>
      <w:r>
        <w:t xml:space="preserve">2015, PMID 25656546).</w:t>
      </w:r>
      <w:r>
        <w:t xml:space="preserve"> </w:t>
      </w:r>
      <w:r>
        <w:rPr>
          <w:b/>
          <w:bCs/>
        </w:rPr>
        <w:t xml:space="preserve">Per te:</w:t>
      </w:r>
      <w:r>
        <w:t xml:space="preserve"> </w:t>
      </w:r>
      <w:r>
        <w:t xml:space="preserve">chi arriva oltre i sei mesi va informato che esiste un ramo del percorso che non è tuo. Va informato all’inizio, non alla quinta seduta. Questo ti autorizza a riconoscerlo e ad accompagnarlo verso una valutazione. Non ti autorizza a trattarlo come gli altri sperando che rientri nella maggioranza.</w:t>
      </w:r>
      <w:bookmarkEnd w:id="20"/>
    </w:p>
    <w:bookmarkEnd w:id="21"/>
    <w:bookmarkEnd w:id="22"/>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sull’epicondilo laterale convergono cinque strutture che fanno cose diverse, e distinguere quale delle cinque produce il segno cambia dove guardi.</w:t>
      </w:r>
    </w:p>
    <w:p>
      <w:pPr>
        <w:pStyle w:val="FirstParagraph"/>
      </w:pPr>
      <w:r>
        <w:rPr>
          <w:b/>
          <w:bCs/>
        </w:rPr>
        <w:t xml:space="preserve">L’estensore radiale breve del carpo (ECRB).</w:t>
      </w:r>
      <w:r>
        <w:t xml:space="preserve"> </w:t>
      </w:r>
      <w:r>
        <w:t xml:space="preserve">Origina dall’epicondilo laterale con il tendine comune ed estende il polso.</w:t>
      </w:r>
      <w:r>
        <w:t xml:space="preserve"> </w:t>
      </w:r>
      <w:r>
        <w:rPr>
          <w:b/>
          <w:bCs/>
        </w:rPr>
        <w:t xml:space="preserve">Conta qui per due motivi.</w:t>
      </w:r>
      <w:r>
        <w:t xml:space="preserve"> </w:t>
      </w:r>
      <w:r>
        <w:t xml:space="preserve">Il primo: è la struttura in cui si trova la degenerazione, nella grande maggioranza dei casi operati. Il secondo: la sua origine è quasi interamente tendinea, e manca la massa muscolare che assorbirebbe il carico prima dell’osso.</w:t>
      </w:r>
    </w:p>
    <w:p>
      <w:pPr>
        <w:pStyle w:val="BodyText"/>
      </w:pPr>
      <w:r>
        <w:rPr>
          <w:b/>
          <w:bCs/>
        </w:rPr>
        <w:t xml:space="preserve">L’estensore comune delle dita (EDC).</w:t>
      </w:r>
      <w:r>
        <w:t xml:space="preserve"> </w:t>
      </w:r>
      <w:r>
        <w:t xml:space="preserve">Su tredici avambracci di cadavere,</w:t>
      </w:r>
      <w:r>
        <w:t xml:space="preserve"> </w:t>
      </w:r>
      <w:r>
        <w:rPr>
          <w:b/>
          <w:bCs/>
        </w:rPr>
        <w:t xml:space="preserve">solo la porzione diretta al dito medio origina davvero dall’epicondilo laterale</w:t>
      </w:r>
      <w:r>
        <w:t xml:space="preserve">. E chi era dolente lì aveva il dolore maggiore all’estensione resistita del terzo dito (Fairbank e Corlett,</w:t>
      </w:r>
      <w:r>
        <w:t xml:space="preserve"> </w:t>
      </w:r>
      <w:r>
        <w:rPr>
          <w:i/>
          <w:iCs/>
        </w:rPr>
        <w:t xml:space="preserve">J Hand Surg Br</w:t>
      </w:r>
      <w:r>
        <w:t xml:space="preserve"> </w:t>
      </w:r>
      <w:r>
        <w:t xml:space="preserve">2002, PMID 12367535).</w:t>
      </w:r>
      <w:r>
        <w:t xml:space="preserve"> </w:t>
      </w:r>
      <w:r>
        <w:rPr>
          <w:b/>
          <w:bCs/>
        </w:rPr>
        <w:t xml:space="preserve">Conta qui perché è la base anatomica del test di Maudsley</w:t>
      </w:r>
      <w:r>
        <w:t xml:space="preserve">, che non è un test del nervo radiale come si è a lungo creduto.</w:t>
      </w:r>
    </w:p>
    <w:p>
      <w:pPr>
        <w:pStyle w:val="BodyText"/>
      </w:pPr>
      <w:r>
        <w:rPr>
          <w:b/>
          <w:bCs/>
        </w:rPr>
        <w:t xml:space="preserve">L’epicondilo laterale e il capitello omerale.</w:t>
      </w:r>
      <w:r>
        <w:t xml:space="preserve"> </w:t>
      </w:r>
      <w:r>
        <w:t xml:space="preserve">La chicca sta nel loro rapporto dinamico. Su 85 gomiti di cadavere si è visto questo.</w:t>
      </w:r>
      <w:r>
        <w:t xml:space="preserve"> </w:t>
      </w:r>
      <w:r>
        <w:rPr>
          <w:b/>
          <w:bCs/>
        </w:rPr>
        <w:t xml:space="preserve">Quando il gomito si estende, la faccia profonda dell’ECRB sfrega contro il bordo laterale del capitello. E l’estensore radiale lungo la comprime contro l’osso</w:t>
      </w:r>
      <w:r>
        <w:t xml:space="preserve"> </w:t>
      </w:r>
      <w:r>
        <w:t xml:space="preserve">(Bunata,</w:t>
      </w:r>
      <w:r>
        <w:t xml:space="preserve"> </w:t>
      </w:r>
      <w:r>
        <w:rPr>
          <w:i/>
          <w:iCs/>
        </w:rPr>
        <w:t xml:space="preserve">J Bone Joint Surg Am</w:t>
      </w:r>
      <w:r>
        <w:t xml:space="preserve"> </w:t>
      </w:r>
      <w:r>
        <w:t xml:space="preserve">2007, PMID 17768192).</w:t>
      </w:r>
      <w:r>
        <w:t xml:space="preserve"> </w:t>
      </w:r>
      <w:r>
        <w:rPr>
          <w:b/>
          <w:bCs/>
        </w:rPr>
        <w:t xml:space="preserve">Conta qui perché spiega perché a braccio disteso e a palmo in giù fa più male: in quella posizione al tendine non arriva solo trazione, arriva compressione.</w:t>
      </w:r>
    </w:p>
    <w:p>
      <w:pPr>
        <w:pStyle w:val="BodyText"/>
      </w:pPr>
      <w:r>
        <w:rPr>
          <w:b/>
          <w:bCs/>
        </w:rPr>
        <w:t xml:space="preserve">Il nervo interosseo posteriore.</w:t>
      </w:r>
      <w:r>
        <w:t xml:space="preserve"> </w:t>
      </w:r>
      <w:r>
        <w:t xml:space="preserve">È il ramo profondo del radiale e attraversa il supinatore a pochi centimetri dall’epicondilo.</w:t>
      </w:r>
      <w:r>
        <w:t xml:space="preserve"> </w:t>
      </w:r>
      <w:r>
        <w:rPr>
          <w:b/>
          <w:bCs/>
        </w:rPr>
        <w:t xml:space="preserve">Conta qui perché in un caso su cinque coesiste con il quadro, senza che nessun test clinico lo distingua</w:t>
      </w:r>
      <w:r>
        <w:t xml:space="preserve"> </w:t>
      </w:r>
      <w:r>
        <w:t xml:space="preserve">(Çilingiroğlu, 2026, PMID 40853587).</w:t>
      </w:r>
    </w:p>
    <w:p>
      <w:pPr>
        <w:pStyle w:val="BodyText"/>
      </w:pPr>
      <w:r>
        <w:rPr>
          <w:b/>
          <w:bCs/>
        </w:rPr>
        <w:t xml:space="preserve">Il complesso legamentoso collaterale laterale.</w:t>
      </w:r>
      <w:r>
        <w:t xml:space="preserve"> </w:t>
      </w:r>
      <w:r>
        <w:t xml:space="preserve">Sta immediatamente sotto il tendine comune degli estensori.</w:t>
      </w:r>
      <w:r>
        <w:t xml:space="preserve"> </w:t>
      </w:r>
      <w:r>
        <w:rPr>
          <w:b/>
          <w:bCs/>
        </w:rPr>
        <w:t xml:space="preserve">Conta qui perché è la struttura che rende il compartimento laterale stabile in rotazione.</w:t>
      </w:r>
      <w:r>
        <w:t xml:space="preserve"> </w:t>
      </w:r>
      <w:r>
        <w:t xml:space="preserve">Ed è quella che viene compromessa quando la degenerazione è estesa, o dopo infiltrazioni ripetute.</w:t>
      </w:r>
    </w:p>
    <w:p>
      <w:pPr>
        <w:pStyle w:val="BodyText"/>
      </w:pPr>
      <w:r>
        <w:rPr>
          <w:b/>
          <w:bCs/>
        </w:rPr>
        <w:t xml:space="preserve">La spalla e la scapola.</w:t>
      </w:r>
      <w:r>
        <w:t xml:space="preserve"> </w:t>
      </w:r>
      <w:r>
        <w:t xml:space="preserve">Uno studio ha confrontato 28 pazienti con epicondilalgia unilaterale e 28 controlli appaiati. Sul lato sintomatico, forza e resistenza sono ridotte in trapezio medio, trapezio inferiore e dentato anteriore (Day,</w:t>
      </w:r>
      <w:r>
        <w:t xml:space="preserve"> </w:t>
      </w:r>
      <w:r>
        <w:rPr>
          <w:i/>
          <w:iCs/>
        </w:rPr>
        <w:t xml:space="preserve">JOSPT</w:t>
      </w:r>
      <w:r>
        <w:t xml:space="preserve"> </w:t>
      </w:r>
      <w:r>
        <w:t xml:space="preserve">2015, PMID 25579691).</w:t>
      </w:r>
      <w:r>
        <w:t xml:space="preserve"> </w:t>
      </w:r>
      <w:r>
        <w:rPr>
          <w:b/>
          <w:bCs/>
        </w:rPr>
        <w:t xml:space="preserve">Conta qui perché è il piano che decide quanta strada deve fare la mano per arrivare all’oggetto.</w:t>
      </w:r>
    </w:p>
    <w:p>
      <w:pPr>
        <w:pStyle w:val="BodyText"/>
      </w:pPr>
      <w:r>
        <w:rPr>
          <w:b/>
          <w:bCs/>
        </w:rPr>
        <w:t xml:space="preserve">Il rachide cervicale e dorsale alto.</w:t>
      </w:r>
      <w:r>
        <w:t xml:space="preserve"> </w:t>
      </w:r>
      <w:r>
        <w:t xml:space="preserve">In 31 soggetti contro 31 sani, il</w:t>
      </w:r>
      <w:r>
        <w:t xml:space="preserve"> </w:t>
      </w:r>
      <w:r>
        <w:rPr>
          <w:b/>
          <w:bCs/>
        </w:rPr>
        <w:t xml:space="preserve">70% riferiva dolore cervicale o dorsale contro il 16%</w:t>
      </w:r>
      <w:r>
        <w:t xml:space="preserve">. Nello stesso gruppo si trovano più risposte al test neurodinamico del radiale e una minore escursione cervicale (Berglund,</w:t>
      </w:r>
      <w:r>
        <w:t xml:space="preserve"> </w:t>
      </w:r>
      <w:r>
        <w:rPr>
          <w:i/>
          <w:iCs/>
        </w:rPr>
        <w:t xml:space="preserve">Man Ther</w:t>
      </w:r>
      <w:r>
        <w:t xml:space="preserve"> </w:t>
      </w:r>
      <w:r>
        <w:t xml:space="preserve">2008, PMID 17942362).</w:t>
      </w:r>
      <w:r>
        <w:t xml:space="preserve"> </w:t>
      </w:r>
      <w:r>
        <w:rPr>
          <w:b/>
          <w:bCs/>
        </w:rPr>
        <w:t xml:space="preserve">Conta qui perché è il distretto su cui è stato misurato l’effetto immediato più netto di tutta la letteratura manuale su questa condizione.</w:t>
      </w:r>
    </w:p>
    <w:p>
      <w:pPr>
        <w:pStyle w:val="BodyText"/>
      </w:pPr>
      <w:r>
        <w:rPr>
          <w:b/>
          <w:bCs/>
        </w:rPr>
        <w:t xml:space="preserve">Le tre cose da ricordare, più una</w:t>
      </w:r>
    </w:p>
    <w:p>
      <w:pPr>
        <w:pStyle w:val="Compact"/>
        <w:numPr>
          <w:ilvl w:val="0"/>
          <w:numId w:val="1009"/>
        </w:numPr>
      </w:pPr>
      <w:r>
        <w:t xml:space="preserve">L’ECRB è la struttura del guasto; l’EDC del dito medio spiega il test di Maudsley e va cercato separatamente.</w:t>
      </w:r>
    </w:p>
    <w:p>
      <w:pPr>
        <w:pStyle w:val="Compact"/>
        <w:numPr>
          <w:ilvl w:val="0"/>
          <w:numId w:val="1009"/>
        </w:numPr>
      </w:pPr>
      <w:r>
        <w:t xml:space="preserve">A gomito esteso e avambraccio pronato il tendine riceve compressione oltre alla trazione: è la posizione in cui il paziente ti dice che fa più male, ed è anatomicamente prevista.</w:t>
      </w:r>
    </w:p>
    <w:p>
      <w:pPr>
        <w:pStyle w:val="Compact"/>
        <w:numPr>
          <w:ilvl w:val="0"/>
          <w:numId w:val="1009"/>
        </w:numPr>
      </w:pPr>
      <w:r>
        <w:t xml:space="preserve">Spalla, scapola e collo non sono un’aggiunta osteopatica: sono misurati alterati in questi pazienti.</w:t>
      </w:r>
    </w:p>
    <w:p>
      <w:pPr>
        <w:pStyle w:val="Compact"/>
        <w:numPr>
          <w:ilvl w:val="0"/>
          <w:numId w:val="1009"/>
        </w:numPr>
      </w:pPr>
      <w:r>
        <w:rPr>
          <w:b/>
          <w:bCs/>
        </w:rPr>
        <w:t xml:space="preserve">Perché ci sei tu.</w:t>
      </w:r>
      <w:r>
        <w:t xml:space="preserve"> </w:t>
      </w:r>
      <w:r>
        <w:rPr>
          <w:b/>
          <w:bCs/>
        </w:rPr>
        <w:t xml:space="preserve">In circa due pazienti su dieci coesiste una sofferenza elettrofisiologica dell’interosseo posteriore, e nessun test clinico la separa</w:t>
      </w:r>
      <w:r>
        <w:t xml:space="preserve"> </w:t>
      </w:r>
      <w:r>
        <w:t xml:space="preserve">(Çilingiroğlu, 2026, PMID 40853587).</w:t>
      </w:r>
      <w:r>
        <w:t xml:space="preserve"> </w:t>
      </w:r>
      <w:r>
        <w:rPr>
          <w:b/>
          <w:bCs/>
        </w:rPr>
        <w:t xml:space="preserve">Per te:</w:t>
      </w:r>
      <w:r>
        <w:t xml:space="preserve"> </w:t>
      </w:r>
      <w:r>
        <w:t xml:space="preserve">davanti a un quadro che non risponde, o con formicolio, la domanda non è</w:t>
      </w:r>
      <w:r>
        <w:t xml:space="preserve"> </w:t>
      </w:r>
      <w:r>
        <w:t xml:space="preserve">“quale altra tecnica provo”</w:t>
      </w:r>
      <w:r>
        <w:t xml:space="preserve">. È</w:t>
      </w:r>
      <w:r>
        <w:t xml:space="preserve"> </w:t>
      </w:r>
      <w:r>
        <w:t xml:space="preserve">“questo è stato indagato”</w:t>
      </w:r>
      <w:r>
        <w:t xml:space="preserve">. Questo ti autorizza a sospettarlo e a chiedere che venga escluso. Non ti autorizza a diagnosticarlo né a escluderlo tu: quella misura è elettrofisiologica.</w:t>
      </w:r>
    </w:p>
    <w:p>
      <w:r>
        <w:pict>
          <v:rect style="width:0;height:1.5pt" o:hralign="center" o:hrstd="t" o:hr="t"/>
        </w:pict>
      </w:r>
    </w:p>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ogni volta che la mano stringe, gli estensori del polso si contraggono per impedire al polso di piegarsi — ed è per questo che un tendine dell’estensore fa male quando afferri, non quando estendi.</w:t>
      </w:r>
    </w:p>
    <w:p>
      <w:pPr>
        <w:pStyle w:val="FirstParagraph"/>
      </w:pPr>
      <w:r>
        <w:t xml:space="preserve">La catena, in ordine.</w:t>
      </w:r>
    </w:p>
    <w:p>
      <w:pPr>
        <w:pStyle w:val="Compact"/>
        <w:numPr>
          <w:ilvl w:val="0"/>
          <w:numId w:val="1010"/>
        </w:numPr>
      </w:pPr>
      <w:r>
        <w:rPr>
          <w:b/>
          <w:bCs/>
        </w:rPr>
        <w:t xml:space="preserve">La mano stringe, e gli estensori del polso si contraggono per stabilizzare.</w:t>
      </w:r>
      <w:r>
        <w:t xml:space="preserve"> </w:t>
      </w:r>
      <w:r>
        <w:t xml:space="preserve">Non muovono niente:</w:t>
      </w:r>
      <w:r>
        <w:t xml:space="preserve"> </w:t>
      </w:r>
      <w:r>
        <w:rPr>
          <w:b/>
          <w:bCs/>
        </w:rPr>
        <w:t xml:space="preserve">tengono</w:t>
      </w:r>
      <w:r>
        <w:t xml:space="preserve">, con un’intensità che cresce con la forza della presa. La forza arriva all’osso su un’origine tendinea comune grande come un polpastrello, dove passa il lavoro di più muscoli. Ecco perché un tendine estensore fa male in un gesto di flessione.</w:t>
      </w:r>
    </w:p>
    <w:p>
      <w:pPr>
        <w:pStyle w:val="Compact"/>
        <w:numPr>
          <w:ilvl w:val="0"/>
          <w:numId w:val="1010"/>
        </w:numPr>
      </w:pPr>
      <w:r>
        <w:rPr>
          <w:b/>
          <w:bCs/>
        </w:rPr>
        <w:t xml:space="preserve">Il gomito si estende e si flette mentre questo accade.</w:t>
      </w:r>
      <w:r>
        <w:t xml:space="preserve"> </w:t>
      </w:r>
      <w:r>
        <w:t xml:space="preserve">In estensione l’ECRB tocca il bordo del capitello. Al tendine arrivano allora due sollecitazioni diverse: trazione lungo l’asse e</w:t>
      </w:r>
      <w:r>
        <w:t xml:space="preserve"> </w:t>
      </w:r>
      <w:r>
        <w:rPr>
          <w:b/>
          <w:bCs/>
        </w:rPr>
        <w:t xml:space="preserve">compressione</w:t>
      </w:r>
      <w:r>
        <w:t xml:space="preserve"> </w:t>
      </w:r>
      <w:r>
        <w:t xml:space="preserve">contro l’osso (Bunata, 2007, PMID 17768192).</w:t>
      </w:r>
    </w:p>
    <w:p>
      <w:pPr>
        <w:pStyle w:val="Compact"/>
        <w:numPr>
          <w:ilvl w:val="0"/>
          <w:numId w:val="1010"/>
        </w:numPr>
      </w:pPr>
      <w:r>
        <w:rPr>
          <w:b/>
          <w:bCs/>
        </w:rPr>
        <w:t xml:space="preserve">La spalla e la scapola posizionano il braccio.</w:t>
      </w:r>
      <w:r>
        <w:t xml:space="preserve"> </w:t>
      </w:r>
      <w:r>
        <w:t xml:space="preserve">Se il braccio arriva vicino all’oggetto e in buona posizione, la mano stringe meno. Se la spalla non porta, la presa compensa.</w:t>
      </w:r>
    </w:p>
    <w:p>
      <w:pPr>
        <w:pStyle w:val="Compact"/>
        <w:numPr>
          <w:ilvl w:val="0"/>
          <w:numId w:val="1010"/>
        </w:numPr>
      </w:pPr>
      <w:r>
        <w:rPr>
          <w:b/>
          <w:bCs/>
        </w:rPr>
        <w:t xml:space="preserve">Il tendine si adatta lentamente e si disadatta più in fretta.</w:t>
      </w:r>
      <w:r>
        <w:t xml:space="preserve"> </w:t>
      </w:r>
      <w:r>
        <w:t xml:space="preserve">Risponde al carico costruendo struttura e rigidità, e perde entrambe quando il carico si ferma. Le due direzioni sono misurate, e non hanno la stessa velocità.</w:t>
      </w:r>
    </w:p>
    <w:p>
      <w:pPr>
        <w:pStyle w:val="Compact"/>
        <w:numPr>
          <w:ilvl w:val="1"/>
          <w:numId w:val="1011"/>
        </w:numPr>
      </w:pPr>
      <w:r>
        <w:rPr>
          <w:b/>
          <w:bCs/>
        </w:rPr>
        <w:t xml:space="preserve">In discesa:</w:t>
      </w:r>
      <w:r>
        <w:t xml:space="preserve"> </w:t>
      </w:r>
      <w:r>
        <w:t xml:space="preserve">ventitré giorni di arto sospeso, in nove uomini giovani sani, hanno ridotto la rigidità del tendine rotuleo del</w:t>
      </w:r>
      <w:r>
        <w:t xml:space="preserve"> </w:t>
      </w:r>
      <w:r>
        <w:rPr>
          <w:b/>
          <w:bCs/>
        </w:rPr>
        <w:t xml:space="preserve">9,8% a quattordici giorni e del 29,3% a ventitré</w:t>
      </w:r>
      <w:r>
        <w:t xml:space="preserve">. Gli autori concludono che la riabilitazione dovrebbe cominciare entro due settimane dallo scarico (de Boer,</w:t>
      </w:r>
      <w:r>
        <w:t xml:space="preserve"> </w:t>
      </w:r>
      <w:r>
        <w:rPr>
          <w:i/>
          <w:iCs/>
        </w:rPr>
        <w:t xml:space="preserve">J Physiol</w:t>
      </w:r>
      <w:r>
        <w:t xml:space="preserve"> </w:t>
      </w:r>
      <w:r>
        <w:t xml:space="preserve">2007, PMID 17656438).</w:t>
      </w:r>
    </w:p>
    <w:p>
      <w:pPr>
        <w:pStyle w:val="Compact"/>
        <w:numPr>
          <w:ilvl w:val="1"/>
          <w:numId w:val="1011"/>
        </w:numPr>
      </w:pPr>
      <w:r>
        <w:rPr>
          <w:b/>
          <w:bCs/>
        </w:rPr>
        <w:t xml:space="preserve">In salita:</w:t>
      </w:r>
      <w:r>
        <w:t xml:space="preserve"> </w:t>
      </w:r>
      <w:r>
        <w:t xml:space="preserve">su 27 studi e 264 partecipanti sani, otto settimane o più di carico alzano la rigidità del tendine con una dimensione d’effetto di</w:t>
      </w:r>
      <w:r>
        <w:t xml:space="preserve"> </w:t>
      </w:r>
      <w:r>
        <w:rPr>
          <w:b/>
          <w:bCs/>
        </w:rPr>
        <w:t xml:space="preserve">0,70</w:t>
      </w:r>
      <w:r>
        <w:t xml:space="preserve">. E ciò che decide l’adattamento è</w:t>
      </w:r>
      <w:r>
        <w:t xml:space="preserve"> </w:t>
      </w:r>
      <w:r>
        <w:rPr>
          <w:b/>
          <w:bCs/>
        </w:rPr>
        <w:t xml:space="preserve">l’entità del carico, non il tipo di contrazione</w:t>
      </w:r>
      <w:r>
        <w:t xml:space="preserve"> </w:t>
      </w:r>
      <w:r>
        <w:t xml:space="preserve">(Bohm,</w:t>
      </w:r>
      <w:r>
        <w:t xml:space="preserve"> </w:t>
      </w:r>
      <w:r>
        <w:rPr>
          <w:i/>
          <w:iCs/>
        </w:rPr>
        <w:t xml:space="preserve">Sports Med Open</w:t>
      </w:r>
      <w:r>
        <w:t xml:space="preserve"> </w:t>
      </w:r>
      <w:r>
        <w:t xml:space="preserve">2015, PMID 27747846).</w:t>
      </w:r>
    </w:p>
    <w:p>
      <w:pPr>
        <w:pStyle w:val="Compact"/>
        <w:numPr>
          <w:ilvl w:val="1"/>
          <w:numId w:val="1011"/>
        </w:numPr>
      </w:pPr>
      <w:r>
        <w:rPr>
          <w:b/>
          <w:bCs/>
        </w:rPr>
        <w:t xml:space="preserve">Il tendine si costruisce in mesi e si smonta in poche settimane, non in giorni.</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tessuto collagene perda proprietà meccaniche sotto scarico e le guadagni sotto carico.</w:t>
      </w:r>
      <w:r>
        <w:t xml:space="preserve"> </w:t>
      </w:r>
      <w:r>
        <w:rPr>
          <w:i/>
          <w:iCs/>
        </w:rPr>
        <w:t xml:space="preserve">Il salto di de Boer è di sede e di intervento:</w:t>
      </w:r>
      <w:r>
        <w:t xml:space="preserve"> </w:t>
      </w:r>
      <w:r>
        <w:t xml:space="preserve">misurato sul tendine rotuleo di uomini giovani sani in sospensione completa dell’arto, non sull’estensore comune di pazienti con epicondilalgia — e la sospensione totale non è il riposo relativo di questi pazienti.</w:t>
      </w:r>
      <w:r>
        <w:t xml:space="preserve"> </w:t>
      </w:r>
      <w:r>
        <w:rPr>
          <w:i/>
          <w:iCs/>
        </w:rPr>
        <w:t xml:space="preserve">Il salto di Bohm è di popolazione:</w:t>
      </w:r>
      <w:r>
        <w:t xml:space="preserve"> </w:t>
      </w:r>
      <w:r>
        <w:t xml:space="preserve">misurato su tendine d’Achille e rotuleo di adulti sani asintomatici, non su un tendine già degenerato dell’epicondilo — ed è una misura di proprietà meccaniche, non di dolore.</w:t>
      </w:r>
      <w:r>
        <w:t xml:space="preserve"> </w:t>
      </w:r>
      <w:r>
        <w:rPr>
          <w:b/>
          <w:bCs/>
        </w:rPr>
        <w:t xml:space="preserve">L’etichetta sta sul meccanismo e non sulla leva:</w:t>
      </w:r>
      <w:r>
        <w:t xml:space="preserve"> </w:t>
      </w:r>
      <w:r>
        <w:t xml:space="preserve">che il carico ripari il tendine malato di</w:t>
      </w:r>
      <w:r>
        <w:t xml:space="preserve"> </w:t>
      </w:r>
      <w:r>
        <w:rPr>
          <w:i/>
          <w:iCs/>
        </w:rPr>
        <w:t xml:space="preserve">questo</w:t>
      </w:r>
      <w:r>
        <w:t xml:space="preserve"> </w:t>
      </w:r>
      <w:r>
        <w:t xml:space="preserve">paziente resta dov’è, in «Cosa può fare il paziente da solo».</w:t>
      </w:r>
    </w:p>
    <w:p>
      <w:pPr>
        <w:pStyle w:val="FirstParagraph"/>
      </w:pPr>
      <w:r>
        <w:t xml:space="preserve">Il passaggio 4 spiega il fallimento del riposo. Un mese fermo abbassa la capacità del tessuto: sono risparmi di mesi che se ne vanno in poche settimane. Alla ripresa il paziente ritrova</w:t>
      </w:r>
      <w:r>
        <w:t xml:space="preserve"> </w:t>
      </w:r>
      <w:r>
        <w:rPr>
          <w:b/>
          <w:bCs/>
        </w:rPr>
        <w:t xml:space="preserve">lo stesso gesto, con la stessa forza, su un tendine che ne regge meno</w:t>
      </w:r>
      <w:r>
        <w:t xml:space="preserve">. È quello che lui ti racconta come</w:t>
      </w:r>
      <w:r>
        <w:t xml:space="preserve"> </w:t>
      </w:r>
      <w:r>
        <w:t xml:space="preserve">“dopo tre giorni era identico”</w:t>
      </w:r>
      <w:r>
        <w:t xml:space="preserve">.</w:t>
      </w:r>
    </w:p>
    <w:p>
      <w:pPr>
        <w:pStyle w:val="BodyText"/>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12"/>
        </w:numPr>
      </w:pPr>
      <w:r>
        <w:t xml:space="preserve">Gli estensori del polso lavorano quando la mano stringe: la presa è il gesto che carica il tendine, non l’estensione.</w:t>
      </w:r>
    </w:p>
    <w:p>
      <w:pPr>
        <w:pStyle w:val="Compact"/>
        <w:numPr>
          <w:ilvl w:val="0"/>
          <w:numId w:val="1012"/>
        </w:numPr>
      </w:pPr>
      <w:r>
        <w:t xml:space="preserve">Trazione e compressione sono due carichi diversi sullo stesso tendine, e la seconda dipende dalla posizione del gomito.</w:t>
      </w:r>
    </w:p>
    <w:p>
      <w:pPr>
        <w:pStyle w:val="Compact"/>
        <w:numPr>
          <w:ilvl w:val="0"/>
          <w:numId w:val="1012"/>
        </w:numPr>
      </w:pPr>
      <w:r>
        <w:t xml:space="preserve">Il tendine si costruisce in mesi e si smonta in poche settimane: il riposo non è neutro, ed è misurato.</w:t>
      </w:r>
    </w:p>
    <w:p>
      <w:pPr>
        <w:pStyle w:val="Compact"/>
        <w:numPr>
          <w:ilvl w:val="0"/>
          <w:numId w:val="1012"/>
        </w:numPr>
      </w:pPr>
      <w:r>
        <w:rPr>
          <w:b/>
          <w:bCs/>
        </w:rPr>
        <w:t xml:space="preserve">Perché ci sei tu.</w:t>
      </w:r>
      <w:r>
        <w:t xml:space="preserve"> </w:t>
      </w:r>
      <w:r>
        <w:t xml:space="preserve">La misura che descrive questo sistema è nelle tue mani e in nessun referto:</w:t>
      </w:r>
      <w:r>
        <w:t xml:space="preserve"> </w:t>
      </w:r>
      <w:r>
        <w:rPr>
          <w:b/>
          <w:bCs/>
        </w:rPr>
        <w:t xml:space="preserve">la forza di presa senza dolore ha una riproducibilità di 0,97 fra due operatori</w:t>
      </w:r>
      <w:r>
        <w:t xml:space="preserve">, su 50 pazienti valutati in cieco (Smidt,</w:t>
      </w:r>
      <w:r>
        <w:t xml:space="preserve"> </w:t>
      </w:r>
      <w:r>
        <w:rPr>
          <w:i/>
          <w:iCs/>
        </w:rPr>
        <w:t xml:space="preserve">Arch Phys Med Rehabil</w:t>
      </w:r>
      <w:r>
        <w:t xml:space="preserve"> </w:t>
      </w:r>
      <w:r>
        <w:t xml:space="preserve">2002, PMID 12161838).</w:t>
      </w:r>
      <w:r>
        <w:t xml:space="preserve"> </w:t>
      </w:r>
      <w:r>
        <w:rPr>
          <w:b/>
          <w:bCs/>
        </w:rPr>
        <w:t xml:space="preserve">Per te:</w:t>
      </w:r>
      <w:r>
        <w:t xml:space="preserve"> </w:t>
      </w:r>
      <w:r>
        <w:t xml:space="preserve">costa un dinamometro e si esegue in un minuto. Questo ti autorizza a misurare e a mostrare il risultato al paziente. Non ti autorizza a chiamare quel numero una prova di efficacia: nello stesso lavoro la soglia di pressione mostra una riproducibilità insufficiente.</w:t>
      </w:r>
    </w:p>
    <w:p>
      <w:r>
        <w:pict>
          <v:rect style="width:0;height:1.5pt" o:hralign="center" o:hrstd="t" o:hr="t"/>
        </w:pict>
      </w:r>
    </w:p>
    <w:bookmarkEnd w:id="24"/>
    <w:bookmarkStart w:id="32"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diverse possono produrre lo stesso dolore sull’epicondilo, e sono ordinate qui dalla più solida alla meno solida — non dalla più frequente.</w:t>
      </w:r>
    </w:p>
    <w:p>
      <w:pPr>
        <w:pStyle w:val="FirstParagraph"/>
      </w:pPr>
      <w:r>
        <w:rPr>
          <w:b/>
          <w:bCs/>
        </w:rPr>
        <w:t xml:space="preserve">Il più frequente non è il primo: è il terzo</w:t>
      </w:r>
      <w:r>
        <w:t xml:space="preserve">, quello del carico e del gesto.</w:t>
      </w:r>
    </w:p>
    <w:p>
      <w:pPr>
        <w:pStyle w:val="BodyText"/>
      </w:pPr>
      <w:r>
        <w:rPr>
          <w:b/>
          <w:bCs/>
        </w:rPr>
        <w:t xml:space="preserve">E i cinque non sono alternative: sono una storia.</w:t>
      </w:r>
      <w:r>
        <w:t xml:space="preserve"> </w:t>
      </w:r>
      <w:r>
        <w:t xml:space="preserve">Un gesto ripetuto con forza porta sempre lo stesso carico nello stesso punto (3), perché a monte la spalla non partecipa (4). Il tessuto cede (1). Se dura mesi, il sistema del dolore si allarga (2). E in due casi su dieci accanto c’è anche un nervo (5).</w:t>
      </w:r>
    </w:p>
    <w:bookmarkStart w:id="25" w:name="il-tessuto-che-ha-cambiato-struttura"/>
    <w:p>
      <w:pPr>
        <w:pStyle w:val="Heading3"/>
      </w:pPr>
      <w:r>
        <w:t xml:space="preserve">1. Il tessuto che ha cambiato struttura</w:t>
      </w:r>
    </w:p>
    <w:p>
      <w:pPr>
        <w:pStyle w:val="FirstParagraph"/>
      </w:pPr>
      <w:r>
        <w:rPr>
          <w:b/>
          <w:bCs/>
        </w:rPr>
        <w:t xml:space="preserve">La sequenza.</w:t>
      </w:r>
    </w:p>
    <w:p>
      <w:pPr>
        <w:pStyle w:val="Compact"/>
        <w:numPr>
          <w:ilvl w:val="0"/>
          <w:numId w:val="1013"/>
        </w:numPr>
      </w:pPr>
      <w:r>
        <w:t xml:space="preserve">Il tendine riceve ripetutamente più carico di quanto regga.</w:t>
      </w:r>
    </w:p>
    <w:p>
      <w:pPr>
        <w:pStyle w:val="Compact"/>
        <w:numPr>
          <w:ilvl w:val="0"/>
          <w:numId w:val="1013"/>
        </w:numPr>
      </w:pPr>
      <w:r>
        <w:t xml:space="preserve">La matrice si riorganizza male e il collagene perde l’allineamento parallelo.</w:t>
      </w:r>
    </w:p>
    <w:p>
      <w:pPr>
        <w:pStyle w:val="Compact"/>
        <w:numPr>
          <w:ilvl w:val="0"/>
          <w:numId w:val="1013"/>
        </w:numPr>
      </w:pPr>
      <w:r>
        <w:t xml:space="preserve">Crescono microvasi, e con loro</w:t>
      </w:r>
      <w:r>
        <w:t xml:space="preserve"> </w:t>
      </w:r>
      <w:r>
        <w:rPr>
          <w:b/>
          <w:bCs/>
        </w:rPr>
        <w:t xml:space="preserve">fibre nervose sensitive</w:t>
      </w:r>
      <w:r>
        <w:t xml:space="preserve">, che nel tendine sano sono scarse.</w:t>
      </w:r>
    </w:p>
    <w:p>
      <w:pPr>
        <w:pStyle w:val="Compact"/>
        <w:numPr>
          <w:ilvl w:val="0"/>
          <w:numId w:val="1013"/>
        </w:numPr>
      </w:pPr>
      <w:r>
        <w:t xml:space="preserve">Il tessuto diventa più spesso e meno capace di trasmettere forza:</w:t>
      </w:r>
      <w:r>
        <w:t xml:space="preserve"> </w:t>
      </w:r>
      <w:r>
        <w:rPr>
          <w:i/>
          <w:iCs/>
        </w:rPr>
        <w:t xml:space="preserve">“è ingrossato”</w:t>
      </w:r>
      <w:r>
        <w:t xml:space="preserve"> </w:t>
      </w:r>
      <w:r>
        <w:t xml:space="preserve">non vuol dire</w:t>
      </w:r>
      <w:r>
        <w:t xml:space="preserve"> </w:t>
      </w:r>
      <w:r>
        <w:rPr>
          <w:i/>
          <w:iCs/>
        </w:rPr>
        <w:t xml:space="preserve">“è più forte”</w:t>
      </w:r>
      <w:r>
        <w:t xml:space="preserve">.</w:t>
      </w:r>
    </w:p>
    <w:p>
      <w:pPr>
        <w:pStyle w:val="FirstParagraph"/>
      </w:pPr>
      <w:r>
        <w:t xml:space="preserve">Il dolore viene da un tessuto disorganizzato e riccamente innervato sotto carico, non da una flogosi.</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il quadro istologico e molecolare, con le due fonti per esteso in «Che cos’è davvero» (Millar, 2021, PMID 33414454; Ljung, 1999, PMID 10459762).</w:t>
      </w:r>
      <w:r>
        <w:t xml:space="preserve"> </w:t>
      </w:r>
      <w:r>
        <w:rPr>
          <w:b/>
          <w:bCs/>
        </w:rPr>
        <w:t xml:space="preserve">PROBABILE</w:t>
      </w:r>
      <w:r>
        <w:t xml:space="preserve"> </w:t>
      </w:r>
      <w:r>
        <w:rPr>
          <w:i/>
          <w:iCs/>
        </w:rPr>
        <w:t xml:space="preserve">(razionale forte, prove parziali)</w:t>
      </w:r>
      <w:r>
        <w:t xml:space="preserve"> </w:t>
      </w:r>
      <w:r>
        <w:t xml:space="preserve">che sia quel quadro a generare il dolore di</w:t>
      </w:r>
      <w:r>
        <w:t xml:space="preserve"> </w:t>
      </w:r>
      <w:r>
        <w:rPr>
          <w:i/>
          <w:iCs/>
        </w:rPr>
        <w:t xml:space="preserve">questo</w:t>
      </w:r>
      <w:r>
        <w:t xml:space="preserve"> </w:t>
      </w:r>
      <w:r>
        <w:t xml:space="preserve">paziente.</w:t>
      </w:r>
      <w:r>
        <w:t xml:space="preserve"> </w:t>
      </w:r>
      <w:r>
        <w:rPr>
          <w:b/>
          <w:bCs/>
        </w:rPr>
        <w:t xml:space="preserve">Sullo stesso tendine di persone senza sintomi si trovano reperti che su un referto verrebbero letti come malattia:</w:t>
      </w:r>
      <w:r>
        <w:t xml:space="preserve"> </w:t>
      </w:r>
      <w:r>
        <w:t xml:space="preserve">in 264 volontari asintomatici, Doppler positivo nel</w:t>
      </w:r>
      <w:r>
        <w:t xml:space="preserve"> </w:t>
      </w:r>
      <w:r>
        <w:rPr>
          <w:b/>
          <w:bCs/>
        </w:rPr>
        <w:t xml:space="preserve">9%</w:t>
      </w:r>
      <w:r>
        <w:t xml:space="preserve"> </w:t>
      </w:r>
      <w:r>
        <w:t xml:space="preserve">dei gomiti e speroni ossei dal</w:t>
      </w:r>
      <w:r>
        <w:t xml:space="preserve"> </w:t>
      </w:r>
      <w:r>
        <w:rPr>
          <w:b/>
          <w:bCs/>
        </w:rPr>
        <w:t xml:space="preserve">23% nei ventenni al 74% negli ultrasettantenni</w:t>
      </w:r>
      <w:r>
        <w:t xml:space="preserve"> </w:t>
      </w:r>
      <w:r>
        <w:t xml:space="preserve">(Krogh,</w:t>
      </w:r>
      <w:r>
        <w:t xml:space="preserve"> </w:t>
      </w:r>
      <w:r>
        <w:rPr>
          <w:i/>
          <w:iCs/>
        </w:rPr>
        <w:t xml:space="preserve">Orthop J Sports Med</w:t>
      </w:r>
      <w:r>
        <w:t xml:space="preserve"> </w:t>
      </w:r>
      <w:r>
        <w:t xml:space="preserve">2017, PMID 28540316).</w:t>
      </w:r>
      <w:r>
        <w:t xml:space="preserve"> </w:t>
      </w:r>
      <w:r>
        <w:rPr>
          <w:i/>
          <w:iCs/>
        </w:rPr>
        <w:t xml:space="preserve">Il salto è di popolazione:</w:t>
      </w:r>
      <w:r>
        <w:t xml:space="preserve"> </w:t>
      </w:r>
      <w:r>
        <w:t xml:space="preserve">volontari asintomatici, non pazienti — dice che cosa si può trovare senza dolore, non che cosa il dolore non sia. E il trattamento che ha ridotto di più spessore e vascolarizzazione non è stato migliore sul dolore (Krogh, 2013, PMID 23328738).</w:t>
      </w:r>
    </w:p>
    <w:p>
      <w:pPr>
        <w:pStyle w:val="FirstParagraph"/>
      </w:pPr>
      <w:r>
        <w:rPr>
          <w:b/>
          <w:bCs/>
        </w:rPr>
        <w:t xml:space="preserve">Come si vede addosso al paziente.</w:t>
      </w:r>
      <w:r>
        <w:t xml:space="preserve"> </w:t>
      </w:r>
      <w:r>
        <w:t xml:space="preserve">Dolore preciso alla palpazione, un centimetro distale e anteriore alla punta ossea. Rigidità mattutina che si scioglie muovendo. Ecografia con ispessimento e aree ipoecogene. Storia lunga.</w:t>
      </w:r>
    </w:p>
    <w:p>
      <w:pPr>
        <w:pStyle w:val="BodyText"/>
      </w:pPr>
      <w:r>
        <w:rPr>
          <w:b/>
          <w:bCs/>
        </w:rPr>
        <w:t xml:space="preserve">Il cavo del caricabatterie vicino allo spinotto: si gonfia proprio dove si piega mille volte al giorno, e quel rigonfiamento non è un rinforzo.</w:t>
      </w:r>
    </w:p>
    <w:bookmarkEnd w:id="25"/>
    <w:bookmarkStart w:id="26" w:name="il-sistema-del-dolore-che-si-è-allargato"/>
    <w:p>
      <w:pPr>
        <w:pStyle w:val="Heading3"/>
      </w:pPr>
      <w:r>
        <w:t xml:space="preserve">2. Il sistema del dolore che si è allargato</w:t>
      </w:r>
    </w:p>
    <w:p>
      <w:pPr>
        <w:pStyle w:val="FirstParagraph"/>
      </w:pPr>
      <w:r>
        <w:rPr>
          <w:b/>
          <w:bCs/>
        </w:rPr>
        <w:t xml:space="preserve">La sequenza.</w:t>
      </w:r>
    </w:p>
    <w:p>
      <w:pPr>
        <w:pStyle w:val="Compact"/>
        <w:numPr>
          <w:ilvl w:val="0"/>
          <w:numId w:val="1014"/>
        </w:numPr>
      </w:pPr>
      <w:r>
        <w:t xml:space="preserve">Il dolore locale persiste per settimane.</w:t>
      </w:r>
    </w:p>
    <w:p>
      <w:pPr>
        <w:pStyle w:val="Compact"/>
        <w:numPr>
          <w:ilvl w:val="0"/>
          <w:numId w:val="1014"/>
        </w:numPr>
      </w:pPr>
      <w:r>
        <w:t xml:space="preserve">Sale il guadagno sul lato che</w:t>
      </w:r>
      <w:r>
        <w:t xml:space="preserve"> </w:t>
      </w:r>
      <w:r>
        <w:rPr>
          <w:b/>
          <w:bCs/>
        </w:rPr>
        <w:t xml:space="preserve">amplifica</w:t>
      </w:r>
      <w:r>
        <w:t xml:space="preserve">: lo stesso stimolo fa più male alla decima volta che alla prima.</w:t>
      </w:r>
    </w:p>
    <w:p>
      <w:pPr>
        <w:pStyle w:val="Compact"/>
        <w:numPr>
          <w:ilvl w:val="0"/>
          <w:numId w:val="1014"/>
        </w:numPr>
      </w:pPr>
      <w:r>
        <w:t xml:space="preserve">La soglia a cui una pressione diventa dolore si abbassa, anche sul braccio sano.</w:t>
      </w:r>
    </w:p>
    <w:p>
      <w:pPr>
        <w:pStyle w:val="Compact"/>
        <w:numPr>
          <w:ilvl w:val="0"/>
          <w:numId w:val="1014"/>
        </w:numPr>
      </w:pPr>
      <w:r>
        <w:t xml:space="preserve">Il</w:t>
      </w:r>
      <w:r>
        <w:t xml:space="preserve"> </w:t>
      </w:r>
      <w:r>
        <w:rPr>
          <w:b/>
          <w:bCs/>
        </w:rPr>
        <w:t xml:space="preserve">freno</w:t>
      </w:r>
      <w:r>
        <w:t xml:space="preserve"> </w:t>
      </w:r>
      <w:r>
        <w:t xml:space="preserve">discendente, però, resta reclutabile.</w:t>
      </w:r>
    </w:p>
    <w:p>
      <w:pPr>
        <w:pStyle w:val="FirstParagraph"/>
      </w:pPr>
      <w:r>
        <w:t xml:space="preserve">Queste misure dicono come il sistema tratta il segnale.</w:t>
      </w:r>
      <w:r>
        <w:t xml:space="preserve"> </w:t>
      </w:r>
      <w:r>
        <w:rPr>
          <w:b/>
          <w:bCs/>
        </w:rPr>
        <w:t xml:space="preserve">Non dicono quanto quel paziente sta male.</w:t>
      </w:r>
      <w:r>
        <w:t xml:space="preserve"> </w:t>
      </w:r>
      <w:r>
        <w:t xml:space="preserve">Accanto corre un anello comportamentale: il paziente evita gesti che il tessuto reggerebbe, la capacità scende, e lo stesso gesto costa più dolore.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 misure siano alterate bilateralmente: in meta-analisi il lato</w:t>
      </w:r>
      <w:r>
        <w:t xml:space="preserve"> </w:t>
      </w:r>
      <w:r>
        <w:rPr>
          <w:b/>
          <w:bCs/>
        </w:rPr>
        <w:t xml:space="preserve">non sintomatico</w:t>
      </w:r>
      <w:r>
        <w:t xml:space="preserve"> </w:t>
      </w:r>
      <w:r>
        <w:t xml:space="preserve">mostra tre alterazioni rispetto ai controlli sani. Soglia di pressione ridotta di 144,3 kPa. Soglia al caldo ridotta di 1,2 °C. Soglia al freddo aumentata di 3,1 °C (Heales,</w:t>
      </w:r>
      <w:r>
        <w:t xml:space="preserve"> </w:t>
      </w:r>
      <w:r>
        <w:rPr>
          <w:i/>
          <w:iCs/>
        </w:rPr>
        <w:t xml:space="preserve">Br J Sports Med</w:t>
      </w:r>
      <w:r>
        <w:t xml:space="preserve"> </w:t>
      </w:r>
      <w:r>
        <w:t xml:space="preserve">2014, PMID 24144533).</w:t>
      </w:r>
      <w:r>
        <w:t xml:space="preserve"> </w:t>
      </w:r>
      <w:r>
        <w:rPr>
          <w:b/>
          <w:bCs/>
        </w:rPr>
        <w:t xml:space="preserve">Tutte e tre vanno nella stessa direzione — un sistema più sensibile — anche quando il numero sale:</w:t>
      </w:r>
      <w:r>
        <w:t xml:space="preserve"> </w:t>
      </w:r>
      <w:r>
        <w:t xml:space="preserve">soglia al freddo</w:t>
      </w:r>
      <w:r>
        <w:t xml:space="preserve"> </w:t>
      </w:r>
      <w:r>
        <w:t xml:space="preserve">“aumentata”</w:t>
      </w:r>
      <w:r>
        <w:t xml:space="preserve"> </w:t>
      </w:r>
      <w:r>
        <w:t xml:space="preserve">significa che il freddo diventa doloroso prima.</w:t>
      </w:r>
      <w:r>
        <w:t xml:space="preserve"> </w:t>
      </w:r>
      <w:r>
        <w:rPr>
          <w:b/>
          <w:bCs/>
        </w:rPr>
        <w:t xml:space="preserve">DIMOSTRATO</w:t>
      </w:r>
      <w:r>
        <w:t xml:space="preserve"> </w:t>
      </w:r>
      <w:r>
        <w:t xml:space="preserve">anche l’aumento della sommazione temporale, su 25 pazienti (Bisset,</w:t>
      </w:r>
      <w:r>
        <w:t xml:space="preserve"> </w:t>
      </w:r>
      <w:r>
        <w:rPr>
          <w:i/>
          <w:iCs/>
        </w:rPr>
        <w:t xml:space="preserve">Clin J Pain</w:t>
      </w:r>
      <w:r>
        <w:t xml:space="preserve"> </w:t>
      </w:r>
      <w:r>
        <w:t xml:space="preserve">2018, PMID 29620559). Nello stesso studio</w:t>
      </w:r>
      <w:r>
        <w:t xml:space="preserve"> </w:t>
      </w:r>
      <w:r>
        <w:rPr>
          <w:b/>
          <w:bCs/>
        </w:rPr>
        <w:t xml:space="preserve">non</w:t>
      </w:r>
      <w:r>
        <w:t xml:space="preserve"> </w:t>
      </w:r>
      <w:r>
        <w:t xml:space="preserve">emergono differenze nella modulazione condizionata del dolore, né correlazioni con la gravità clinica.</w:t>
      </w:r>
      <w:r>
        <w:t xml:space="preserve"> </w:t>
      </w:r>
      <w:r>
        <w:rPr>
          <w:b/>
          <w:bCs/>
        </w:rPr>
        <w:t xml:space="preserve">Sull’inibizione discendente i due studi non concordano:</w:t>
      </w:r>
      <w:r>
        <w:t xml:space="preserve"> </w:t>
      </w:r>
      <w:r>
        <w:t xml:space="preserve">un altro lavoro trova un deficit del 24,5% (Lim,</w:t>
      </w:r>
      <w:r>
        <w:t xml:space="preserve"> </w:t>
      </w:r>
      <w:r>
        <w:rPr>
          <w:i/>
          <w:iCs/>
        </w:rPr>
        <w:t xml:space="preserve">Clin J Pain</w:t>
      </w:r>
      <w:r>
        <w:t xml:space="preserve"> </w:t>
      </w:r>
      <w:r>
        <w:t xml:space="preserve">2017, PMID 28060194). Costante è la facilitazione, non il deficit di freno.</w:t>
      </w:r>
      <w:r>
        <w:t xml:space="preserve"> </w:t>
      </w:r>
      <w:r>
        <w:rPr>
          <w:b/>
          <w:bCs/>
        </w:rPr>
        <w:t xml:space="preserve">IPOTESI</w:t>
      </w:r>
      <w:r>
        <w:t xml:space="preserve"> </w:t>
      </w:r>
      <w:r>
        <w:rPr>
          <w:i/>
          <w:iCs/>
        </w:rPr>
        <w:t xml:space="preserve">(meccanismo coerente, nessuno studio)</w:t>
      </w:r>
      <w:r>
        <w:t xml:space="preserve"> </w:t>
      </w:r>
      <w:r>
        <w:t xml:space="preserve">che questo allargamento</w:t>
      </w:r>
      <w:r>
        <w:t xml:space="preserve"> </w:t>
      </w:r>
      <w:r>
        <w:rPr>
          <w:i/>
          <w:iCs/>
        </w:rPr>
        <w:t xml:space="preserve">causi</w:t>
      </w:r>
      <w:r>
        <w:t xml:space="preserve"> </w:t>
      </w:r>
      <w:r>
        <w:t xml:space="preserve">la persistenza; il dato più vicino è prognostico, non causale: la soglia al freddo iniziale è l’unico predittore costante di dolore, disabilità e iperalgesia a due e dodici mesi in 41 pazienti (Coombes,</w:t>
      </w:r>
      <w:r>
        <w:t xml:space="preserve"> </w:t>
      </w:r>
      <w:r>
        <w:rPr>
          <w:i/>
          <w:iCs/>
        </w:rPr>
        <w:t xml:space="preserve">Clin J Pain</w:t>
      </w:r>
      <w:r>
        <w:t xml:space="preserve"> </w:t>
      </w:r>
      <w:r>
        <w:t xml:space="preserve">2015, PMID 24480912).</w:t>
      </w:r>
    </w:p>
    <w:p>
      <w:pPr>
        <w:pStyle w:val="FirstParagraph"/>
      </w:pPr>
      <w:r>
        <w:rPr>
          <w:b/>
          <w:bCs/>
        </w:rPr>
        <w:t xml:space="preserve">Come si vede addosso al paziente.</w:t>
      </w:r>
      <w:r>
        <w:t xml:space="preserve"> </w:t>
      </w:r>
      <w:r>
        <w:t xml:space="preserve">Dolore oltre il territorio del tendine. Fastidio anche al braccio che non fa male, se lo esamini. Tutto il braccio</w:t>
      </w:r>
      <w:r>
        <w:t xml:space="preserve"> </w:t>
      </w:r>
      <w:r>
        <w:t xml:space="preserve">“risponde male”</w:t>
      </w:r>
      <w:r>
        <w:t xml:space="preserve">. Cattiva tolleranza al freddo. Paura del movimento sproporzionata al quadro locale.</w:t>
      </w:r>
    </w:p>
    <w:p>
      <w:pPr>
        <w:pStyle w:val="BodyText"/>
      </w:pPr>
      <w:r>
        <w:rPr>
          <w:b/>
          <w:bCs/>
        </w:rPr>
        <w:t xml:space="preserve">Il sale nell’acqua della pasta: ne basta poco perché tutta la pentola cambi sapore, e non lo togli togliendolo da un punto.</w:t>
      </w:r>
    </w:p>
    <w:p>
      <w:pPr>
        <w:pStyle w:val="BodyText"/>
      </w:pPr>
      <w:r>
        <w:rPr>
          <w:b/>
          <w:bCs/>
        </w:rPr>
        <w:t xml:space="preserve">La conseguenza operativa è una sola, e tiene insieme mezzo documento.</w:t>
      </w:r>
      <w:r>
        <w:t xml:space="preserve"> </w:t>
      </w:r>
      <w:r>
        <w:t xml:space="preserve">Non alimentare la facilitazione, cioè non dare carico sopra la soglia individuale. E reclutare il freno, che in questi pazienti risponde (Muhsen, 2020, PMID 32079999).</w:t>
      </w:r>
    </w:p>
    <w:bookmarkEnd w:id="26"/>
    <w:bookmarkStart w:id="27" w:name="X26c73180f9b4a7ee87e40f79fea1a989ebdebab"/>
    <w:p>
      <w:pPr>
        <w:pStyle w:val="Heading3"/>
      </w:pPr>
      <w:r>
        <w:t xml:space="preserve">3. Il carico che arriva sempre nello stesso punto</w:t>
      </w:r>
    </w:p>
    <w:p>
      <w:pPr>
        <w:pStyle w:val="FirstParagraph"/>
      </w:pPr>
      <w:r>
        <w:rPr>
          <w:b/>
          <w:bCs/>
        </w:rPr>
        <w:t xml:space="preserve">È il più frequente, ed è terzo perché la sua etichetta è la più composita.</w:t>
      </w:r>
    </w:p>
    <w:p>
      <w:pPr>
        <w:pStyle w:val="BodyText"/>
      </w:pPr>
      <w:r>
        <w:rPr>
          <w:b/>
          <w:bCs/>
        </w:rPr>
        <w:t xml:space="preserve">La sequenza.</w:t>
      </w:r>
    </w:p>
    <w:p>
      <w:pPr>
        <w:pStyle w:val="Compact"/>
        <w:numPr>
          <w:ilvl w:val="0"/>
          <w:numId w:val="1015"/>
        </w:numPr>
      </w:pPr>
      <w:r>
        <w:t xml:space="preserve">Il paziente ripete un gesto di presa con forza molte volte al giorno: cacciavite, forbici, pinze, mouse, racchetta.</w:t>
      </w:r>
    </w:p>
    <w:p>
      <w:pPr>
        <w:pStyle w:val="Compact"/>
        <w:numPr>
          <w:ilvl w:val="0"/>
          <w:numId w:val="1015"/>
        </w:numPr>
      </w:pPr>
      <w:r>
        <w:t xml:space="preserve">Ogni presa recluta gli estensori in stabilizzazione, con la stessa intensità e nella stessa posizione.</w:t>
      </w:r>
    </w:p>
    <w:p>
      <w:pPr>
        <w:pStyle w:val="Compact"/>
        <w:numPr>
          <w:ilvl w:val="0"/>
          <w:numId w:val="1015"/>
        </w:numPr>
      </w:pPr>
      <w:r>
        <w:t xml:space="preserve">A gomito esteso e avambraccio pronato arriva anche la compressione contro il capitello.</w:t>
      </w:r>
    </w:p>
    <w:p>
      <w:pPr>
        <w:pStyle w:val="Compact"/>
        <w:numPr>
          <w:ilvl w:val="0"/>
          <w:numId w:val="1015"/>
        </w:numPr>
      </w:pPr>
      <w:r>
        <w:t xml:space="preserve">Senza finestre di scarico la capacità scende sotto la richiesta, e il conto arriva sempre nello stesso centimetro quadrato.</w:t>
      </w:r>
    </w:p>
    <w:p>
      <w:pPr>
        <w:pStyle w:val="BlockText"/>
      </w:pPr>
      <w:r>
        <w:rPr>
          <w:b/>
          <w:bCs/>
        </w:rPr>
        <w:t xml:space="preserve">Quanto è solido:</w:t>
      </w:r>
      <w:r>
        <w:t xml:space="preserve"> </w:t>
      </w:r>
      <w:r>
        <w:t xml:space="preserve">l’etichetta si spezza in tre.</w:t>
      </w:r>
      <w:r>
        <w:t xml:space="preserve"> </w:t>
      </w:r>
      <w:r>
        <w:rPr>
          <w:b/>
          <w:bCs/>
        </w:rPr>
        <w:t xml:space="preserve">DIMOSTRATO</w:t>
      </w:r>
      <w:r>
        <w:t xml:space="preserve"> </w:t>
      </w:r>
      <w:r>
        <w:rPr>
          <w:i/>
          <w:iCs/>
        </w:rPr>
        <w:t xml:space="preserve">(studi sull’uomo, solidi)</w:t>
      </w:r>
      <w:r>
        <w:t xml:space="preserve"> </w:t>
      </w:r>
      <w:r>
        <w:t xml:space="preserve">l’associazione fra esposizione e condizione: su 4.783 persone, ripetizione più forza portano un rischio quintuplicato (Shiri, 2006, PMID 16968862).</w:t>
      </w:r>
      <w:r>
        <w:t xml:space="preserve"> </w:t>
      </w:r>
      <w:r>
        <w:rPr>
          <w:b/>
          <w:bCs/>
        </w:rPr>
        <w:t xml:space="preserve">PROBABILE</w:t>
      </w:r>
      <w:r>
        <w:t xml:space="preserve"> </w:t>
      </w:r>
      <w:r>
        <w:rPr>
          <w:i/>
          <w:iCs/>
        </w:rPr>
        <w:t xml:space="preserve">(razionale forte, prove parziali)</w:t>
      </w:r>
      <w:r>
        <w:t xml:space="preserve"> </w:t>
      </w:r>
      <w:r>
        <w:t xml:space="preserve">che la compressione contro il capitello sia un fattore di carico distinto dalla trazione: c’è una dimostrazione anatomica diretta su 85 gomiti, ma di cadavere, e nessuno ha misurato in vivo quanto pesi sul sintomo (Bunata, 2007, PMID 17768192).</w:t>
      </w:r>
      <w:r>
        <w:t xml:space="preserve"> </w:t>
      </w:r>
      <w:r>
        <w:rPr>
          <w:b/>
          <w:bCs/>
        </w:rPr>
        <w:t xml:space="preserve">IPOTESI</w:t>
      </w:r>
      <w:r>
        <w:t xml:space="preserve"> </w:t>
      </w:r>
      <w:r>
        <w:rPr>
          <w:i/>
          <w:iCs/>
        </w:rPr>
        <w:t xml:space="preserve">(meccanismo coerente, nessuno studio)</w:t>
      </w:r>
      <w:r>
        <w:t xml:space="preserve"> </w:t>
      </w:r>
      <w:r>
        <w:t xml:space="preserve">che modificare il gesto di</w:t>
      </w:r>
      <w:r>
        <w:t xml:space="preserve"> </w:t>
      </w:r>
      <w:r>
        <w:rPr>
          <w:i/>
          <w:iCs/>
        </w:rPr>
        <w:t xml:space="preserve">questo</w:t>
      </w:r>
      <w:r>
        <w:t xml:space="preserve"> </w:t>
      </w:r>
      <w:r>
        <w:t xml:space="preserve">paziente sposti il suo dolore: nessuno l’ha randomizzato come intervento isolato.</w:t>
      </w:r>
    </w:p>
    <w:p>
      <w:pPr>
        <w:pStyle w:val="FirstParagraph"/>
      </w:pPr>
      <w:r>
        <w:rPr>
          <w:b/>
          <w:bCs/>
        </w:rPr>
        <w:t xml:space="preserve">Come si vede addosso al paziente.</w:t>
      </w:r>
      <w:r>
        <w:t xml:space="preserve"> </w:t>
      </w:r>
      <w:r>
        <w:t xml:space="preserve">Il gesto lo racconta lui, se glielo chiedi in modo concreto: non</w:t>
      </w:r>
      <w:r>
        <w:t xml:space="preserve"> </w:t>
      </w:r>
      <w:r>
        <w:rPr>
          <w:i/>
          <w:iCs/>
        </w:rPr>
        <w:t xml:space="preserve">“che lavoro fai”</w:t>
      </w:r>
      <w:r>
        <w:t xml:space="preserve">, ma</w:t>
      </w:r>
      <w:r>
        <w:t xml:space="preserve"> </w:t>
      </w:r>
      <w:r>
        <w:rPr>
          <w:i/>
          <w:iCs/>
        </w:rPr>
        <w:t xml:space="preserve">“fammi vedere come tieni il cacciavite”</w:t>
      </w:r>
      <w:r>
        <w:t xml:space="preserve">. Dolore che cresce nell’arco della giornata, massimo la sera. Peggioramento netto sollevando a palmo in giù. Miglioramento in vacanza, e ricomparsa entro giorni dal rientro.</w:t>
      </w:r>
    </w:p>
    <w:p>
      <w:pPr>
        <w:pStyle w:val="BodyText"/>
      </w:pPr>
      <w:r>
        <w:rPr>
          <w:b/>
          <w:bCs/>
        </w:rPr>
        <w:t xml:space="preserve">Cosa guardi mentre te lo mostra.</w:t>
      </w:r>
      <w:r>
        <w:t xml:space="preserve"> </w:t>
      </w:r>
      <w:r>
        <w:t xml:space="preserve">Quattro osservabili.</w:t>
      </w:r>
    </w:p>
    <w:p>
      <w:pPr>
        <w:pStyle w:val="Compact"/>
        <w:numPr>
          <w:ilvl w:val="0"/>
          <w:numId w:val="1016"/>
        </w:numPr>
      </w:pPr>
      <w:r>
        <w:rPr>
          <w:b/>
          <w:bCs/>
        </w:rPr>
        <w:t xml:space="preserve">La forza è proporzionata all’oggetto?</w:t>
      </w:r>
      <w:r>
        <w:t xml:space="preserve"> </w:t>
      </w:r>
      <w:r>
        <w:t xml:space="preserve">Chi stringe la tazzina come la borsa della spesa carica molto più del necessario.</w:t>
      </w:r>
    </w:p>
    <w:p>
      <w:pPr>
        <w:pStyle w:val="Compact"/>
        <w:numPr>
          <w:ilvl w:val="0"/>
          <w:numId w:val="1016"/>
        </w:numPr>
      </w:pPr>
      <w:r>
        <w:rPr>
          <w:b/>
          <w:bCs/>
        </w:rPr>
        <w:t xml:space="preserve">Presa mantenuta o presa ripetuta?</w:t>
      </w:r>
      <w:r>
        <w:t xml:space="preserve"> </w:t>
      </w:r>
      <w:r>
        <w:t xml:space="preserve">Volante, guinzaglio e telefono da una parte; cacciavite, forbici e pinze dall’altra. Sono due esposizioni diverse.</w:t>
      </w:r>
    </w:p>
    <w:p>
      <w:pPr>
        <w:pStyle w:val="Compact"/>
        <w:numPr>
          <w:ilvl w:val="0"/>
          <w:numId w:val="1016"/>
        </w:numPr>
      </w:pPr>
      <w:r>
        <w:rPr>
          <w:b/>
          <w:bCs/>
        </w:rPr>
        <w:t xml:space="preserve">In che posizione stanno gomito, avambraccio e polso?</w:t>
      </w:r>
      <w:r>
        <w:t xml:space="preserve"> </w:t>
      </w:r>
      <w:r>
        <w:t xml:space="preserve">Lì si decide quanta compressione arriva al tendine.</w:t>
      </w:r>
    </w:p>
    <w:p>
      <w:pPr>
        <w:pStyle w:val="Compact"/>
        <w:numPr>
          <w:ilvl w:val="0"/>
          <w:numId w:val="1016"/>
        </w:numPr>
      </w:pPr>
      <w:r>
        <w:rPr>
          <w:b/>
          <w:bCs/>
        </w:rPr>
        <w:t xml:space="preserve">Che diametro ha l’impugnatura?</w:t>
      </w:r>
      <w:r>
        <w:t xml:space="preserve"> </w:t>
      </w:r>
      <w:r>
        <w:t xml:space="preserve">Un manico troppo sottile costa più forza a parità di risultato.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la griglia. Il pezzo dimostrato sta a monte, ed è l’esposizione combinata ripetizione-forza (Shiri, 2006, PMID 16968862).</w:t>
      </w:r>
    </w:p>
    <w:p>
      <w:pPr>
        <w:pStyle w:val="FirstParagraph"/>
      </w:pPr>
      <w:r>
        <w:rPr>
          <w:b/>
          <w:bCs/>
        </w:rPr>
        <w:t xml:space="preserve">La borsa della spesa portata sempre sullo stesso dito: nessuno lo fa per un’ora, si cambia mano. Il gomito è il dito che non ha potuto cambiare.</w:t>
      </w:r>
    </w:p>
    <w:bookmarkEnd w:id="27"/>
    <w:bookmarkStart w:id="28" w:name="la-catena-a-monte-che-non-partecipa"/>
    <w:p>
      <w:pPr>
        <w:pStyle w:val="Heading3"/>
      </w:pPr>
      <w:r>
        <w:t xml:space="preserve">4. La catena a monte che non partecipa</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rPr>
          <w:b/>
          <w:bCs/>
        </w:rPr>
        <w:t xml:space="preserve">La sequenza.</w:t>
      </w:r>
    </w:p>
    <w:p>
      <w:pPr>
        <w:pStyle w:val="Compact"/>
        <w:numPr>
          <w:ilvl w:val="0"/>
          <w:numId w:val="1017"/>
        </w:numPr>
      </w:pPr>
      <w:r>
        <w:t xml:space="preserve">La spalla ha meno escursione, oppure la scapola ha meno forza e resistenza.</w:t>
      </w:r>
    </w:p>
    <w:p>
      <w:pPr>
        <w:pStyle w:val="Compact"/>
        <w:numPr>
          <w:ilvl w:val="0"/>
          <w:numId w:val="1017"/>
        </w:numPr>
      </w:pPr>
      <w:r>
        <w:t xml:space="preserve">Il braccio arriva all’oggetto più lontano, più ruotato, meno sostenuto.</w:t>
      </w:r>
    </w:p>
    <w:p>
      <w:pPr>
        <w:pStyle w:val="Compact"/>
        <w:numPr>
          <w:ilvl w:val="0"/>
          <w:numId w:val="1017"/>
        </w:numPr>
      </w:pPr>
      <w:r>
        <w:t xml:space="preserve">La mano compensa aumentando la forza di presa.</w:t>
      </w:r>
    </w:p>
    <w:p>
      <w:pPr>
        <w:pStyle w:val="Compact"/>
        <w:numPr>
          <w:ilvl w:val="0"/>
          <w:numId w:val="1017"/>
        </w:numPr>
      </w:pPr>
      <w:r>
        <w:t xml:space="preserve">Gli estensori lavorano di più, e il carico sul tendine cresce senza che il paziente abbia cambiato attività.</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 alterazioni ci siano: forza e resistenza ridotte dei tre stabilizzatori scapolari contro controlli appaiati —</w:t>
      </w:r>
      <w:r>
        <w:t xml:space="preserve"> </w:t>
      </w:r>
      <w:r>
        <w:rPr>
          <w:b/>
          <w:bCs/>
        </w:rPr>
        <w:t xml:space="preserve">differenze che gli stessi autori giudicano piccole e di rilevanza clinica potenzialmente limitata</w:t>
      </w:r>
      <w:r>
        <w:t xml:space="preserve"> </w:t>
      </w:r>
      <w:r>
        <w:t xml:space="preserve">(Day, 2015, PMID 25579691); debolezza globale di mano, polso e spalla che</w:t>
      </w:r>
      <w:r>
        <w:t xml:space="preserve"> </w:t>
      </w:r>
      <w:r>
        <w:rPr>
          <w:b/>
          <w:bCs/>
        </w:rPr>
        <w:t xml:space="preserve">gli autori attribuiscono a disuso, evitamento e inibizione antalgica, non a un difetto strutturale</w:t>
      </w:r>
      <w:r>
        <w:t xml:space="preserve"> </w:t>
      </w:r>
      <w:r>
        <w:t xml:space="preserve">(Alizadehkhaiyat,</w:t>
      </w:r>
      <w:r>
        <w:t xml:space="preserve"> </w:t>
      </w:r>
      <w:r>
        <w:rPr>
          <w:i/>
          <w:iCs/>
        </w:rPr>
        <w:t xml:space="preserve">J Orthop Res</w:t>
      </w:r>
      <w:r>
        <w:t xml:space="preserve"> </w:t>
      </w:r>
      <w:r>
        <w:t xml:space="preserve">2007, PMID 17600835); associazione forte con la patologia della cuffia (Titchener, 2013, PMID 22490998).</w:t>
      </w:r>
      <w:r>
        <w:t xml:space="preserve"> </w:t>
      </w:r>
      <w:r>
        <w:rPr>
          <w:b/>
          <w:bCs/>
        </w:rPr>
        <w:t xml:space="preserve">IPOTESI</w:t>
      </w:r>
      <w:r>
        <w:t xml:space="preserve"> </w:t>
      </w:r>
      <w:r>
        <w:rPr>
          <w:i/>
          <w:iCs/>
        </w:rPr>
        <w:t xml:space="preserve">(meccanismo coerente, nessuno studio)</w:t>
      </w:r>
      <w:r>
        <w:t xml:space="preserve"> </w:t>
      </w:r>
      <w:r>
        <w:t xml:space="preserve">che sia causa e non conseguenza — gli autori di Day lo scrivono a lettera:</w:t>
      </w:r>
      <w:r>
        <w:t xml:space="preserve"> </w:t>
      </w:r>
      <w:r>
        <w:rPr>
          <w:i/>
          <w:iCs/>
        </w:rPr>
        <w:t xml:space="preserve">la debolezza scapolare potrebbe essere un risultato della condizione.</w:t>
      </w:r>
      <w:r>
        <w:t xml:space="preserve"> </w:t>
      </w:r>
      <w:r>
        <w:rPr>
          <w:b/>
          <w:bCs/>
        </w:rPr>
        <w:t xml:space="preserve">E qui con una prova contraria che va nominata:</w:t>
      </w:r>
      <w:r>
        <w:t xml:space="preserve"> </w:t>
      </w:r>
      <w:r>
        <w:t xml:space="preserve">un solo randomizzato ha aggiunto il rinforzo scapolare al trattamento locale, in 32 pazienti.</w:t>
      </w:r>
      <w:r>
        <w:t xml:space="preserve"> </w:t>
      </w:r>
      <w:r>
        <w:rPr>
          <w:b/>
          <w:bCs/>
        </w:rPr>
        <w:t xml:space="preserve">Nessuna differenza fra i gruppi</w:t>
      </w:r>
      <w:r>
        <w:t xml:space="preserve">, né alla dimissione né a 6 e 12 mesi (Day,</w:t>
      </w:r>
      <w:r>
        <w:t xml:space="preserve"> </w:t>
      </w:r>
      <w:r>
        <w:rPr>
          <w:i/>
          <w:iCs/>
        </w:rPr>
        <w:t xml:space="preserve">J Sport Rehabil</w:t>
      </w:r>
      <w:r>
        <w:t xml:space="preserve"> </w:t>
      </w:r>
      <w:r>
        <w:t xml:space="preserve">2021, PMID 33440342).</w:t>
      </w:r>
    </w:p>
    <w:p>
      <w:pPr>
        <w:pStyle w:val="FirstParagraph"/>
      </w:pPr>
      <w:r>
        <w:rPr>
          <w:b/>
          <w:bCs/>
        </w:rPr>
        <w:t xml:space="preserve">Come si vede addosso al paziente.</w:t>
      </w:r>
      <w:r>
        <w:t xml:space="preserve"> </w:t>
      </w:r>
      <w:r>
        <w:t xml:space="preserve">Elevazione o rotazione di spalla asimmetrica. Scapola che si stacca o si alza precocemente. Il paziente porta l’oggetto al corpo invece di portare il corpo all’oggetto. Storia di dolore di spalla, anche vecchia.</w:t>
      </w:r>
    </w:p>
    <w:p>
      <w:pPr>
        <w:pStyle w:val="BodyText"/>
      </w:pPr>
      <w:r>
        <w:rPr>
          <w:b/>
          <w:bCs/>
        </w:rPr>
        <w:t xml:space="preserve">Il divano portato in due, con uno dei due che tiene solo la punta.</w:t>
      </w:r>
    </w:p>
    <w:bookmarkEnd w:id="28"/>
    <w:bookmarkStart w:id="29" w:name="il-nervo-che-passa-lì-accanto"/>
    <w:p>
      <w:pPr>
        <w:pStyle w:val="Heading3"/>
      </w:pPr>
      <w:r>
        <w:t xml:space="preserve">5. Il nervo che passa lì accanto</w:t>
      </w:r>
    </w:p>
    <w:p>
      <w:pPr>
        <w:pStyle w:val="FirstParagraph"/>
      </w:pPr>
      <w:r>
        <w:rPr>
          <w:b/>
          <w:bCs/>
        </w:rPr>
        <w:t xml:space="preserve">La sequenza.</w:t>
      </w:r>
    </w:p>
    <w:p>
      <w:pPr>
        <w:pStyle w:val="Compact"/>
        <w:numPr>
          <w:ilvl w:val="0"/>
          <w:numId w:val="1018"/>
        </w:numPr>
      </w:pPr>
      <w:r>
        <w:t xml:space="preserve">Nel compartimento estensore-supinatore lo spazio attorno al ramo profondo del radiale si riduce.</w:t>
      </w:r>
    </w:p>
    <w:p>
      <w:pPr>
        <w:pStyle w:val="Compact"/>
        <w:numPr>
          <w:ilvl w:val="0"/>
          <w:numId w:val="1018"/>
        </w:numPr>
      </w:pPr>
      <w:r>
        <w:t xml:space="preserve">Il nervo diventa</w:t>
      </w:r>
      <w:r>
        <w:t xml:space="preserve"> </w:t>
      </w:r>
      <w:r>
        <w:rPr>
          <w:b/>
          <w:bCs/>
        </w:rPr>
        <w:t xml:space="preserve">meccanosensibile</w:t>
      </w:r>
      <w:r>
        <w:t xml:space="preserve">: risponde con dolore alle posizioni che lo mettono in tensione. Il paziente lo dice così:</w:t>
      </w:r>
      <w:r>
        <w:t xml:space="preserve"> </w:t>
      </w:r>
      <w:r>
        <w:t xml:space="preserve">“certi movimenti me lo accendono”</w:t>
      </w:r>
      <w:r>
        <w:t xml:space="preserve">.</w:t>
      </w:r>
    </w:p>
    <w:p>
      <w:pPr>
        <w:pStyle w:val="Compact"/>
        <w:numPr>
          <w:ilvl w:val="0"/>
          <w:numId w:val="1018"/>
        </w:numPr>
      </w:pPr>
      <w:r>
        <w:t xml:space="preserve">Compaiono caratteristiche che il tendine non spiega: bruciore, irradiazione distale, formicolio.</w:t>
      </w:r>
    </w:p>
    <w:p>
      <w:pPr>
        <w:pStyle w:val="FirstParagraph"/>
      </w:pPr>
      <w:r>
        <w:t xml:space="preserve">E il quadro coesiste con la tendinopatia invece di sostituirla. Per questo confonde.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la coesistenza: sofferenza elettrofisiologica dell’interosseo posteriore nel 19,4% di 62 pazienti, contro l’1,9% di 54 controlli (Çilingiroğlu, 2026, PMID 40853587).</w:t>
      </w:r>
      <w:r>
        <w:t xml:space="preserve"> </w:t>
      </w:r>
      <w:r>
        <w:rPr>
          <w:b/>
          <w:bCs/>
        </w:rPr>
        <w:t xml:space="preserve">PROBABILE</w:t>
      </w:r>
      <w:r>
        <w:t xml:space="preserve"> </w:t>
      </w:r>
      <w:r>
        <w:rPr>
          <w:i/>
          <w:iCs/>
        </w:rPr>
        <w:t xml:space="preserve">(razionale forte, prove parziali)</w:t>
      </w:r>
      <w:r>
        <w:t xml:space="preserve"> </w:t>
      </w:r>
      <w:r>
        <w:t xml:space="preserve">che il test neurodinamico del radiale risponda più spesso nei pazienti che nei sani: un solo caso-controllo, 31 contro 31, con esito riferito dal paziente (Berglund, 2008, PMID 17942362).</w:t>
      </w:r>
      <w:r>
        <w:t xml:space="preserve"> </w:t>
      </w:r>
      <w:r>
        <w:rPr>
          <w:b/>
          <w:bCs/>
        </w:rPr>
        <w:t xml:space="preserve">IPOTESI</w:t>
      </w:r>
      <w:r>
        <w:t xml:space="preserve"> </w:t>
      </w:r>
      <w:r>
        <w:rPr>
          <w:i/>
          <w:iCs/>
        </w:rPr>
        <w:t xml:space="preserve">(meccanismo coerente, nessuno studio)</w:t>
      </w:r>
      <w:r>
        <w:t xml:space="preserve"> </w:t>
      </w:r>
      <w:r>
        <w:t xml:space="preserve">che sia il nervo a generare il dolore quando coesiste: nello stesso studio positivi e negativi</w:t>
      </w:r>
      <w:r>
        <w:t xml:space="preserve"> </w:t>
      </w:r>
      <w:r>
        <w:rPr>
          <w:b/>
          <w:bCs/>
        </w:rPr>
        <w:t xml:space="preserve">non differivano</w:t>
      </w:r>
      <w:r>
        <w:t xml:space="preserve"> </w:t>
      </w:r>
      <w:r>
        <w:t xml:space="preserve">su test provocativi, escursione, forza di presa e punteggi di dolore.</w:t>
      </w:r>
    </w:p>
    <w:p>
      <w:pPr>
        <w:pStyle w:val="FirstParagraph"/>
      </w:pPr>
      <w:r>
        <w:rPr>
          <w:b/>
          <w:bCs/>
        </w:rPr>
        <w:t xml:space="preserve">Come si vede addosso al paziente.</w:t>
      </w:r>
      <w:r>
        <w:t xml:space="preserve"> </w:t>
      </w:r>
      <w:r>
        <w:t xml:space="preserve">Formicolio o mano che si addormenta. Dolore che scende oltre il terzo prossimale dell’avambraccio. Dolore notturno che non segue il carico del giorno. Un quadro che non risponde a niente.</w:t>
      </w:r>
    </w:p>
    <w:p>
      <w:pPr>
        <w:pStyle w:val="BodyText"/>
      </w:pPr>
      <w:r>
        <w:rPr>
          <w:b/>
          <w:bCs/>
        </w:rPr>
        <w:t xml:space="preserve">Due cavi nella stessa canalina: quando c’è un guasto, la canalina non ti dice quale dei due.</w:t>
      </w:r>
    </w:p>
    <w:bookmarkEnd w:id="29"/>
    <w:bookmarkStart w:id="31" w:name="X19718c0283c325783683061a04b791d23c55115"/>
    <w:p>
      <w:pPr>
        <w:pStyle w:val="Heading3"/>
      </w:pPr>
      <w:r>
        <w:t xml:space="preserve">I tre nomi che organizzano i cinque meccanismi</w:t>
      </w:r>
    </w:p>
    <w:p>
      <w:pPr>
        <w:pStyle w:val="FirstParagraph"/>
      </w:pPr>
      <w:r>
        <w:t xml:space="preserve">I meccanismi dicono</w:t>
      </w:r>
      <w:r>
        <w:t xml:space="preserve"> </w:t>
      </w:r>
      <w:r>
        <w:rPr>
          <w:i/>
          <w:iCs/>
        </w:rPr>
        <w:t xml:space="preserve">cosa</w:t>
      </w:r>
      <w:r>
        <w:t xml:space="preserve"> </w:t>
      </w:r>
      <w:r>
        <w:t xml:space="preserve">si rompe. Tre nomi dicono</w:t>
      </w:r>
      <w:r>
        <w:t xml:space="preserve"> </w:t>
      </w:r>
      <w:r>
        <w:rPr>
          <w:i/>
          <w:iCs/>
        </w:rPr>
        <w:t xml:space="preserve">che tipo di dolore</w:t>
      </w:r>
      <w:r>
        <w:t xml:space="preserve"> </w:t>
      </w:r>
      <w:r>
        <w:t xml:space="preserve">ne esce, e cambiano ciò che devi escludere.</w:t>
      </w:r>
    </w:p>
    <w:p>
      <w:pPr>
        <w:pStyle w:val="Compact"/>
        <w:numPr>
          <w:ilvl w:val="0"/>
          <w:numId w:val="1019"/>
        </w:numPr>
      </w:pPr>
      <w:r>
        <w:rPr>
          <w:b/>
          <w:bCs/>
        </w:rPr>
        <w:t xml:space="preserve">Nocicettivo</w:t>
      </w:r>
      <w:r>
        <w:t xml:space="preserve"> </w:t>
      </w:r>
      <w:r>
        <w:t xml:space="preserve">— proporzionato al carico, riproducibile con la provocazione meccanica. È il quadro dei meccanismi 1 e 3.</w:t>
      </w:r>
    </w:p>
    <w:p>
      <w:pPr>
        <w:pStyle w:val="Compact"/>
        <w:numPr>
          <w:ilvl w:val="0"/>
          <w:numId w:val="1019"/>
        </w:numPr>
      </w:pPr>
      <w:r>
        <w:rPr>
          <w:b/>
          <w:bCs/>
        </w:rPr>
        <w:t xml:space="preserve">Nociplastico</w:t>
      </w:r>
      <w:r>
        <w:t xml:space="preserve"> </w:t>
      </w:r>
      <w:r>
        <w:t xml:space="preserve">— nasce da come il sistema nervoso elabora il segnale, senza lesione somatosensoriale. I criteri chiedono almeno tre mesi, distribuzione regionale e ipersensibilità evocabile (Kosek,</w:t>
      </w:r>
      <w:r>
        <w:t xml:space="preserve"> </w:t>
      </w:r>
      <w:r>
        <w:rPr>
          <w:i/>
          <w:iCs/>
        </w:rPr>
        <w:t xml:space="preserve">Pain</w:t>
      </w:r>
      <w:r>
        <w:t xml:space="preserve"> </w:t>
      </w:r>
      <w:r>
        <w:t xml:space="preserve">2021, PMID 33974577). È la firma del meccanismo 2, quasi sempre</w:t>
      </w:r>
      <w:r>
        <w:t xml:space="preserve"> </w:t>
      </w:r>
      <w:r>
        <w:rPr>
          <w:b/>
          <w:bCs/>
        </w:rPr>
        <w:t xml:space="preserve">mescolato</w:t>
      </w:r>
      <w:r>
        <w:t xml:space="preserve"> </w:t>
      </w:r>
      <w:r>
        <w:t xml:space="preserve">al nocicettivo.</w:t>
      </w:r>
    </w:p>
    <w:p>
      <w:pPr>
        <w:pStyle w:val="Compact"/>
        <w:numPr>
          <w:ilvl w:val="0"/>
          <w:numId w:val="1019"/>
        </w:numPr>
      </w:pPr>
      <w:r>
        <w:rPr>
          <w:b/>
          <w:bCs/>
        </w:rPr>
        <w:t xml:space="preserve">Neuropatico</w:t>
      </w:r>
      <w:r>
        <w:t xml:space="preserve"> </w:t>
      </w:r>
      <w:r>
        <w:t xml:space="preserve">— richiede per definizione una lesione somatosensoriale. È il sospetto del meccanismo 5, ed è la ragione per cui la misura che decide è elettrofisiologica.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i criteri, che sono un consenso internazionale.</w:t>
      </w:r>
      <w:r>
        <w:t xml:space="preserve"> </w:t>
      </w:r>
      <w:r>
        <w:rPr>
          <w:b/>
          <w:bCs/>
        </w:rPr>
        <w:t xml:space="preserve">RAGIONAMENTO</w:t>
      </w:r>
      <w:r>
        <w:t xml:space="preserve"> </w:t>
      </w:r>
      <w:r>
        <w:rPr>
          <w:i/>
          <w:iCs/>
        </w:rPr>
        <w:t xml:space="preserve">(cornice clinica, non una prova)</w:t>
      </w:r>
      <w:r>
        <w:t xml:space="preserve"> </w:t>
      </w:r>
      <w:r>
        <w:t xml:space="preserve">assegnare</w:t>
      </w:r>
      <w:r>
        <w:t xml:space="preserve"> </w:t>
      </w:r>
      <w:r>
        <w:rPr>
          <w:i/>
          <w:iCs/>
        </w:rPr>
        <w:t xml:space="preserve">questo</w:t>
      </w:r>
      <w:r>
        <w:t xml:space="preserve"> </w:t>
      </w:r>
      <w:r>
        <w:t xml:space="preserve">paziente a una delle tre: si scrive come ipotesi e si rivede.</w:t>
      </w:r>
    </w:p>
    <w:p>
      <w:pPr>
        <w:pStyle w:val="FirstParagraph"/>
      </w:pPr>
      <w:r>
        <w:rPr>
          <w:b/>
          <w:bCs/>
        </w:rPr>
        <w:t xml:space="preserve">Le tre cose da ricordare, più una</w:t>
      </w:r>
    </w:p>
    <w:p>
      <w:pPr>
        <w:pStyle w:val="Compact"/>
        <w:numPr>
          <w:ilvl w:val="0"/>
          <w:numId w:val="1020"/>
        </w:numPr>
      </w:pPr>
      <w:r>
        <w:t xml:space="preserve">Il meccanismo più solido è il tessuto; il più frequente è il carico; quello che decide la prognosi è il sistema del dolore allargato.</w:t>
      </w:r>
    </w:p>
    <w:p>
      <w:pPr>
        <w:pStyle w:val="Compact"/>
        <w:numPr>
          <w:ilvl w:val="0"/>
          <w:numId w:val="1020"/>
        </w:numPr>
      </w:pPr>
      <w:r>
        <w:t xml:space="preserve">La catena prossimale è misurata alterata, e l’unico randomizzato che ne ha aggiunto il rinforzo non ha trovato differenze: è un bersaglio di ragionamento, non una leva dimostrata.</w:t>
      </w:r>
    </w:p>
    <w:p>
      <w:pPr>
        <w:pStyle w:val="Compact"/>
        <w:numPr>
          <w:ilvl w:val="0"/>
          <w:numId w:val="1020"/>
        </w:numPr>
      </w:pPr>
      <w:r>
        <w:t xml:space="preserve">Il nervo coesiste in due casi su dieci e nessun test clinico lo separa: la sua presenza si sospetta, non si esclude.</w:t>
      </w:r>
    </w:p>
    <w:p>
      <w:pPr>
        <w:pStyle w:val="Heading2"/>
        <w:numPr>
          <w:ilvl w:val="0"/>
          <w:numId w:val="1020"/>
        </w:numPr>
      </w:pPr>
      <w:bookmarkStart w:id="30" w:name="X1a4c36a811a97bd62f25f94f370cfd457c0b745"/>
      <w:r>
        <w:rPr>
          <w:b/>
          <w:bCs/>
        </w:rPr>
        <w:t xml:space="preserve">Perché ci sei tu.</w:t>
      </w:r>
      <w:r>
        <w:t xml:space="preserve"> </w:t>
      </w:r>
      <w:r>
        <w:rPr>
          <w:b/>
          <w:bCs/>
        </w:rPr>
        <w:t xml:space="preserve">Gli stessi autori che hanno documentato la componente immunitaria scrivono che le terapie mirate su quei mediatori non esistono ancora</w:t>
      </w:r>
      <w:r>
        <w:t xml:space="preserve"> </w:t>
      </w:r>
      <w:r>
        <w:t xml:space="preserve">(Millar, 2017, PMID 28119539).</w:t>
      </w:r>
      <w:r>
        <w:t xml:space="preserve"> </w:t>
      </w:r>
      <w:r>
        <w:rPr>
          <w:b/>
          <w:bCs/>
        </w:rPr>
        <w:t xml:space="preserve">Per te:</w:t>
      </w:r>
      <w:r>
        <w:t xml:space="preserve"> </w:t>
      </w:r>
      <w:r>
        <w:t xml:space="preserve">nessun farmaco cura il meccanismo, e la variabile centrale — il carico — non si somministra in compresse. Questo ti autorizza a occupare quello spazio con il lavoro sul carico e sul gesto. Non ti autorizza a dire che il farmaco non serve: serve a un’altra cosa, e la decide chi lo prescrive.</w:t>
      </w:r>
      <w:bookmarkEnd w:id="30"/>
    </w:p>
    <w:bookmarkEnd w:id="31"/>
    <w:bookmarkEnd w:id="32"/>
    <w:bookmarkStart w:id="33"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portano lo stesso nome sul referto, e su due di loro il tuo spazio è stretto.</w:t>
      </w:r>
    </w:p>
    <w:p>
      <w:pPr>
        <w:pStyle w:val="FirstParagraph"/>
      </w:pPr>
      <w:r>
        <w:t xml:space="preserve">I sottotipi sono</w:t>
      </w:r>
      <w:r>
        <w:t xml:space="preserve"> </w:t>
      </w:r>
      <w:r>
        <w:rPr>
          <w:b/>
          <w:bCs/>
        </w:rPr>
        <w:t xml:space="preserve">pattern</w:t>
      </w:r>
      <w:r>
        <w:t xml:space="preserve">, non diagnosi: si riconoscono dalla storia e dall’esame.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Reattivo recente</w:t>
            </w:r>
          </w:p>
        </w:tc>
        <w:tc>
          <w:tcPr/>
          <w:p>
            <w:pPr>
              <w:pStyle w:val="Compact"/>
            </w:pPr>
            <w:r>
              <w:t xml:space="preserve">Picco di carico, meno di 6 settimane</w:t>
            </w:r>
          </w:p>
        </w:tc>
        <w:tc>
          <w:tcPr/>
          <w:p>
            <w:pPr>
              <w:pStyle w:val="Compact"/>
            </w:pPr>
            <w:r>
              <w:t xml:space="preserve">Carico e gesto, fase reattiva</w:t>
            </w:r>
          </w:p>
        </w:tc>
        <w:tc>
          <w:tcPr/>
          <w:p>
            <w:pPr>
              <w:pStyle w:val="Compact"/>
            </w:pPr>
            <w:r>
              <w:t xml:space="preserve">Molto</w:t>
            </w:r>
          </w:p>
        </w:tc>
      </w:tr>
      <w:tr>
        <w:tc>
          <w:tcPr/>
          <w:p>
            <w:pPr>
              <w:pStyle w:val="Compact"/>
            </w:pPr>
            <w:r>
              <w:t xml:space="preserve">Persistente da carico</w:t>
            </w:r>
          </w:p>
        </w:tc>
        <w:tc>
          <w:tcPr/>
          <w:p>
            <w:pPr>
              <w:pStyle w:val="Compact"/>
            </w:pPr>
            <w:r>
              <w:t xml:space="preserve">Mesi, gesto invariato</w:t>
            </w:r>
          </w:p>
        </w:tc>
        <w:tc>
          <w:tcPr/>
          <w:p>
            <w:pPr>
              <w:pStyle w:val="Compact"/>
            </w:pPr>
            <w:r>
              <w:t xml:space="preserve">Carico e gesto, fase persistente</w:t>
            </w:r>
          </w:p>
        </w:tc>
        <w:tc>
          <w:tcPr/>
          <w:p>
            <w:pPr>
              <w:pStyle w:val="Compact"/>
            </w:pPr>
            <w:r>
              <w:t xml:space="preserve">Molto</w:t>
            </w:r>
          </w:p>
        </w:tc>
      </w:tr>
      <w:tr>
        <w:tc>
          <w:tcPr/>
          <w:p>
            <w:pPr>
              <w:pStyle w:val="Compact"/>
            </w:pPr>
            <w:r>
              <w:t xml:space="preserve">Dolore allargato</w:t>
            </w:r>
          </w:p>
        </w:tc>
        <w:tc>
          <w:tcPr/>
          <w:p>
            <w:pPr>
              <w:pStyle w:val="Compact"/>
            </w:pPr>
            <w:r>
              <w:t xml:space="preserve">Bilaterale, freddo, paura</w:t>
            </w:r>
          </w:p>
        </w:tc>
        <w:tc>
          <w:tcPr/>
          <w:p>
            <w:pPr>
              <w:pStyle w:val="Compact"/>
            </w:pPr>
            <w:r>
              <w:t xml:space="preserve">Sistema del dolore</w:t>
            </w:r>
          </w:p>
        </w:tc>
        <w:tc>
          <w:tcPr/>
          <w:p>
            <w:pPr>
              <w:pStyle w:val="Compact"/>
            </w:pPr>
            <w:r>
              <w:t xml:space="preserve">Abbastanza — leve diverse, non meno</w:t>
            </w:r>
          </w:p>
        </w:tc>
      </w:tr>
      <w:tr>
        <w:tc>
          <w:tcPr/>
          <w:p>
            <w:pPr>
              <w:pStyle w:val="Compact"/>
            </w:pPr>
            <w:r>
              <w:t xml:space="preserve">Componente nervosa</w:t>
            </w:r>
          </w:p>
        </w:tc>
        <w:tc>
          <w:tcPr/>
          <w:p>
            <w:pPr>
              <w:pStyle w:val="Compact"/>
            </w:pPr>
            <w:r>
              <w:t xml:space="preserve">Formicolio, dolore distale</w:t>
            </w:r>
          </w:p>
        </w:tc>
        <w:tc>
          <w:tcPr/>
          <w:p>
            <w:pPr>
              <w:pStyle w:val="Compact"/>
            </w:pPr>
            <w:r>
              <w:t xml:space="preserve">Nervo radiale</w:t>
            </w:r>
          </w:p>
        </w:tc>
        <w:tc>
          <w:tcPr/>
          <w:p>
            <w:pPr>
              <w:pStyle w:val="Compact"/>
            </w:pPr>
            <w:r>
              <w:t xml:space="preserve">Invio, e lavoro accanto</w:t>
            </w:r>
          </w:p>
        </w:tc>
      </w:tr>
      <w:tr>
        <w:tc>
          <w:tcPr/>
          <w:p>
            <w:pPr>
              <w:pStyle w:val="Compact"/>
            </w:pPr>
            <w:r>
              <w:t xml:space="preserve">Resistente oltre sei mesi</w:t>
            </w:r>
          </w:p>
        </w:tc>
        <w:tc>
          <w:tcPr/>
          <w:p>
            <w:pPr>
              <w:pStyle w:val="Compact"/>
            </w:pPr>
            <w:r>
              <w:t xml:space="preserve">Infiltrazioni ripetute, nessuna risposta</w:t>
            </w:r>
          </w:p>
        </w:tc>
        <w:tc>
          <w:tcPr/>
          <w:p>
            <w:pPr>
              <w:pStyle w:val="Compact"/>
            </w:pPr>
            <w:r>
              <w:t xml:space="preserve">Tessuto</w:t>
            </w:r>
          </w:p>
        </w:tc>
        <w:tc>
          <w:tcPr/>
          <w:p>
            <w:pPr>
              <w:pStyle w:val="Compact"/>
            </w:pPr>
            <w:r>
              <w:t xml:space="preserve">Invio, e lavoro accanto</w:t>
            </w:r>
          </w:p>
        </w:tc>
      </w:tr>
    </w:tbl>
    <w:p>
      <w:pPr>
        <w:pStyle w:val="BodyText"/>
      </w:pPr>
      <w:r>
        <w:rPr>
          <w:b/>
          <w:bCs/>
        </w:rPr>
        <w:t xml:space="preserve">Reattivo recente.</w:t>
      </w:r>
      <w:r>
        <w:t xml:space="preserve"> </w:t>
      </w:r>
      <w:r>
        <w:t xml:space="preserve">Compare dopo un picco identificabile: un trasloco, una potatura, la ripresa del padel. L’errore tipico è</w:t>
      </w:r>
      <w:r>
        <w:t xml:space="preserve"> </w:t>
      </w:r>
      <w:r>
        <w:rPr>
          <w:b/>
          <w:bCs/>
        </w:rPr>
        <w:t xml:space="preserve">per eccesso</w:t>
      </w:r>
      <w:r>
        <w:t xml:space="preserve">: se lo tratti come un persistente, con progressione di carico, peggiora. La maggioranza guarirebbe comunque, e il tuo valore è impedire che la storia diventi lunga.</w:t>
      </w:r>
    </w:p>
    <w:p>
      <w:pPr>
        <w:pStyle w:val="BodyText"/>
      </w:pPr>
      <w:r>
        <w:rPr>
          <w:b/>
          <w:bCs/>
        </w:rPr>
        <w:t xml:space="preserve">Persistente da carico non gestito.</w:t>
      </w:r>
      <w:r>
        <w:t xml:space="preserve"> </w:t>
      </w:r>
      <w:r>
        <w:t xml:space="preserve">È il più frequente in studio. Ed è il sottotipo su cui la letteratura di questo documento è quasi tutta costruita: i pazienti dei trial di Bisset, Smidt e Coombes avevano tutti almeno sei settimane di sintomi.</w:t>
      </w:r>
    </w:p>
    <w:p>
      <w:pPr>
        <w:pStyle w:val="BodyText"/>
      </w:pPr>
      <w:r>
        <w:rPr>
          <w:b/>
          <w:bCs/>
        </w:rPr>
        <w:t xml:space="preserve">Con dolore allargato.</w:t>
      </w:r>
      <w:r>
        <w:t xml:space="preserve"> </w:t>
      </w:r>
      <w:r>
        <w:t xml:space="preserve">Il numero che conta è prognostico: la soglia al freddo iniziale predice l’esito a un anno (Coombes, 2015, PMID 24480912).</w:t>
      </w:r>
      <w:r>
        <w:t xml:space="preserve"> </w:t>
      </w:r>
      <w:r>
        <w:rPr>
          <w:b/>
          <w:bCs/>
        </w:rPr>
        <w:t xml:space="preserve">Non è un capolinea, ed è importante che il paziente non lo legga come tale:</w:t>
      </w:r>
      <w:r>
        <w:t xml:space="preserve"> </w:t>
      </w:r>
      <w:r>
        <w:t xml:space="preserve">l’unico dato randomizzato su una leva relazionale è positivo (Muhsen,</w:t>
      </w:r>
      <w:r>
        <w:t xml:space="preserve"> </w:t>
      </w:r>
      <w:r>
        <w:rPr>
          <w:i/>
          <w:iCs/>
        </w:rPr>
        <w:t xml:space="preserve">Clin J Pain</w:t>
      </w:r>
      <w:r>
        <w:t xml:space="preserve"> </w:t>
      </w:r>
      <w:r>
        <w:t xml:space="preserve">2020, PMID 32079999; disegno e limiti in «La lettura osteopatica»). Su questo paziente hai</w:t>
      </w:r>
      <w:r>
        <w:t xml:space="preserve"> </w:t>
      </w:r>
      <w:r>
        <w:rPr>
          <w:b/>
          <w:bCs/>
        </w:rPr>
        <w:t xml:space="preserve">più</w:t>
      </w:r>
      <w:r>
        <w:t xml:space="preserve"> </w:t>
      </w:r>
      <w:r>
        <w:t xml:space="preserve">da fare, non meno: solo con leve diverse. È la porta che non si apre spingendo più forte, ma girando la chiave.</w:t>
      </w:r>
    </w:p>
    <w:p>
      <w:pPr>
        <w:pStyle w:val="BodyText"/>
      </w:pPr>
      <w:r>
        <w:rPr>
          <w:b/>
          <w:bCs/>
        </w:rPr>
        <w:t xml:space="preserve">Con componente nervosa.</w:t>
      </w:r>
      <w:r>
        <w:t xml:space="preserve"> </w:t>
      </w:r>
      <w:r>
        <w:t xml:space="preserve">Il tuo spazio comincia dal riconoscere e mandare, perché</w:t>
      </w:r>
      <w:r>
        <w:t xml:space="preserve"> </w:t>
      </w:r>
      <w:r>
        <w:rPr>
          <w:b/>
          <w:bCs/>
        </w:rPr>
        <w:t xml:space="preserve">la misura che decide è elettrofisiologica</w:t>
      </w:r>
      <w:r>
        <w:t xml:space="preserve">. Ma non finisce lì. Mentre il canale medico è aperto, lavori su quello che hai trovato: carico sotto soglia, gesto, catena a monte, attivazione. E dichiari in cartella che il sintomo distale non è il tuo bersaglio.</w:t>
      </w:r>
    </w:p>
    <w:p>
      <w:pPr>
        <w:pStyle w:val="BodyText"/>
      </w:pPr>
      <w:r>
        <w:rPr>
          <w:b/>
          <w:bCs/>
        </w:rPr>
        <w:t xml:space="preserve">Resistente oltre sei mesi, con infiltrazioni ripetute alle spalle.</w:t>
      </w:r>
      <w:r>
        <w:t xml:space="preserve"> </w:t>
      </w:r>
      <w:r>
        <w:t xml:space="preserve">Qui va detto al paziente che esiste un ramo del percorso che non è il nostro.</w:t>
      </w:r>
      <w:r>
        <w:t xml:space="preserve"> </w:t>
      </w:r>
      <w:r>
        <w:rPr>
          <w:b/>
          <w:bCs/>
        </w:rPr>
        <w:t xml:space="preserve">E va detto anche che non è il paziente su cui hai meno prove: è quello su cui ne hai di più.</w:t>
      </w:r>
      <w:r>
        <w:t xml:space="preserve"> </w:t>
      </w:r>
      <w:r>
        <w:t xml:space="preserve">I trial che reggono «Cosa dice la scienza» e «Cosa può fare il paziente da solo» arruolavano cronici (Karanasios, 2021, PMID 33148599). E va detto il resto: nell’unico confronto fra chirurgia e chirurgia finta,</w:t>
      </w:r>
      <w:r>
        <w:t xml:space="preserve"> </w:t>
      </w:r>
      <w:r>
        <w:rPr>
          <w:b/>
          <w:bCs/>
        </w:rPr>
        <w:t xml:space="preserve">entrambi i gruppi sono migliorati senza differenze fra loro</w:t>
      </w:r>
      <w:r>
        <w:t xml:space="preserve"> </w:t>
      </w:r>
      <w:r>
        <w:t xml:space="preserve">(Kroslak e Murrell, 2018, PMID 29498885; per esteso in «Cosa dice la scienza»).</w:t>
      </w:r>
    </w:p>
    <w:p>
      <w:pPr>
        <w:pStyle w:val="BlockText"/>
      </w:pPr>
      <w:r>
        <w:rPr>
          <w:b/>
          <w:bCs/>
        </w:rPr>
        <w:t xml:space="preserve">Condizioni spesso associate:</w:t>
      </w:r>
      <w:r>
        <w:t xml:space="preserve"> </w:t>
      </w:r>
      <w:r>
        <w:t xml:space="preserve">con dolore di spalla o quadro di cuffia, vedi la Bibbia delle</w:t>
      </w:r>
      <w:r>
        <w:t xml:space="preserve"> </w:t>
      </w:r>
      <w:r>
        <w:rPr>
          <w:b/>
          <w:bCs/>
        </w:rPr>
        <w:t xml:space="preserve">tendiniti</w:t>
      </w:r>
      <w:r>
        <w:t xml:space="preserve">, che copre il tessuto tendineo come famiglia e da cui questa Bibbia prende la fisiologia del carico. Con sintomi cervicali in territorio radicolare, vedi</w:t>
      </w:r>
      <w:r>
        <w:t xml:space="preserve"> </w:t>
      </w:r>
      <w:r>
        <w:rPr>
          <w:b/>
          <w:bCs/>
        </w:rPr>
        <w:t xml:space="preserve">cervicalgia</w:t>
      </w:r>
      <w:r>
        <w:t xml:space="preserve"> </w:t>
      </w:r>
      <w:r>
        <w:t xml:space="preserve">e</w:t>
      </w:r>
      <w:r>
        <w:t xml:space="preserve"> </w:t>
      </w:r>
      <w:r>
        <w:rPr>
          <w:b/>
          <w:bCs/>
        </w:rPr>
        <w:t xml:space="preserve">cervicobrachialgia</w:t>
      </w:r>
      <w:r>
        <w:t xml:space="preserve">: condividono il rachide cervicale come distretto e la sensibilizzazione come meccanismo.</w:t>
      </w:r>
    </w:p>
    <w:p>
      <w:pPr>
        <w:pStyle w:val="FirstParagraph"/>
      </w:pPr>
      <w:r>
        <w:rPr>
          <w:b/>
          <w:bCs/>
        </w:rPr>
        <w:t xml:space="preserve">Le tre cose da ricordare, più una</w:t>
      </w:r>
    </w:p>
    <w:p>
      <w:pPr>
        <w:pStyle w:val="Compact"/>
        <w:numPr>
          <w:ilvl w:val="0"/>
          <w:numId w:val="1021"/>
        </w:numPr>
      </w:pPr>
      <w:r>
        <w:t xml:space="preserve">Il reattivo recente si peggiora con la progressione, il persistente si peggiora con l’attesa: distinguerli è la prima decisione.</w:t>
      </w:r>
    </w:p>
    <w:p>
      <w:pPr>
        <w:pStyle w:val="Compact"/>
        <w:numPr>
          <w:ilvl w:val="0"/>
          <w:numId w:val="1021"/>
        </w:numPr>
      </w:pPr>
      <w:r>
        <w:t xml:space="preserve">Il paziente con dolore allargato ha bisogno di leve diverse, non di meno trattamento.</w:t>
      </w:r>
    </w:p>
    <w:p>
      <w:pPr>
        <w:pStyle w:val="Compact"/>
        <w:numPr>
          <w:ilvl w:val="0"/>
          <w:numId w:val="1021"/>
        </w:numPr>
      </w:pPr>
      <w:r>
        <w:t xml:space="preserve">Due sottotipi su cinque richiedono un invio, e va detto alla prima seduta: l’invio non chiude il tuo lavoro, lo affianca.</w:t>
      </w:r>
    </w:p>
    <w:p>
      <w:pPr>
        <w:pStyle w:val="Compact"/>
        <w:numPr>
          <w:ilvl w:val="0"/>
          <w:numId w:val="1021"/>
        </w:numPr>
      </w:pPr>
      <w:r>
        <w:rPr>
          <w:b/>
          <w:bCs/>
        </w:rPr>
        <w:t xml:space="preserve">Perché ci sei tu.</w:t>
      </w:r>
      <w:r>
        <w:t xml:space="preserve"> </w:t>
      </w:r>
      <w:r>
        <w:t xml:space="preserve">L’associazione più forte in quasi cinquemila casi appaiati non è con il lavoro né con lo sport: è con la</w:t>
      </w:r>
      <w:r>
        <w:t xml:space="preserve"> </w:t>
      </w:r>
      <w:r>
        <w:rPr>
          <w:b/>
          <w:bCs/>
        </w:rPr>
        <w:t xml:space="preserve">patologia della cuffia dei rotatori, rischio quasi cinque volte maggiore</w:t>
      </w:r>
      <w:r>
        <w:t xml:space="preserve"> </w:t>
      </w:r>
      <w:r>
        <w:t xml:space="preserve">(Titchener, 2013, PMID 22490998).</w:t>
      </w:r>
      <w:r>
        <w:t xml:space="preserve"> </w:t>
      </w:r>
      <w:r>
        <w:rPr>
          <w:b/>
          <w:bCs/>
        </w:rPr>
        <w:t xml:space="preserve">Per te:</w:t>
      </w:r>
      <w:r>
        <w:t xml:space="preserve"> </w:t>
      </w:r>
      <w:r>
        <w:t xml:space="preserve">la spalla entra in ogni prima valutazione, e la sua asimmetria è un dato da scrivere. Questo ti autorizza a esaminare e trattare un distretto che il percorso standard non guarda. Non ti autorizza a dire al paziente che la spalla ha causato il gomito: quella misura è un’associazione, e l’unico randomizzato che ha aggiunto lavoro scapolare non ha trovato differenze.</w:t>
      </w:r>
    </w:p>
    <w:p>
      <w:r>
        <w:pict>
          <v:rect style="width:0;height:1.5pt" o:hralign="center" o:hrstd="t" o:hr="t"/>
        </w:pict>
      </w:r>
    </w:p>
    <w:bookmarkEnd w:id="33"/>
    <w:bookmarkStart w:id="40"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su cinque portano prove vere, uno porta un razionale forte, e due vanno dichiarati per quello che sono.</w:t>
      </w:r>
    </w:p>
    <w:bookmarkStart w:id="34" w:name="biomeccanico-strutturale"/>
    <w:p>
      <w:pPr>
        <w:pStyle w:val="Heading3"/>
      </w:pPr>
      <w:r>
        <w:t xml:space="preserve">Biomeccanico-Strutturale</w:t>
      </w:r>
    </w:p>
    <w:p>
      <w:pPr>
        <w:pStyle w:val="FirstParagraph"/>
      </w:pPr>
      <w:r>
        <w:rPr>
          <w:b/>
          <w:bCs/>
        </w:rPr>
        <w:t xml:space="preserve">Cosa governa qui.</w:t>
      </w:r>
      <w:r>
        <w:t xml:space="preserve"> </w:t>
      </w:r>
      <w:r>
        <w:t xml:space="preserve">Governa come la forza arriva al tendine: posizione di gomito e avambraccio nella presa, escursione di spalla, scapola, radio-ulnare. Cioè il terzo meccanismo e il quarto.</w:t>
      </w:r>
    </w:p>
    <w:p>
      <w:pPr>
        <w:pStyle w:val="BodyText"/>
      </w:pPr>
      <w:r>
        <w:rPr>
          <w:b/>
          <w:bCs/>
        </w:rPr>
        <w:t xml:space="preserve">I segnali che pesa in questo paziente.</w:t>
      </w:r>
      <w:r>
        <w:t xml:space="preserve"> </w:t>
      </w:r>
      <w:r>
        <w:t xml:space="preserve">Asimmetria di escursione di spalla o di rotazione dell’avambraccio. Peggioramento netto a gomito esteso e avambraccio pronato. Un gesto lavorativo sempre nella stessa posizione. Dolore che risponde subito a un cambio di posizione del polso durante la presa.</w:t>
      </w:r>
    </w:p>
    <w:p>
      <w:pPr>
        <w:pStyle w:val="BlockText"/>
      </w:pPr>
      <w:r>
        <w:rPr>
          <w:b/>
          <w:bCs/>
        </w:rPr>
        <w:t xml:space="preserve">Quanto è solido:</w:t>
      </w:r>
      <w:r>
        <w:t xml:space="preserve"> </w:t>
      </w:r>
      <w:r>
        <w:t xml:space="preserve">l’etichetta si spezza in tre.</w:t>
      </w:r>
    </w:p>
    <w:p>
      <w:pPr>
        <w:pStyle w:val="BlockText"/>
      </w:pPr>
      <w:r>
        <w:rPr>
          <w:b/>
          <w:bCs/>
        </w:rPr>
        <w:t xml:space="preserve">DIMOSTRATO</w:t>
      </w:r>
      <w:r>
        <w:t xml:space="preserve"> </w:t>
      </w:r>
      <w:r>
        <w:rPr>
          <w:i/>
          <w:iCs/>
        </w:rPr>
        <w:t xml:space="preserve">(studi sull’uomo, solidi)</w:t>
      </w:r>
      <w:r>
        <w:t xml:space="preserve"> </w:t>
      </w:r>
      <w:r>
        <w:t xml:space="preserve">l’effetto</w:t>
      </w:r>
      <w:r>
        <w:t xml:space="preserve"> </w:t>
      </w:r>
      <w:r>
        <w:rPr>
          <w:b/>
          <w:bCs/>
        </w:rPr>
        <w:t xml:space="preserve">immediato</w:t>
      </w:r>
      <w:r>
        <w:t xml:space="preserve"> </w:t>
      </w:r>
      <w:r>
        <w:t xml:space="preserve">della tecnica manuale contro placebo e controllo (Paungmali, 2003, PMID 12665408; disegni nel modello Neurologico).</w:t>
      </w:r>
    </w:p>
    <w:p>
      <w:pPr>
        <w:pStyle w:val="BlockText"/>
      </w:pPr>
      <w:r>
        <w:rPr>
          <w:b/>
          <w:bCs/>
        </w:rPr>
        <w:t xml:space="preserve">PROBABILE</w:t>
      </w:r>
      <w:r>
        <w:t xml:space="preserve"> </w:t>
      </w:r>
      <w:r>
        <w:rPr>
          <w:i/>
          <w:iCs/>
        </w:rPr>
        <w:t xml:space="preserve">(razionale forte, prove parziali)</w:t>
      </w:r>
      <w:r>
        <w:t xml:space="preserve"> </w:t>
      </w:r>
      <w:r>
        <w:t xml:space="preserve">che le mobilizzazioni articolari spostino dolore e presa lungo un ciclo, con effetti piccoli e differenziati per tecnica (Lucado, 2019, PMID 29705077; le quattro dimensioni d’effetto chiudono «Perché le mani possono cambiare qualcosa»). La Cochrane più recente, però, colloca quel beneficio</w:t>
      </w:r>
      <w:r>
        <w:t xml:space="preserve"> </w:t>
      </w:r>
      <w:r>
        <w:rPr>
          <w:b/>
          <w:bCs/>
        </w:rPr>
        <w:t xml:space="preserve">sotto la soglia di rilevanza clinica</w:t>
      </w:r>
      <w:r>
        <w:t xml:space="preserve">, nel confronto con un intervento minimo. Non è mantenuto oltre il fine trattamento, e la certezza è bassa (Wallis, 2024, PMID 38802121; cifre in «Cosa dice la scienza»).</w:t>
      </w:r>
    </w:p>
    <w:p>
      <w:pPr>
        <w:pStyle w:val="BlockText"/>
      </w:pPr>
      <w:r>
        <w:rPr>
          <w:b/>
          <w:bCs/>
        </w:rPr>
        <w:t xml:space="preserve">IPOTESI</w:t>
      </w:r>
      <w:r>
        <w:t xml:space="preserve"> </w:t>
      </w:r>
      <w:r>
        <w:rPr>
          <w:i/>
          <w:iCs/>
        </w:rPr>
        <w:t xml:space="preserve">(meccanismo coerente, nessuno studio)</w:t>
      </w:r>
      <w:r>
        <w:t xml:space="preserve"> </w:t>
      </w:r>
      <w:r>
        <w:t xml:space="preserve">che l’effetto passi dalla correzione di un difetto meccanico: gli studi misurano un esito, non una via.</w:t>
      </w:r>
    </w:p>
    <w:p>
      <w:pPr>
        <w:pStyle w:val="BlockText"/>
      </w:pPr>
      <w:r>
        <w:rPr>
          <w:b/>
          <w:bCs/>
        </w:rPr>
        <w:t xml:space="preserve">Attenzione.</w:t>
      </w:r>
      <w:r>
        <w:t xml:space="preserve"> </w:t>
      </w:r>
      <w:r>
        <w:t xml:space="preserve">La</w:t>
      </w:r>
      <w:r>
        <w:t xml:space="preserve"> </w:t>
      </w:r>
      <w:r>
        <w:rPr>
          <w:b/>
          <w:bCs/>
        </w:rPr>
        <w:t xml:space="preserve">manipolazione di Mill</w:t>
      </w:r>
      <w:r>
        <w:t xml:space="preserve"> </w:t>
      </w:r>
      <w:r>
        <w:t xml:space="preserve">è una spinta rapida a fine corsa di estensione di gomito, avambraccio pronato e polso flesso. È la stessa posizione in cui questa Bibbia descrive la compressione dell’ECRB contro il capitello.</w:t>
      </w:r>
    </w:p>
    <w:p>
      <w:pPr>
        <w:pStyle w:val="BlockText"/>
      </w:pPr>
      <w:r>
        <w:t xml:space="preserve">Non è la tecnica del sottotipo resistente con infiltrazioni ripetute alle spalle, dove il collaterale laterale può essere già insufficiente: 12 casi su 92 epicondiliti resistenti hanno richiesto una riparazione del collaterale radiale. Tutti e 12 avevano una media di 3,4 infiltrazioni in 18 mesi, contro 1,2 nei casi stabili (Moon,</w:t>
      </w:r>
      <w:r>
        <w:t xml:space="preserve"> </w:t>
      </w:r>
      <w:r>
        <w:rPr>
          <w:i/>
          <w:iCs/>
        </w:rPr>
        <w:t xml:space="preserve">J Clin Med</w:t>
      </w:r>
      <w:r>
        <w:t xml:space="preserve"> </w:t>
      </w:r>
      <w:r>
        <w:t xml:space="preserve">2025, PMID 41010677).</w:t>
      </w:r>
    </w:p>
    <w:p>
      <w:pPr>
        <w:pStyle w:val="BlockText"/>
      </w:pPr>
      <w:r>
        <w:t xml:space="preserve">La meta-analisi da cui viene lo 0,47 non riporta eventi avversi, e l’assenza di dati non è un profilo di sicurezza. Un fine corsa che riproduce scatto o cedimento in rotazione è una bandiera rossa, e da lì si esce.</w:t>
      </w:r>
    </w:p>
    <w:p>
      <w:pPr>
        <w:pStyle w:val="FirstParagraph"/>
      </w:pPr>
      <w:r>
        <w:rPr>
          <w:b/>
          <w:bCs/>
        </w:rPr>
        <w:t xml:space="preserve">Il collo e la spalla hanno anche una direzione prognostica.</w:t>
      </w:r>
      <w:r>
        <w:t xml:space="preserve"> </w:t>
      </w:r>
      <w:r>
        <w:t xml:space="preserve">349 pazienti sono stati seguiti dopo due randomizzati in cure primarie. Il dolore cervicale concomitante</w:t>
      </w:r>
      <w:r>
        <w:t xml:space="preserve"> </w:t>
      </w:r>
      <w:r>
        <w:rPr>
          <w:b/>
          <w:bCs/>
        </w:rPr>
        <w:t xml:space="preserve">predice</w:t>
      </w:r>
      <w:r>
        <w:t xml:space="preserve"> </w:t>
      </w:r>
      <w:r>
        <w:t xml:space="preserve">un dolore peggiore a dodici mesi. Il dolore di spalla predice l’esito a un mese (Smidt,</w:t>
      </w:r>
      <w:r>
        <w:t xml:space="preserve"> </w:t>
      </w:r>
      <w:r>
        <w:rPr>
          <w:i/>
          <w:iCs/>
        </w:rPr>
        <w:t xml:space="preserve">J Rheumatol</w:t>
      </w:r>
      <w:r>
        <w:t xml:space="preserve"> </w:t>
      </w:r>
      <w:r>
        <w:t xml:space="preserve">2006, PMID 16881095). Predice, non causa: l’ombrello aperto per strada annuncia la pioggia, non la fa cadere.</w:t>
      </w:r>
    </w:p>
    <w:bookmarkEnd w:id="34"/>
    <w:bookmarkStart w:id="35" w:name="respiratorio-circolatorio"/>
    <w:p>
      <w:pPr>
        <w:pStyle w:val="Heading3"/>
      </w:pPr>
      <w:r>
        <w:t xml:space="preserve">Respiratorio-Circolatorio</w:t>
      </w:r>
    </w:p>
    <w:p>
      <w:pPr>
        <w:pStyle w:val="FirstParagraph"/>
      </w:pPr>
      <w:r>
        <w:rPr>
          <w:b/>
          <w:bCs/>
        </w:rPr>
        <w:t xml:space="preserve">Cosa governa qui.</w:t>
      </w:r>
      <w:r>
        <w:t xml:space="preserve"> </w:t>
      </w:r>
      <w:r>
        <w:t xml:space="preserve">Niente di misurato su questo distretto, e nessun meccanismo in proprio. Gabbia toracica, diaframma e circolo dell’arto superiore sono attori anatomici del modello, non bersagli di lavoro su questa condizione.</w:t>
      </w:r>
    </w:p>
    <w:p>
      <w:pPr>
        <w:pStyle w:val="BodyText"/>
      </w:pPr>
      <w:r>
        <w:rPr>
          <w:b/>
          <w:bCs/>
        </w:rPr>
        <w:t xml:space="preserve">I segnali che pesa in questo paziente: nessuno, e questa riga serve a dire dove vanno letti.</w:t>
      </w:r>
      <w:r>
        <w:t xml:space="preserve"> </w:t>
      </w:r>
      <w:r>
        <w:t xml:space="preserve">Su questo distretto non esiste un segnale che appartenga a questo modello. Il segnale che gli somiglia va attribuito altrove.</w:t>
      </w:r>
      <w:r>
        <w:t xml:space="preserve"> </w:t>
      </w:r>
      <w:r>
        <w:rPr>
          <w:b/>
          <w:bCs/>
        </w:rPr>
        <w:t xml:space="preserve">Il respiro corto, il sospiro e il torace che non si muove, in questo paziente, appartengono al livello di attivazione.</w:t>
      </w:r>
      <w:r>
        <w:t xml:space="preserve"> </w:t>
      </w:r>
      <w:r>
        <w:t xml:space="preserve">È il modello Comportamentale, con concorso del Neurologico. Non è una meccanica ventilatoria, che qui non ha misura.</w:t>
      </w:r>
    </w:p>
    <w:p>
      <w:pPr>
        <w:pStyle w:val="BodyText"/>
      </w:pPr>
      <w:r>
        <w:rPr>
          <w:b/>
          <w:bCs/>
        </w:rPr>
        <w:t xml:space="preserve">Restrizione di campo, dichiarata.</w:t>
      </w:r>
      <w:r>
        <w:t xml:space="preserve"> </w:t>
      </w:r>
      <w:r>
        <w:t xml:space="preserve">La metà circolatoria</w:t>
      </w:r>
      <w:r>
        <w:t xml:space="preserve"> </w:t>
      </w:r>
      <w:r>
        <w:rPr>
          <w:b/>
          <w:bCs/>
        </w:rPr>
        <w:t xml:space="preserve">non viene invocata</w:t>
      </w:r>
      <w:r>
        <w:t xml:space="preserve">: nessuno ha quantificato il drenaggio dell’avambraccio prima e dopo un trattamento manuale, e la neovascolarizzazione ecografica è un aumento di vasi, non una stasi. La metà respiratoria non ha letteratura su questa condizione: il respiro lento è studiato su altri distretti, e qui resterebbe un ponte senza appoggio. Il modello resta uno dei cinque; è il suo campo su questo distretto a essere ristretto.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qualunque effetto circolatorio o respiratorio locale su questa condizione. L’unico dato adiacente va nel verso opposto: il trattamento che ha ridotto l’attività Doppler non è stato migliore sul dolore (Krogh, 2013, PMID 23328738).</w:t>
      </w:r>
    </w:p>
    <w:bookmarkEnd w:id="35"/>
    <w:bookmarkStart w:id="36" w:name="neurologico"/>
    <w:p>
      <w:pPr>
        <w:pStyle w:val="Heading3"/>
      </w:pPr>
      <w:r>
        <w:t xml:space="preserve">Neurologico</w:t>
      </w:r>
    </w:p>
    <w:p>
      <w:pPr>
        <w:pStyle w:val="FirstParagraph"/>
      </w:pPr>
      <w:r>
        <w:rPr>
          <w:b/>
          <w:bCs/>
        </w:rPr>
        <w:t xml:space="preserve">Cosa governa qui.</w:t>
      </w:r>
      <w:r>
        <w:t xml:space="preserve"> </w:t>
      </w:r>
      <w:r>
        <w:t xml:space="preserve">Governa la modulazione del dolore e la meccanosensibilità del nervo radiale: il secondo meccanismo e il quinto.</w:t>
      </w:r>
    </w:p>
    <w:p>
      <w:pPr>
        <w:pStyle w:val="BodyText"/>
      </w:pPr>
      <w:r>
        <w:rPr>
          <w:b/>
          <w:bCs/>
        </w:rPr>
        <w:t xml:space="preserve">Gli attori.</w:t>
      </w:r>
      <w:r>
        <w:t xml:space="preserve"> </w:t>
      </w:r>
      <w:r>
        <w:t xml:space="preserve">Vie inibitorie discendenti, interosseo posteriore, radici e rachide cervicale. E l’</w:t>
      </w:r>
      <w:r>
        <w:rPr>
          <w:b/>
          <w:bCs/>
        </w:rPr>
        <w:t xml:space="preserve">efferenza simpatica per come è stata misurata</w:t>
      </w:r>
      <w:r>
        <w:t xml:space="preserve">: frequenza cardiaca e pressione per la tecnica al gomito, conduttanza e temperatura cutanea per quella cervicale.</w:t>
      </w:r>
    </w:p>
    <w:p>
      <w:pPr>
        <w:pStyle w:val="BodyText"/>
      </w:pPr>
      <w:r>
        <w:rPr>
          <w:b/>
          <w:bCs/>
        </w:rPr>
        <w:t xml:space="preserve">I segnali che pesa in questo paziente.</w:t>
      </w:r>
      <w:r>
        <w:t xml:space="preserve"> </w:t>
      </w:r>
      <w:r>
        <w:t xml:space="preserve">Alterazioni misurabili sul lato sano. Cattiva tolleranza al freddo. Formicolio. Dolore che non segue il carico. Risposta a una mobilizzazione, immediata e ampia, che dura minuti.</w:t>
      </w:r>
    </w:p>
    <w:p>
      <w:pPr>
        <w:pStyle w:val="BodyText"/>
      </w:pPr>
      <w:r>
        <w:rPr>
          <w:b/>
          <w:bCs/>
        </w:rPr>
        <w:t xml:space="preserve">Come funziona la via, e perché cambia cosa interpreti come segno che sta funzionando.</w:t>
      </w:r>
      <w:r>
        <w:t xml:space="preserve"> </w:t>
      </w:r>
      <w:r>
        <w:t xml:space="preserve">L’ipoalgesia che segue una tecnica manuale qui</w:t>
      </w:r>
      <w:r>
        <w:t xml:space="preserve"> </w:t>
      </w:r>
      <w:r>
        <w:rPr>
          <w:b/>
          <w:bCs/>
        </w:rPr>
        <w:t xml:space="preserve">non è un effetto calmante</w:t>
      </w:r>
      <w:r>
        <w:t xml:space="preserve">. Arriva con un aumento</w:t>
      </w:r>
      <w:r>
        <w:t xml:space="preserve"> </w:t>
      </w:r>
      <w:r>
        <w:rPr>
          <w:b/>
          <w:bCs/>
        </w:rPr>
        <w:t xml:space="preserve">misurato</w:t>
      </w:r>
      <w:r>
        <w:t xml:space="preserve"> </w:t>
      </w:r>
      <w:r>
        <w:t xml:space="preserve">dell’attività simpatica — il polso sale, non scende — e le due latenze corrono appaiate (Vicenzino,</w:t>
      </w:r>
      <w:r>
        <w:t xml:space="preserve"> </w:t>
      </w:r>
      <w:r>
        <w:rPr>
          <w:i/>
          <w:iCs/>
        </w:rPr>
        <w:t xml:space="preserve">J Manipulative Physiol Ther</w:t>
      </w:r>
      <w:r>
        <w:t xml:space="preserve"> </w:t>
      </w:r>
      <w:r>
        <w:t xml:space="preserve">1998, PMID 9777544; Paungmali,</w:t>
      </w:r>
      <w:r>
        <w:t xml:space="preserve"> </w:t>
      </w:r>
      <w:r>
        <w:rPr>
          <w:i/>
          <w:iCs/>
        </w:rPr>
        <w:t xml:space="preserve">Phys Ther</w:t>
      </w:r>
      <w:r>
        <w:t xml:space="preserve"> </w:t>
      </w:r>
      <w:r>
        <w:t xml:space="preserve">2003, PMID 12665408). È attivazione</w:t>
      </w:r>
      <w:r>
        <w:t xml:space="preserve"> </w:t>
      </w:r>
      <w:r>
        <w:rPr>
          <w:b/>
          <w:bCs/>
        </w:rPr>
        <w:t xml:space="preserve">autonomica oggettiva</w:t>
      </w:r>
      <w:r>
        <w:t xml:space="preserve">, sotto la soglia del vissuto, non lo stato soggettivo del paziente. Chi si allarma sotto le tue mani non ti conferma la via: ti dà un’informazione sul suo livello di attivazione.</w:t>
      </w:r>
    </w:p>
    <w:p>
      <w:pPr>
        <w:pStyle w:val="BodyText"/>
      </w:pPr>
      <w:r>
        <w:rPr>
          <w:b/>
          <w:bCs/>
        </w:rPr>
        <w:t xml:space="preserve">La firma della via, e perché «dura minuti» non vuol dire «ripeterlo è inutile».</w:t>
      </w:r>
      <w:r>
        <w:t xml:space="preserve"> </w:t>
      </w:r>
      <w:r>
        <w:t xml:space="preserve">L’ipoalgesia</w:t>
      </w:r>
      <w:r>
        <w:t xml:space="preserve"> </w:t>
      </w:r>
      <w:r>
        <w:rPr>
          <w:b/>
          <w:bCs/>
        </w:rPr>
        <w:t xml:space="preserve">non è antagonizzata dal naloxone</w:t>
      </w:r>
      <w:r>
        <w:t xml:space="preserve">, quindi non passa da una via oppioide (Paungmali,</w:t>
      </w:r>
      <w:r>
        <w:t xml:space="preserve"> </w:t>
      </w:r>
      <w:r>
        <w:rPr>
          <w:i/>
          <w:iCs/>
        </w:rPr>
        <w:t xml:space="preserve">J Manipulative Physiol Ther</w:t>
      </w:r>
      <w:r>
        <w:t xml:space="preserve"> </w:t>
      </w:r>
      <w:r>
        <w:t xml:space="preserve">2004, PMID 15129200). E</w:t>
      </w:r>
      <w:r>
        <w:t xml:space="preserve"> </w:t>
      </w:r>
      <w:r>
        <w:rPr>
          <w:b/>
          <w:bCs/>
        </w:rPr>
        <w:t xml:space="preserve">non sviluppa tolleranza</w:t>
      </w:r>
      <w:r>
        <w:t xml:space="preserve"> </w:t>
      </w:r>
      <w:r>
        <w:t xml:space="preserve">su sei applicazioni (Paungmali,</w:t>
      </w:r>
      <w:r>
        <w:t xml:space="preserve"> </w:t>
      </w:r>
      <w:r>
        <w:rPr>
          <w:i/>
          <w:iCs/>
        </w:rPr>
        <w:t xml:space="preserve">J Pain</w:t>
      </w:r>
      <w:r>
        <w:t xml:space="preserve"> </w:t>
      </w:r>
      <w:r>
        <w:t xml:space="preserve">2003, PMID 14622665). L’effetto si spende e non si consuma.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l’ipoalgesia immediata da tecnica manuale in questa condizione, contro placebo e controllo (Vicenzino,</w:t>
      </w:r>
      <w:r>
        <w:t xml:space="preserve"> </w:t>
      </w:r>
      <w:r>
        <w:rPr>
          <w:i/>
          <w:iCs/>
        </w:rPr>
        <w:t xml:space="preserve">Pain</w:t>
      </w:r>
      <w:r>
        <w:t xml:space="preserve"> </w:t>
      </w:r>
      <w:r>
        <w:t xml:space="preserve">1996, PMID 9252000, n=15, tecnica cervicale; Paungmali, 2003, PMID 12665408, n=24, tecnica al gomito; entrambi crossover), e in meta-analisi indipendente con effetti piccoli (Lucado, 2019, PMID 29705077).</w:t>
      </w:r>
      <w:r>
        <w:t xml:space="preserve"> </w:t>
      </w:r>
      <w:r>
        <w:rPr>
          <w:b/>
          <w:bCs/>
        </w:rPr>
        <w:t xml:space="preserve">DIMOSTRATO</w:t>
      </w:r>
      <w:r>
        <w:t xml:space="preserve"> </w:t>
      </w:r>
      <w:r>
        <w:t xml:space="preserve">anche le alterazioni sensoriali bilaterali (Heales, 2014, PMID 24144533).</w:t>
      </w:r>
      <w:r>
        <w:t xml:space="preserve"> </w:t>
      </w:r>
      <w:r>
        <w:rPr>
          <w:b/>
          <w:bCs/>
        </w:rPr>
        <w:t xml:space="preserve">IPOTESI</w:t>
      </w:r>
      <w:r>
        <w:t xml:space="preserve"> </w:t>
      </w:r>
      <w:r>
        <w:rPr>
          <w:i/>
          <w:iCs/>
        </w:rPr>
        <w:t xml:space="preserve">(meccanismo coerente, nessuno studio)</w:t>
      </w:r>
      <w:r>
        <w:t xml:space="preserve"> </w:t>
      </w:r>
      <w:r>
        <w:t xml:space="preserve">che ripetere quelle tecniche sposti la soglia in modo durevole.</w:t>
      </w:r>
    </w:p>
    <w:bookmarkEnd w:id="36"/>
    <w:bookmarkStart w:id="37" w:name="metabolico-energetico"/>
    <w:p>
      <w:pPr>
        <w:pStyle w:val="Heading3"/>
      </w:pPr>
      <w:r>
        <w:t xml:space="preserve">Metabolico-Energetico</w:t>
      </w:r>
    </w:p>
    <w:p>
      <w:pPr>
        <w:pStyle w:val="FirstParagraph"/>
      </w:pPr>
      <w:r>
        <w:rPr>
          <w:b/>
          <w:bCs/>
        </w:rPr>
        <w:t xml:space="preserve">Cosa governa qui.</w:t>
      </w:r>
      <w:r>
        <w:t xml:space="preserve"> </w:t>
      </w:r>
      <w:r>
        <w:t xml:space="preserve">Governa la capacità del tendine e la sua velocità di recupero,</w:t>
      </w:r>
      <w:r>
        <w:t xml:space="preserve"> </w:t>
      </w:r>
      <w:r>
        <w:rPr>
          <w:b/>
          <w:bCs/>
        </w:rPr>
        <w:t xml:space="preserve">in co-titolarità col Biomeccanico</w:t>
      </w:r>
      <w:r>
        <w:t xml:space="preserve"> </w:t>
      </w:r>
      <w:r>
        <w:t xml:space="preserve">sul primo meccanismo e sul terzo. Non è un elenco di fattori di stile di vita: è il modello che spiega perché il riposo abbassa la capacità e perché il carico progressivo la rialza.</w:t>
      </w:r>
    </w:p>
    <w:p>
      <w:pPr>
        <w:pStyle w:val="BodyText"/>
      </w:pPr>
      <w:r>
        <w:rPr>
          <w:b/>
          <w:bCs/>
        </w:rPr>
        <w:t xml:space="preserve">Gli attori.</w:t>
      </w:r>
      <w:r>
        <w:t xml:space="preserve"> </w:t>
      </w:r>
      <w:r>
        <w:t xml:space="preserve">Capacità del tessuto e carico; fumo; corticosteroidi sistemici; controllo glicemico; sonno; fluorochinoloni.</w:t>
      </w:r>
    </w:p>
    <w:p>
      <w:pPr>
        <w:pStyle w:val="BodyText"/>
      </w:pPr>
      <w:r>
        <w:rPr>
          <w:b/>
          <w:bCs/>
        </w:rPr>
        <w:t xml:space="preserve">I segnali che pesa in questo paziente.</w:t>
      </w:r>
      <w:r>
        <w:t xml:space="preserve"> </w:t>
      </w:r>
      <w:r>
        <w:t xml:space="preserve">Fumo attuale o pregresso. Cortisone orale in corso per altra ragione.</w:t>
      </w:r>
      <w:r>
        <w:t xml:space="preserve"> </w:t>
      </w:r>
      <w:r>
        <w:rPr>
          <w:b/>
          <w:bCs/>
        </w:rPr>
        <w:t xml:space="preserve">L’ultima emoglobina glicata</w:t>
      </w:r>
      <w:r>
        <w:t xml:space="preserve">, che si chiede e si scrive in cartella. Sonno frammentato da mesi. Un fluorochinolone in corso o nell’ultimo mese.</w:t>
      </w:r>
    </w:p>
    <w:p>
      <w:pPr>
        <w:pStyle w:val="BodyText"/>
      </w:pPr>
      <w:r>
        <w:rPr>
          <w:b/>
          <w:bCs/>
        </w:rPr>
        <w:t xml:space="preserve">Il campo, in due parti.</w:t>
      </w:r>
      <w:r>
        <w:t xml:space="preserve"> </w:t>
      </w:r>
      <w:r>
        <w:t xml:space="preserve">Fumo, cortisone sistemico, glicemia, sonno e antibiotici si valutano, si nominano e si rinviano al curante: con le mani non si lavorano.</w:t>
      </w:r>
      <w:r>
        <w:t xml:space="preserve"> </w:t>
      </w:r>
      <w:r>
        <w:rPr>
          <w:b/>
          <w:bCs/>
        </w:rPr>
        <w:t xml:space="preserve">La capacità del tessuto, invece, è la leva che insegni tu.</w:t>
      </w:r>
    </w:p>
    <w:p>
      <w:pPr>
        <w:pStyle w:val="BlockText"/>
      </w:pPr>
      <w:r>
        <w:rPr>
          <w:b/>
          <w:bCs/>
        </w:rPr>
        <w:t xml:space="preserve">Quanto è solido:</w:t>
      </w:r>
      <w:r>
        <w:t xml:space="preserve"> </w:t>
      </w:r>
      <w:r>
        <w:t xml:space="preserve">l’etichetta si spezza.</w:t>
      </w:r>
    </w:p>
    <w:p>
      <w:pPr>
        <w:pStyle w:val="BlockText"/>
      </w:pPr>
      <w:r>
        <w:rPr>
          <w:b/>
          <w:bCs/>
        </w:rPr>
        <w:t xml:space="preserve">DIMOSTRATO</w:t>
      </w:r>
      <w:r>
        <w:t xml:space="preserve"> </w:t>
      </w:r>
      <w:r>
        <w:rPr>
          <w:i/>
          <w:iCs/>
        </w:rPr>
        <w:t xml:space="preserve">(studi sull’uomo, solidi)</w:t>
      </w:r>
      <w:r>
        <w:t xml:space="preserve"> </w:t>
      </w:r>
      <w:r>
        <w:t xml:space="preserve">l’associazione con la terapia corticosteroidea orale (odds ratio 1,68) e con il fumo pregresso (1,20), su quasi cinquemila casi appaiati (Titchener, 2013, PMID 22490998).</w:t>
      </w:r>
    </w:p>
    <w:p>
      <w:pPr>
        <w:pStyle w:val="BlockText"/>
      </w:pPr>
      <w:r>
        <w:rPr>
          <w:b/>
          <w:bCs/>
        </w:rPr>
        <w:t xml:space="preserve">PROBABILE</w:t>
      </w:r>
      <w:r>
        <w:t xml:space="preserve"> </w:t>
      </w:r>
      <w:r>
        <w:rPr>
          <w:i/>
          <w:iCs/>
        </w:rPr>
        <w:t xml:space="preserve">(razionale forte, prove parziali)</w:t>
      </w:r>
      <w:r>
        <w:t xml:space="preserve"> </w:t>
      </w:r>
      <w:r>
        <w:t xml:space="preserve">l’associazione con il fumo attuale e con il diabete. L’etichetta si ferma qui</w:t>
      </w:r>
      <w:r>
        <w:t xml:space="preserve"> </w:t>
      </w:r>
      <w:r>
        <w:rPr>
          <w:b/>
          <w:bCs/>
        </w:rPr>
        <w:t xml:space="preserve">perché su entrambi le fonti divergono, e la divergenza si dichiara invece di nasconderla</w:t>
      </w:r>
      <w:r>
        <w:t xml:space="preserve">. Sul fumo attuale Titchener non trova associazione, mentre nel campione finlandese l’odds ratio è 3,4 (Shiri, 2006, PMID 16968862). Sul diabete Titchener non trova associazione, mentre in 1.777 adulti un’emoglobina glicata ≥6,5 porta un rischio 3,37 volte maggiore (Otoshi,</w:t>
      </w:r>
      <w:r>
        <w:t xml:space="preserve"> </w:t>
      </w:r>
      <w:r>
        <w:rPr>
          <w:i/>
          <w:iCs/>
        </w:rPr>
        <w:t xml:space="preserve">SpringerPlus</w:t>
      </w:r>
      <w:r>
        <w:t xml:space="preserve"> </w:t>
      </w:r>
      <w:r>
        <w:t xml:space="preserve">2015, PMID 26266078).</w:t>
      </w:r>
    </w:p>
    <w:p>
      <w:pPr>
        <w:pStyle w:val="BlockText"/>
      </w:pPr>
      <w:r>
        <w:rPr>
          <w:b/>
          <w:bCs/>
        </w:rPr>
        <w:t xml:space="preserve">Sul fumo la divergenza resta aperta. Sul diabete ha un arbitro, ed è il corpus intero e non il singolo studio sul gomito:</w:t>
      </w:r>
      <w:r>
        <w:t xml:space="preserve"> </w:t>
      </w:r>
      <w:r>
        <w:t xml:space="preserve">in una meta-analisi di 31 studi la tendinopatia è più frequente in chi ha il diabete, odds ratio 3,67 (Ranger,</w:t>
      </w:r>
      <w:r>
        <w:t xml:space="preserve"> </w:t>
      </w:r>
      <w:r>
        <w:rPr>
          <w:i/>
          <w:iCs/>
        </w:rPr>
        <w:t xml:space="preserve">Br J Sports Med</w:t>
      </w:r>
      <w:r>
        <w:t xml:space="preserve"> </w:t>
      </w:r>
      <w:r>
        <w:t xml:space="preserve">2016, PMID 26598716).</w:t>
      </w:r>
      <w:r>
        <w:t xml:space="preserve"> </w:t>
      </w:r>
      <w:r>
        <w:rPr>
          <w:i/>
          <w:iCs/>
        </w:rPr>
        <w:t xml:space="preserve">Il salto è di distretto:</w:t>
      </w:r>
      <w:r>
        <w:t xml:space="preserve"> </w:t>
      </w:r>
      <w:r>
        <w:t xml:space="preserve">misurato sulle tendinopatie in generale — soprattutto spalla, mano e Achille — non sull’epicondilo laterale, e sono associazioni trasversali, non un rapporto di causa.</w:t>
      </w:r>
      <w:r>
        <w:t xml:space="preserve"> </w:t>
      </w:r>
      <w:r>
        <w:rPr>
          <w:b/>
          <w:bCs/>
        </w:rPr>
        <w:t xml:space="preserve">Non autorizza a dire che correggere la glicemia migliori questo gomito:</w:t>
      </w:r>
      <w:r>
        <w:t xml:space="preserve"> </w:t>
      </w:r>
      <w:r>
        <w:t xml:space="preserve">l’emoglobina glicata è una domanda da fare, non una leva da tirare.</w:t>
      </w:r>
    </w:p>
    <w:p>
      <w:pPr>
        <w:pStyle w:val="BlockText"/>
      </w:pPr>
      <w:r>
        <w:rPr>
          <w:b/>
          <w:bCs/>
        </w:rPr>
        <w:t xml:space="preserve">PROBABILE</w:t>
      </w:r>
      <w:r>
        <w:t xml:space="preserve"> </w:t>
      </w:r>
      <w:r>
        <w:t xml:space="preserve">anche che il sonno alterato conti: la privazione di sonno abbassa la soglia del dolore, con la fonte e il suo doppio salto nel cerchio 2 di «Cosa dice la scienza».</w:t>
      </w:r>
    </w:p>
    <w:bookmarkEnd w:id="37"/>
    <w:bookmarkStart w:id="39"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Governa quanto il paziente carica il braccio e quanto risponde a ciò che fai: il secondo meccanismo e, per la via dell’evitamento, il terzo.</w:t>
      </w:r>
      <w:r>
        <w:t xml:space="preserve"> </w:t>
      </w:r>
      <w:r>
        <w:rPr>
          <w:b/>
          <w:bCs/>
        </w:rPr>
        <w:t xml:space="preserve">Gli attori:</w:t>
      </w:r>
      <w:r>
        <w:t xml:space="preserve"> </w:t>
      </w:r>
      <w:r>
        <w:t xml:space="preserve">paura del movimento, aspettativa, alleanza con te, credenza che il dolore significhi danno.</w:t>
      </w:r>
    </w:p>
    <w:p>
      <w:pPr>
        <w:pStyle w:val="BodyText"/>
      </w:pPr>
      <w:r>
        <w:rPr>
          <w:b/>
          <w:bCs/>
        </w:rPr>
        <w:t xml:space="preserve">I segnali che pesa in questo paziente.</w:t>
      </w:r>
      <w:r>
        <w:t xml:space="preserve"> </w:t>
      </w:r>
      <w:r>
        <w:t xml:space="preserve">Evita gesti che il tessuto reggerebbe. Ha smesso lo sport</w:t>
      </w:r>
      <w:r>
        <w:t xml:space="preserve"> </w:t>
      </w:r>
      <w:r>
        <w:t xml:space="preserve">“per un po’”</w:t>
      </w:r>
      <w:r>
        <w:t xml:space="preserve"> </w:t>
      </w:r>
      <w:r>
        <w:t xml:space="preserve">da mesi. Interpreta ogni fitta come un peggioramento. Chiede continuamente conferme.</w:t>
      </w:r>
    </w:p>
    <w:p>
      <w:pPr>
        <w:pStyle w:val="BlockText"/>
      </w:pPr>
      <w:r>
        <w:rPr>
          <w:b/>
          <w:bCs/>
        </w:rPr>
        <w:t xml:space="preserve">Quanto è solido:</w:t>
      </w:r>
      <w:r>
        <w:t xml:space="preserve"> </w:t>
      </w:r>
      <w:r>
        <w:t xml:space="preserve">l’etichetta si spezza, ed è il modello con il dato più sorprendente del capitolo.</w:t>
      </w:r>
    </w:p>
    <w:p>
      <w:pPr>
        <w:pStyle w:val="BlockText"/>
      </w:pPr>
      <w:r>
        <w:rPr>
          <w:b/>
          <w:bCs/>
        </w:rPr>
        <w:t xml:space="preserve">DIMOSTRATO</w:t>
      </w:r>
      <w:r>
        <w:t xml:space="preserve"> </w:t>
      </w:r>
      <w:r>
        <w:rPr>
          <w:i/>
          <w:iCs/>
        </w:rPr>
        <w:t xml:space="preserve">(studi sull’uomo, solidi)</w:t>
      </w:r>
      <w:r>
        <w:t xml:space="preserve"> </w:t>
      </w:r>
      <w:r>
        <w:t xml:space="preserve">che il modo in cui interagisci cambia</w:t>
      </w:r>
      <w:r>
        <w:t xml:space="preserve"> </w:t>
      </w:r>
      <w:r>
        <w:rPr>
          <w:b/>
          <w:bCs/>
        </w:rPr>
        <w:t xml:space="preserve">due misure di modulazione del dolore</w:t>
      </w:r>
      <w:r>
        <w:t xml:space="preserve"> </w:t>
      </w:r>
      <w:r>
        <w:t xml:space="preserve">in questi pazienti. Il disegno: 68 partecipanti, randomizzato in doppio cieco, interazione empatica contro neutra condotta da un attore addestrato, valutatore cieco. Nel gruppo empatico risultano potenziate sia la modulazione condizionata del dolore, sia l’analgesia indotta dalla tecnica manuale (Muhsen, 2020, PMID 32079999).</w:t>
      </w:r>
      <w:r>
        <w:t xml:space="preserve"> </w:t>
      </w:r>
      <w:r>
        <w:rPr>
          <w:b/>
          <w:bCs/>
        </w:rPr>
        <w:t xml:space="preserve">Il limite sta dentro il box:</w:t>
      </w:r>
      <w:r>
        <w:t xml:space="preserve"> </w:t>
      </w:r>
      <w:r>
        <w:t xml:space="preserve">è</w:t>
      </w:r>
      <w:r>
        <w:t xml:space="preserve"> </w:t>
      </w:r>
      <w:r>
        <w:rPr>
          <w:b/>
          <w:bCs/>
        </w:rPr>
        <w:t xml:space="preserve">un solo</w:t>
      </w:r>
      <w:r>
        <w:t xml:space="preserve"> </w:t>
      </w:r>
      <w:r>
        <w:t xml:space="preserve">trial, non replicato, su una risposta di soglia in laboratorio e non su un esito clinico a settimane.</w:t>
      </w:r>
    </w:p>
    <w:p>
      <w:pPr>
        <w:pStyle w:val="BlockText"/>
      </w:pPr>
      <w:r>
        <w:rPr>
          <w:b/>
          <w:bCs/>
        </w:rPr>
        <w:t xml:space="preserve">E va nominata la prova contraria interna al modello:</w:t>
      </w:r>
      <w:r>
        <w:t xml:space="preserve"> </w:t>
      </w:r>
      <w:r>
        <w:t xml:space="preserve">nello studio prognostico citato per la soglia al freddo, chinesiofobia e ansia-depressione iniziali</w:t>
      </w:r>
      <w:r>
        <w:t xml:space="preserve"> </w:t>
      </w:r>
      <w:r>
        <w:rPr>
          <w:b/>
          <w:bCs/>
        </w:rPr>
        <w:t xml:space="preserve">non</w:t>
      </w:r>
      <w:r>
        <w:t xml:space="preserve"> </w:t>
      </w:r>
      <w:r>
        <w:t xml:space="preserve">hanno predetto l’esito a due e dodici mesi (Coombes, 2015, PMID 24480912). Il modello regge sull’interazione, non sui questionari.</w:t>
      </w:r>
    </w:p>
    <w:p>
      <w:pPr>
        <w:pStyle w:val="BlockText"/>
      </w:pPr>
      <w:r>
        <w:rPr>
          <w:b/>
          <w:bCs/>
        </w:rPr>
        <w:t xml:space="preserve">PROBABILE</w:t>
      </w:r>
      <w:r>
        <w:t xml:space="preserve"> </w:t>
      </w:r>
      <w:r>
        <w:rPr>
          <w:i/>
          <w:iCs/>
        </w:rPr>
        <w:t xml:space="preserve">(razionale forte, prove parziali)</w:t>
      </w:r>
      <w:r>
        <w:t xml:space="preserve"> </w:t>
      </w:r>
      <w:r>
        <w:t xml:space="preserve">che il carico sopra la soglia di dolore individuale peggiori il sintomo. In 24 pazienti, la contrazione isometrica al 20%</w:t>
      </w:r>
      <w:r>
        <w:t xml:space="preserve"> </w:t>
      </w:r>
      <w:r>
        <w:rPr>
          <w:b/>
          <w:bCs/>
        </w:rPr>
        <w:t xml:space="preserve">sopra</w:t>
      </w:r>
      <w:r>
        <w:t xml:space="preserve"> </w:t>
      </w:r>
      <w:r>
        <w:t xml:space="preserve">la soglia ha aumentato il dolore subito dopo, e ancora a 30 minuti. Quella al 20%</w:t>
      </w:r>
      <w:r>
        <w:t xml:space="preserve"> </w:t>
      </w:r>
      <w:r>
        <w:rPr>
          <w:b/>
          <w:bCs/>
        </w:rPr>
        <w:t xml:space="preserve">sotto</w:t>
      </w:r>
      <w:r>
        <w:t xml:space="preserve"> </w:t>
      </w:r>
      <w:r>
        <w:t xml:space="preserve">si è comportata come il controllo. E l’intensità del dolore durante lo sforzo correlava con la chinesiofobia (Coombes,</w:t>
      </w:r>
      <w:r>
        <w:t xml:space="preserve"> </w:t>
      </w:r>
      <w:r>
        <w:rPr>
          <w:i/>
          <w:iCs/>
        </w:rPr>
        <w:t xml:space="preserve">Clin J Pain</w:t>
      </w:r>
      <w:r>
        <w:t xml:space="preserve"> </w:t>
      </w:r>
      <w:r>
        <w:t xml:space="preserve">2016, PMID 26889612).</w:t>
      </w:r>
      <w:r>
        <w:t xml:space="preserve"> </w:t>
      </w:r>
      <w:r>
        <w:rPr>
          <w:b/>
          <w:bCs/>
        </w:rPr>
        <w:t xml:space="preserve">La dimensione va scritta accanto al risultato:</w:t>
      </w:r>
      <w:r>
        <w:t xml:space="preserve"> </w:t>
      </w:r>
      <w:r>
        <w:t xml:space="preserve">circa un punto su dieci di differenza, in 24 persone, in una singola seduta sperimentale,</w:t>
      </w:r>
      <w:r>
        <w:t xml:space="preserve"> </w:t>
      </w:r>
      <w:r>
        <w:rPr>
          <w:b/>
          <w:bCs/>
        </w:rPr>
        <w:t xml:space="preserve">e senza nessun effetto su soglia di pressione e forza di presa</w:t>
      </w:r>
      <w:r>
        <w:t xml:space="preserve">.</w:t>
      </w:r>
    </w:p>
    <w:p>
      <w:pPr>
        <w:pStyle w:val="FirstParagraph"/>
      </w:pPr>
      <w:r>
        <w:rPr>
          <w:b/>
          <w:bCs/>
        </w:rPr>
        <w:t xml:space="preserve">Le tre cose da ricordare, più una</w:t>
      </w:r>
    </w:p>
    <w:p>
      <w:pPr>
        <w:pStyle w:val="Compact"/>
        <w:numPr>
          <w:ilvl w:val="0"/>
          <w:numId w:val="1022"/>
        </w:numPr>
      </w:pPr>
      <w:r>
        <w:t xml:space="preserve">Due modelli su cinque — Biomeccanico e Neurologico — reggono un DIMOSTRATO su questa condizione; il Respiratorio-Circolatorio va dichiarato non pertinente su questo distretto.</w:t>
      </w:r>
    </w:p>
    <w:p>
      <w:pPr>
        <w:pStyle w:val="Compact"/>
        <w:numPr>
          <w:ilvl w:val="0"/>
          <w:numId w:val="1022"/>
        </w:numPr>
      </w:pPr>
      <w:r>
        <w:t xml:space="preserve">L’ipoalgesia manuale qui arriva con attivazione simpatica, non con rilassamento: non leggere l’attivazione come un errore.</w:t>
      </w:r>
    </w:p>
    <w:p>
      <w:pPr>
        <w:pStyle w:val="Compact"/>
        <w:numPr>
          <w:ilvl w:val="0"/>
          <w:numId w:val="1022"/>
        </w:numPr>
      </w:pPr>
      <w:r>
        <w:t xml:space="preserve">Il modo in cui parli al paziente ha, su questa condizione, uno studio randomizzato dedicato: non è un contorno.</w:t>
      </w:r>
    </w:p>
    <w:p>
      <w:pPr>
        <w:pStyle w:val="Heading2"/>
        <w:numPr>
          <w:ilvl w:val="0"/>
          <w:numId w:val="1022"/>
        </w:numPr>
      </w:pPr>
      <w:bookmarkStart w:id="38" w:name="X5dbbd40ad8ead40a76df1a26cb0d896740c64bd"/>
      <w:r>
        <w:rPr>
          <w:b/>
          <w:bCs/>
        </w:rPr>
        <w:t xml:space="preserve">Perché ci sei tu.</w:t>
      </w:r>
      <w:r>
        <w:t xml:space="preserve"> </w:t>
      </w:r>
      <w:r>
        <w:t xml:space="preserve">Anche il lato</w:t>
      </w:r>
      <w:r>
        <w:t xml:space="preserve"> </w:t>
      </w:r>
      <w:r>
        <w:rPr>
          <w:b/>
          <w:bCs/>
        </w:rPr>
        <w:t xml:space="preserve">non sintomatico</w:t>
      </w:r>
      <w:r>
        <w:t xml:space="preserve"> </w:t>
      </w:r>
      <w:r>
        <w:t xml:space="preserve">di questi pazienti ha soglie alterate rispetto ai controlli sani, con le cifre nel box Neurologico qui sopra (Heales, 2014, PMID 24144533).</w:t>
      </w:r>
      <w:r>
        <w:t xml:space="preserve"> </w:t>
      </w:r>
      <w:r>
        <w:rPr>
          <w:b/>
          <w:bCs/>
        </w:rPr>
        <w:t xml:space="preserve">Per te:</w:t>
      </w:r>
      <w:r>
        <w:t xml:space="preserve"> </w:t>
      </w:r>
      <w:r>
        <w:t xml:space="preserve">il braccio</w:t>
      </w:r>
      <w:r>
        <w:t xml:space="preserve"> </w:t>
      </w:r>
      <w:r>
        <w:t xml:space="preserve">“sano”</w:t>
      </w:r>
      <w:r>
        <w:t xml:space="preserve"> </w:t>
      </w:r>
      <w:r>
        <w:t xml:space="preserve">non è un buon controllo interno, e se lo usi come riferimento sottostimi il problema. Questo ti autorizza a esaminare entrambi gli arti e a spiegare al paziente perché lo fai. Non ti autorizza a trattare il lato sano come se avesse una lesione: quel dato descrive il sistema, non il tessuto.</w:t>
      </w:r>
      <w:bookmarkEnd w:id="38"/>
    </w:p>
    <w:bookmarkEnd w:id="39"/>
    <w:bookmarkEnd w:id="40"/>
    <w:bookmarkStart w:id="46"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davanti allo stesso dolore sull’epicondilo devi decidere quale dei cinque meccanismi comanda in questo paziente, e la decisione si prende prima di toccare, non dopo.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meccanismo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 tutto questo capitolo. Nessuno ha randomizzato pazienti con epicondilalgia in base a un sistema dominante.</w:t>
      </w:r>
    </w:p>
    <w:bookmarkStart w:id="41" w:name="la-punta-e-il-sommerso"/>
    <w:p>
      <w:pPr>
        <w:pStyle w:val="Heading3"/>
      </w:pPr>
      <w:r>
        <w:t xml:space="preserve">La punta e il sommerso</w:t>
      </w:r>
    </w:p>
    <w:p>
      <w:pPr>
        <w:pStyle w:val="FirstParagraph"/>
      </w:pPr>
      <w:r>
        <w:t xml:space="preserve">Il paziente porta la punta: il dolore sull’epicondilo. Sotto ci sono i cinque sommersi di «Cosa si rompe». Il ragionamento serve a stabilire</w:t>
      </w:r>
      <w:r>
        <w:t xml:space="preserve"> </w:t>
      </w:r>
      <w:r>
        <w:rPr>
          <w:b/>
          <w:bCs/>
        </w:rPr>
        <w:t xml:space="preserve">quale alimenta questa punta</w:t>
      </w:r>
      <w:r>
        <w:t xml:space="preserve">, perché trattare il sommerso sbagliato produce quello che il paziente ti racconta: sollievo per una settimana, e ritorno.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Il gomito è quasi sempre il punto in cui un compenso ha ceduto. La</w:t>
      </w:r>
      <w:r>
        <w:t xml:space="preserve"> </w:t>
      </w:r>
      <w:r>
        <w:rPr>
          <w:b/>
          <w:bCs/>
        </w:rPr>
        <w:t xml:space="preserve">lesione primaria</w:t>
      </w:r>
      <w:r>
        <w:t xml:space="preserve"> </w:t>
      </w:r>
      <w:r>
        <w:t xml:space="preserve">che ricostruisci sta a monte: la scrivi in cartella con la data, e la rivedi quando il marker la smentisce.</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quanto il sistema nervoso di questo paziente sta amplificando il segnale adesso. Lo riconosci da: dolore oltre il tendine, alterazioni sul lato sano, cattiva tolleranza al freddo, paura del movimento, sonno rotto, un evento di vita.</w:t>
      </w:r>
      <w:r>
        <w:t xml:space="preserve"> </w:t>
      </w:r>
      <w:r>
        <w:rPr>
          <w:b/>
          <w:bCs/>
        </w:rPr>
        <w:t xml:space="preserve">Non è un sesto meccanismo: è il modo in cui il secondo — «Il sistema del dolore che si è allargato» — si presenta come piano di lavoro.</w:t>
      </w:r>
      <w:r>
        <w:t xml:space="preserve"> </w:t>
      </w:r>
      <w:r>
        <w:t xml:space="preserve">È governato dal modello Comportamentale con concorso del Neurologico, e in tutto il documento porta questo nome e nessun altro.</w:t>
      </w:r>
    </w:p>
    <w:p>
      <w:pPr>
        <w:pStyle w:val="FirstParagraph"/>
      </w:pPr>
      <w:r>
        <w:rPr>
          <w:b/>
          <w:bCs/>
        </w:rPr>
        <w:t xml:space="preserve">Tre pazienti-tipo con lo stesso sintomo.</w:t>
      </w:r>
    </w:p>
    <w:p>
      <w:pPr>
        <w:pStyle w:val="BodyText"/>
      </w:pPr>
      <w:r>
        <w:rPr>
          <w:b/>
          <w:bCs/>
        </w:rPr>
        <w:t xml:space="preserve">L’elettricista di 48 anni.</w:t>
      </w:r>
      <w:r>
        <w:t xml:space="preserve"> </w:t>
      </w:r>
      <w:r>
        <w:t xml:space="preserve">Otto mesi di storia, cacciavite e pinze tutti i giorni, venti gradi di rotazione esterna di spalla in meno a destra, presa ridotta di un terzo, nessun formicolio, dorme bene. Comanda il</w:t>
      </w:r>
      <w:r>
        <w:t xml:space="preserve"> </w:t>
      </w:r>
      <w:r>
        <w:rPr>
          <w:b/>
          <w:bCs/>
        </w:rPr>
        <w:t xml:space="preserve">carico e il gesto</w:t>
      </w:r>
      <w:r>
        <w:t xml:space="preserve">, con la catena a monte come co-fattore: Biomeccanico, con il Metabolico sulla capacità.</w:t>
      </w:r>
      <w:r>
        <w:t xml:space="preserve"> </w:t>
      </w:r>
      <w:r>
        <w:rPr>
          <w:b/>
          <w:bCs/>
        </w:rPr>
        <w:t xml:space="preserve">Il bersaglio:</w:t>
      </w:r>
      <w:r>
        <w:t xml:space="preserve"> </w:t>
      </w:r>
      <w:r>
        <w:t xml:space="preserve">la finestra di posizione e il carico progressivo che gli insegni. Il gesto lavorativo si affronta, non si sospende.</w:t>
      </w:r>
      <w:r>
        <w:t xml:space="preserve"> </w:t>
      </w:r>
      <w:r>
        <w:rPr>
          <w:b/>
          <w:bCs/>
        </w:rPr>
        <w:t xml:space="preserve">Cautela:</w:t>
      </w:r>
      <w:r>
        <w:t xml:space="preserve"> </w:t>
      </w:r>
      <w:r>
        <w:t xml:space="preserve">parte di quel bersaglio poggia sul piano con l’unico randomizzato negativo del documento (Day, 2021, PMID 33440342).</w:t>
      </w:r>
    </w:p>
    <w:p>
      <w:pPr>
        <w:pStyle w:val="BodyText"/>
      </w:pPr>
      <w:r>
        <w:rPr>
          <w:b/>
          <w:bCs/>
        </w:rPr>
        <w:t xml:space="preserve">E il caso che gli somiglia.</w:t>
      </w:r>
      <w:r>
        <w:t xml:space="preserve"> </w:t>
      </w:r>
      <w:r>
        <w:t xml:space="preserve">Stesso mestiere, stesso dolore, stessa posizione. Ma tre settimane di storia, e una potatura il mese scorso. Cambia tutto: qui progredire il carico peggiora. A distinguerlo non è il gesto: è la durata sotto le sei settimane, e la funzione ancora buona fra un episodio e l’altro.</w:t>
      </w:r>
    </w:p>
    <w:p>
      <w:pPr>
        <w:pStyle w:val="BodyText"/>
      </w:pPr>
      <w:r>
        <w:rPr>
          <w:b/>
          <w:bCs/>
        </w:rPr>
        <w:t xml:space="preserve">L’insegnante di 52 anni.</w:t>
      </w:r>
      <w:r>
        <w:t xml:space="preserve"> </w:t>
      </w:r>
      <w:r>
        <w:t xml:space="preserve">Quattordici mesi di storia, dolore che scende, fastidio anche al braccio sinistro se lo esamini, sensibilità al freddo, ha smesso di sollevare, dorme male da un anno. E il dolore è comparso il mese in cui è morto suo padre. Comanda il</w:t>
      </w:r>
      <w:r>
        <w:t xml:space="preserve"> </w:t>
      </w:r>
      <w:r>
        <w:rPr>
          <w:b/>
          <w:bCs/>
        </w:rPr>
        <w:t xml:space="preserve">livello di attivazione</w:t>
      </w:r>
      <w:r>
        <w:t xml:space="preserve">, ed è il paziente in cui hai</w:t>
      </w:r>
      <w:r>
        <w:t xml:space="preserve"> </w:t>
      </w:r>
      <w:r>
        <w:rPr>
          <w:b/>
          <w:bCs/>
        </w:rPr>
        <w:t xml:space="preserve">più</w:t>
      </w:r>
      <w:r>
        <w:t xml:space="preserve"> </w:t>
      </w:r>
      <w:r>
        <w:t xml:space="preserve">da fare, non meno: contatto lento, tempo dedicato e il</w:t>
      </w:r>
      <w:r>
        <w:t xml:space="preserve"> </w:t>
      </w:r>
      <w:r>
        <w:rPr>
          <w:b/>
          <w:bCs/>
        </w:rPr>
        <w:t xml:space="preserve">modo in cui conduci la seduta</w:t>
      </w:r>
      <w:r>
        <w:t xml:space="preserve"> </w:t>
      </w:r>
      <w:r>
        <w:t xml:space="preserve">(Muhsen, 2020, PMID 32079999).</w:t>
      </w:r>
      <w:r>
        <w:t xml:space="preserve"> </w:t>
      </w:r>
      <w:r>
        <w:rPr>
          <w:b/>
          <w:bCs/>
        </w:rPr>
        <w:t xml:space="preserve">E quel meccanismo ha un nome:</w:t>
      </w:r>
      <w:r>
        <w:t xml:space="preserve"> </w:t>
      </w:r>
      <w:r>
        <w:t xml:space="preserve">l’interazione empatica ha potenziato la modulazione condizionata del dolore e l’analgesia indotta dalla tecnica manuale, cioè lo stesso sistema inibitorio su cui poggia la tua mano. Aggiungi carico</w:t>
      </w:r>
      <w:r>
        <w:t xml:space="preserve"> </w:t>
      </w:r>
      <w:r>
        <w:rPr>
          <w:b/>
          <w:bCs/>
        </w:rPr>
        <w:t xml:space="preserve">sotto</w:t>
      </w:r>
      <w:r>
        <w:t xml:space="preserve"> </w:t>
      </w:r>
      <w:r>
        <w:t xml:space="preserve">la sua soglia di dolore, perché sopra peggiora e sotto no (Coombes, 2016, PMID 26889612), con l’etichetta che la leva ha nel capitolo delle leve.</w:t>
      </w:r>
    </w:p>
    <w:p>
      <w:pPr>
        <w:pStyle w:val="BodyText"/>
      </w:pPr>
      <w:r>
        <w:rPr>
          <w:b/>
          <w:bCs/>
        </w:rPr>
        <w:t xml:space="preserve">L’impiegato di 39 anni con formicolio.</w:t>
      </w:r>
      <w:r>
        <w:t xml:space="preserve"> </w:t>
      </w:r>
      <w:r>
        <w:t xml:space="preserve">Cinque mesi di storia, dolore oltre metà avambraccio, mano che si addormenta la notte, nessuna elettromiografia mai chiesta. Comanda il</w:t>
      </w:r>
      <w:r>
        <w:t xml:space="preserve"> </w:t>
      </w:r>
      <w:r>
        <w:rPr>
          <w:b/>
          <w:bCs/>
        </w:rPr>
        <w:t xml:space="preserve">nervo</w:t>
      </w:r>
      <w:r>
        <w:t xml:space="preserve">, o comunque non puoi escluderlo.</w:t>
      </w:r>
      <w:r>
        <w:t xml:space="preserve"> </w:t>
      </w:r>
      <w:r>
        <w:rPr>
          <w:b/>
          <w:bCs/>
        </w:rPr>
        <w:t xml:space="preserve">Cosa fai:</w:t>
      </w:r>
      <w:r>
        <w:t xml:space="preserve"> </w:t>
      </w:r>
      <w:r>
        <w:t xml:space="preserve">apri il canale medico per iscritto, spieghi al paziente cosa chiedi e perché, e</w:t>
      </w:r>
      <w:r>
        <w:t xml:space="preserve"> </w:t>
      </w:r>
      <w:r>
        <w:rPr>
          <w:b/>
          <w:bCs/>
        </w:rPr>
        <w:t xml:space="preserve">nel frattempo lavori</w:t>
      </w:r>
      <w:r>
        <w:t xml:space="preserve"> </w:t>
      </w:r>
      <w:r>
        <w:t xml:space="preserve">su quello che hai trovato, cioè avambraccio e spalla. In cartella dichiari che il sintomo distale è in attesa di inquadramento e non è il tuo bersaglio.</w:t>
      </w:r>
      <w:r>
        <w:t xml:space="preserve"> </w:t>
      </w:r>
      <w:r>
        <w:rPr>
          <w:b/>
          <w:bCs/>
        </w:rPr>
        <w:t xml:space="preserve">Con un avvertimento sulla zona:</w:t>
      </w:r>
      <w:r>
        <w:t xml:space="preserve"> </w:t>
      </w:r>
      <w:r>
        <w:t xml:space="preserve">il compartimento estensore-supinatore è il tunnel in cui il nervo passa. Formicolio, intorpidimento o dolore urente che compaiono o aumentano</w:t>
      </w:r>
      <w:r>
        <w:t xml:space="preserve"> </w:t>
      </w:r>
      <w:r>
        <w:rPr>
          <w:b/>
          <w:bCs/>
        </w:rPr>
        <w:t xml:space="preserve">durante</w:t>
      </w:r>
      <w:r>
        <w:t xml:space="preserve"> </w:t>
      </w:r>
      <w:r>
        <w:t xml:space="preserve">il contatto fermano il contatto. Non sono un effetto atteso da attraversare.</w:t>
      </w:r>
    </w:p>
    <w:p>
      <w:pPr>
        <w:pStyle w:val="BodyText"/>
      </w:pPr>
      <w:r>
        <w:rPr>
          <w:b/>
          <w:bCs/>
        </w:rPr>
        <w:t xml:space="preserve">I tre hanno una cosa in comune, e va dichiarata: sono adulti senza altre malattie e senza altre terapie.</w:t>
      </w:r>
      <w:r>
        <w:t xml:space="preserve"> </w:t>
      </w:r>
      <w:r>
        <w:t xml:space="preserve">Cambiano tre cose nel paziente diabetico, in cortisone o immunosoppressori, in terapia ormonale oncologica, o reduce da un fluorochinolone. Il tessuto recupera più lentamente. Un quadro bilaterale non si legge come dolore allargato finché il resto non è escluso. E il curante si informa</w:t>
      </w:r>
      <w:r>
        <w:t xml:space="preserve"> </w:t>
      </w:r>
      <w:r>
        <w:rPr>
          <w:b/>
          <w:bCs/>
        </w:rPr>
        <w:t xml:space="preserve">prima</w:t>
      </w:r>
      <w:r>
        <w:t xml:space="preserve"> </w:t>
      </w:r>
      <w:r>
        <w:t xml:space="preserve">di aprire il ciclo.</w:t>
      </w:r>
    </w:p>
    <w:bookmarkEnd w:id="41"/>
    <w:bookmarkStart w:id="42" w:name="perché-si-indaga-dallalto"/>
    <w:p>
      <w:pPr>
        <w:pStyle w:val="Heading3"/>
      </w:pPr>
      <w:r>
        <w:t xml:space="preserve">Perché si indaga dall’alto</w:t>
      </w:r>
    </w:p>
    <w:p>
      <w:pPr>
        <w:pStyle w:val="FirstParagraph"/>
      </w:pPr>
      <w:r>
        <w:t xml:space="preserve">L’ordine delle sei domande qui sotto è</w:t>
      </w:r>
      <w:r>
        <w:t xml:space="preserve"> </w:t>
      </w:r>
      <w:r>
        <w:rPr>
          <w:b/>
          <w:bCs/>
        </w:rPr>
        <w:t xml:space="preserve">l’ordine di INDAGINE, non l’ordine di peso.</w:t>
      </w:r>
      <w:r>
        <w:t xml:space="preserve"> </w:t>
      </w:r>
      <w:r>
        <w:t xml:space="preserve">Il peso resta sul carico: l’indagine lo raggiunge per quarto solo perché prima deve escludere quello che non è tuo.</w:t>
      </w:r>
    </w:p>
    <w:p>
      <w:pPr>
        <w:pStyle w:val="BodyText"/>
      </w:pPr>
      <w:r>
        <w:rPr>
          <w:b/>
          <w:bCs/>
        </w:rPr>
        <w:t xml:space="preserve">Perché l’attivazione sta sopra il carico, e non è uno slogan.</w:t>
      </w:r>
      <w:r>
        <w:t xml:space="preserve"> </w:t>
      </w:r>
      <w:r>
        <w:t xml:space="preserve">Il meccanismo che comanda rende inefficace il lavoro su quelli sotto. Sopra la soglia individuale il carico</w:t>
      </w:r>
      <w:r>
        <w:t xml:space="preserve"> </w:t>
      </w:r>
      <w:r>
        <w:rPr>
          <w:b/>
          <w:bCs/>
        </w:rPr>
        <w:t xml:space="preserve">peggiora</w:t>
      </w:r>
      <w:r>
        <w:t xml:space="preserve"> </w:t>
      </w:r>
      <w:r>
        <w:t xml:space="preserve">il sintomo per almeno mezz’ora, e sotto si comporta come il non fare niente (Coombes, 2016, PMID 26889612). Finché la soglia è bassa, la finestra di carico lavorabile è stretta: si lavora</w:t>
      </w:r>
      <w:r>
        <w:t xml:space="preserve"> </w:t>
      </w:r>
      <w:r>
        <w:rPr>
          <w:b/>
          <w:bCs/>
        </w:rPr>
        <w:t xml:space="preserve">sotto</w:t>
      </w:r>
      <w:r>
        <w:t xml:space="preserve"> </w:t>
      </w:r>
      <w:r>
        <w:t xml:space="preserve">quella soglia, e allargarla è il primo obiettivo. Il nervo viene prima ancora, per un’altra ragione: non è un piano di lavoro, è una porta d’uscita.</w:t>
      </w:r>
    </w:p>
    <w:p>
      <w:pPr>
        <w:pStyle w:val="BodyText"/>
      </w:pPr>
      <w:r>
        <w:rPr>
          <w:b/>
          <w:bCs/>
        </w:rPr>
        <w:t xml:space="preserve">E una regola del metodo che qui non si applica.</w:t>
      </w:r>
      <w:r>
        <w:t xml:space="preserve"> </w:t>
      </w:r>
      <w:r>
        <w:t xml:space="preserve">La regola</w:t>
      </w:r>
      <w:r>
        <w:t xml:space="preserve"> </w:t>
      </w:r>
      <w:r>
        <w:rPr>
          <w:i/>
          <w:iCs/>
        </w:rPr>
        <w:t xml:space="preserve">«non trattare il punto in cui il paziente sente»</w:t>
      </w:r>
      <w:r>
        <w:t xml:space="preserve"> </w:t>
      </w:r>
      <w:r>
        <w:t xml:space="preserve">non vale per la scelta del bersaglio su questa condizione, e</w:t>
      </w:r>
      <w:r>
        <w:t xml:space="preserve"> </w:t>
      </w:r>
      <w:r>
        <w:rPr>
          <w:b/>
          <w:bCs/>
        </w:rPr>
        <w:t xml:space="preserve">non viene attenuata: viene tolta.</w:t>
      </w:r>
      <w:r>
        <w:t xml:space="preserve"> </w:t>
      </w:r>
      <w:r>
        <w:t xml:space="preserve">Il motivo è un fatto: gli interventi con le prove migliori si applicano proprio sull’origine degli estensori e sul gesto che fa male. Resta intatta la regola di</w:t>
      </w:r>
      <w:r>
        <w:t xml:space="preserve"> </w:t>
      </w:r>
      <w:r>
        <w:rPr>
          <w:b/>
          <w:bCs/>
        </w:rPr>
        <w:t xml:space="preserve">verifica</w:t>
      </w:r>
      <w:r>
        <w:t xml:space="preserve">: il marker con cui rivaluti appartiene a un piano che non hai trattato.</w:t>
      </w:r>
    </w:p>
    <w:bookmarkEnd w:id="42"/>
    <w:bookmarkStart w:id="43" w:name="la-road-map"/>
    <w:p>
      <w:pPr>
        <w:pStyle w:val="Heading3"/>
      </w:pPr>
      <w:r>
        <w:t xml:space="preserve">La Road Map</w:t>
      </w:r>
    </w:p>
    <w:p>
      <w:pPr>
        <w:pStyle w:val="Compact"/>
        <w:numPr>
          <w:ilvl w:val="0"/>
          <w:numId w:val="1023"/>
        </w:numPr>
      </w:pPr>
      <w:r>
        <w:rPr>
          <w:b/>
          <w:bCs/>
        </w:rPr>
        <w:t xml:space="preserve">C’è una bandiera rossa?</w:t>
      </w:r>
      <w:r>
        <w:t xml:space="preserve"> </w:t>
      </w:r>
      <w:r>
        <w:t xml:space="preserve">Se sì, esci dal ragionamento e vai al triage.</w:t>
      </w:r>
    </w:p>
    <w:p>
      <w:pPr>
        <w:pStyle w:val="Compact"/>
        <w:numPr>
          <w:ilvl w:val="0"/>
          <w:numId w:val="1023"/>
        </w:numPr>
      </w:pPr>
      <w:r>
        <w:rPr>
          <w:b/>
          <w:bCs/>
        </w:rPr>
        <w:t xml:space="preserve">C’è un sospetto di nervo?</w:t>
      </w:r>
      <w:r>
        <w:t xml:space="preserve"> </w:t>
      </w:r>
      <w:r>
        <w:t xml:space="preserve">Formicolio, dolore distale, dolore notturno slegato dal carico. Se sì, il canale medico si apre oggi, e nel frattempo lavori su quello che hai trovato.</w:t>
      </w:r>
    </w:p>
    <w:p>
      <w:pPr>
        <w:pStyle w:val="Compact"/>
        <w:numPr>
          <w:ilvl w:val="0"/>
          <w:numId w:val="1023"/>
        </w:numPr>
      </w:pPr>
      <w:r>
        <w:rPr>
          <w:b/>
          <w:bCs/>
        </w:rPr>
        <w:t xml:space="preserve">Qual è il livello di attivazione?</w:t>
      </w:r>
      <w:r>
        <w:t xml:space="preserve"> </w:t>
      </w:r>
      <w:r>
        <w:t xml:space="preserve">Dolore allargato, freddo, paura del movimento, evento di vita. Se comanda questo, la seduta cambia forma prima ancora di cambiare bersaglio.</w:t>
      </w:r>
    </w:p>
    <w:p>
      <w:pPr>
        <w:pStyle w:val="Compact"/>
        <w:numPr>
          <w:ilvl w:val="0"/>
          <w:numId w:val="1023"/>
        </w:numPr>
      </w:pPr>
      <w:r>
        <w:rPr>
          <w:b/>
          <w:bCs/>
        </w:rPr>
        <w:t xml:space="preserve">Qual è il gesto, e con che forza?</w:t>
      </w:r>
      <w:r>
        <w:t xml:space="preserve"> </w:t>
      </w:r>
      <w:r>
        <w:t xml:space="preserve">Fatti mostrare la presa, non fartela raccontare. È la domanda che nessuno gli ha fatto.</w:t>
      </w:r>
    </w:p>
    <w:p>
      <w:pPr>
        <w:pStyle w:val="Compact"/>
        <w:numPr>
          <w:ilvl w:val="0"/>
          <w:numId w:val="1023"/>
        </w:numPr>
      </w:pPr>
      <w:r>
        <w:rPr>
          <w:b/>
          <w:bCs/>
        </w:rPr>
        <w:t xml:space="preserve">La catena a monte e il rachide partecipano?</w:t>
      </w:r>
      <w:r>
        <w:t xml:space="preserve"> </w:t>
      </w:r>
      <w:r>
        <w:t xml:space="preserve">Escursione di spalla, controllo scapolare, rotazione dell’avambraccio. E il collo, che va cercato e non aspettato.</w:t>
      </w:r>
      <w:r>
        <w:t xml:space="preserve"> </w:t>
      </w:r>
      <w:r>
        <w:rPr>
          <w:b/>
          <w:bCs/>
        </w:rPr>
        <w:t xml:space="preserve">I quattro segnali di dominanza cervicale, tutti misurati in questi pazienti:</w:t>
      </w:r>
      <w:r>
        <w:t xml:space="preserve"> </w:t>
      </w:r>
      <w:r>
        <w:t xml:space="preserve">dolore cervicale o dorsale concomitante, che riguarda il 70% di loro; escursione cervicale ridotta; risposta al test neurodinamico del radiale; gomito che non risponde al lavoro locale (Berglund, 2008, PMID 17942362). Il dolore cervicale iniziale</w:t>
      </w:r>
      <w:r>
        <w:t xml:space="preserve"> </w:t>
      </w:r>
      <w:r>
        <w:rPr>
          <w:b/>
          <w:bCs/>
        </w:rPr>
        <w:t xml:space="preserve">predice</w:t>
      </w:r>
      <w:r>
        <w:t xml:space="preserve"> </w:t>
      </w:r>
      <w:r>
        <w:t xml:space="preserve">anche un dolore peggiore a dodici mesi (Smidt, 2006, PMID 16881095).</w:t>
      </w:r>
    </w:p>
    <w:p>
      <w:pPr>
        <w:pStyle w:val="Compact"/>
        <w:numPr>
          <w:ilvl w:val="0"/>
          <w:numId w:val="1023"/>
        </w:numPr>
      </w:pPr>
      <w:r>
        <w:rPr>
          <w:b/>
          <w:bCs/>
        </w:rPr>
        <w:t xml:space="preserve">Il tessuto locale in che fase è?</w:t>
      </w:r>
      <w:r>
        <w:t xml:space="preserve"> </w:t>
      </w:r>
      <w:r>
        <w:t xml:space="preserve">Reattivo recente o persistente: cambia se progredisci o se aspetti.</w:t>
      </w:r>
    </w:p>
    <w:bookmarkEnd w:id="43"/>
    <w:bookmarkStart w:id="44" w:name="X2e1a7f659545aaf9867edbe9d027b05d4be04b3"/>
    <w:p>
      <w:pPr>
        <w:pStyle w:val="Heading3"/>
      </w:pPr>
      <w:r>
        <w:t xml:space="preserve">La prova della chiave di volta, e i marker di questa condizione</w:t>
      </w:r>
    </w:p>
    <w:p>
      <w:pPr>
        <w:pStyle w:val="FirstParagraph"/>
      </w:pPr>
      <w:r>
        <w:rPr>
          <w:b/>
          <w:bCs/>
        </w:rPr>
        <w:t xml:space="preserve">La prova della chiave di volta</w:t>
      </w:r>
      <w:r>
        <w:t xml:space="preserve"> </w:t>
      </w:r>
      <w:r>
        <w:t xml:space="preserve">è il nome del metodo per questa verifica: tocchi un solo piano e guardi se si muove un segno che appartiene a</w:t>
      </w:r>
      <w:r>
        <w:t xml:space="preserve"> </w:t>
      </w:r>
      <w:r>
        <w:rPr>
          <w:b/>
          <w:bCs/>
        </w:rPr>
        <w:t xml:space="preserve">un altro</w:t>
      </w:r>
      <w:r>
        <w:t xml:space="preserve">. Se si muove, quel piano reggeva anche gli altri. È l’interruttore che premi in cucina mentre guardi la lampadina del corridoio. Il segno si chiama marker.</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che funziona ha quattro requisiti. Si misura in meno di un minuto, con lo stesso metodo prima e dopo. È scelto</w:t>
      </w:r>
      <w:r>
        <w:t xml:space="preserve"> </w:t>
      </w:r>
      <w:r>
        <w:rPr>
          <w:b/>
          <w:bCs/>
        </w:rPr>
        <w:t xml:space="preserve">prima</w:t>
      </w:r>
      <w:r>
        <w:t xml:space="preserve"> </w:t>
      </w:r>
      <w:r>
        <w:t xml:space="preserve">di trattare. Appartiene a</w:t>
      </w:r>
      <w:r>
        <w:t xml:space="preserve"> </w:t>
      </w:r>
      <w:r>
        <w:rPr>
          <w:b/>
          <w:bCs/>
        </w:rPr>
        <w:t xml:space="preserve">un piano che non hai trattato</w:t>
      </w:r>
      <w:r>
        <w:t xml:space="preserve">. E ha una soglia dichiarata.</w:t>
      </w:r>
    </w:p>
    <w:p>
      <w:pPr>
        <w:pStyle w:val="BodyText"/>
      </w:pPr>
      <w:r>
        <w:t xml:space="preserve">Qui il primo e il terzo requisito confliggono, perché i piani che tratti coprono quasi tutto ciò che si misura a mani nude.</w:t>
      </w:r>
      <w:r>
        <w:t xml:space="preserve"> </w:t>
      </w:r>
      <w:r>
        <w:rPr>
          <w:b/>
          <w:bCs/>
        </w:rPr>
        <w:t xml:space="preserve">Ogni marker appartiene allora a un piano diverso, e la tabella dice quale decide a seconda di dove hai lavorato.</w:t>
      </w:r>
    </w:p>
    <w:p>
      <w:pPr>
        <w:pStyle w:val="BodyText"/>
      </w:pPr>
      <w:r>
        <w:rPr>
          <w:b/>
          <w:bCs/>
        </w:rPr>
        <w:t xml:space="preserve">I quattro marker.</w:t>
      </w:r>
    </w:p>
    <w:p>
      <w:pPr>
        <w:pStyle w:val="Compact"/>
        <w:numPr>
          <w:ilvl w:val="0"/>
          <w:numId w:val="1024"/>
        </w:numPr>
      </w:pPr>
      <w:r>
        <w:rPr>
          <w:b/>
          <w:bCs/>
        </w:rPr>
        <w:t xml:space="preserve">Forza di presa senza dolore</w:t>
      </w:r>
      <w:r>
        <w:t xml:space="preserve"> </w:t>
      </w:r>
      <w:r>
        <w:t xml:space="preserve">(dinamometro). Il paziente stringe fino alla prima comparsa di dolore e si ferma.</w:t>
      </w:r>
      <w:r>
        <w:t xml:space="preserve"> </w:t>
      </w:r>
      <w:r>
        <w:rPr>
          <w:b/>
          <w:bCs/>
        </w:rPr>
        <w:t xml:space="preserve">Media di tre prove</w:t>
      </w:r>
      <w:r>
        <w:t xml:space="preserve">, perché è su quella che le soglie sono calcolate.</w:t>
      </w:r>
      <w:r>
        <w:t xml:space="preserve"> </w:t>
      </w:r>
      <w:r>
        <w:rPr>
          <w:b/>
          <w:bCs/>
        </w:rPr>
        <w:t xml:space="preserve">Posizione obbligatoria e sempre la stessa:</w:t>
      </w:r>
      <w:r>
        <w:t xml:space="preserve"> </w:t>
      </w:r>
      <w:r>
        <w:t xml:space="preserve">spalla neutra, gomito a 90°, avambraccio neutro. Cambiarla invalida il confronto (Cooke,</w:t>
      </w:r>
      <w:r>
        <w:t xml:space="preserve"> </w:t>
      </w:r>
      <w:r>
        <w:rPr>
          <w:i/>
          <w:iCs/>
        </w:rPr>
        <w:t xml:space="preserve">Physiother Res Int</w:t>
      </w:r>
      <w:r>
        <w:t xml:space="preserve"> </w:t>
      </w:r>
      <w:r>
        <w:t xml:space="preserve">2021, PMID 33772973).</w:t>
      </w:r>
      <w:r>
        <w:t xml:space="preserve"> </w:t>
      </w:r>
      <w:r>
        <w:rPr>
          <w:b/>
          <w:bCs/>
        </w:rPr>
        <w:t xml:space="preserve">E sempre senza ortesi, in entrambe le misure:</w:t>
      </w:r>
      <w:r>
        <w:t xml:space="preserve"> </w:t>
      </w:r>
      <w:r>
        <w:t xml:space="preserve">la fascia epicondiloidea da sola migliora la presa senza dolore (Heales, 2020, PMID 32452393).</w:t>
      </w:r>
      <w:r>
        <w:t xml:space="preserve"> </w:t>
      </w:r>
      <w:r>
        <w:rPr>
          <w:b/>
          <w:bCs/>
        </w:rPr>
        <w:t xml:space="preserve">Soglia: 52 N entro la seduta, 92 N fra due sedute.</w:t>
      </w:r>
      <w:r>
        <w:t xml:space="preserve"> </w:t>
      </w:r>
      <w:r>
        <w:t xml:space="preserve">Provenienza: sono le differenze minime rilevabili pubblicate</w:t>
      </w:r>
      <w:r>
        <w:t xml:space="preserve"> </w:t>
      </w:r>
      <w:r>
        <w:rPr>
          <w:b/>
          <w:bCs/>
        </w:rPr>
        <w:t xml:space="preserve">per questa condizione</w:t>
      </w:r>
      <w:r>
        <w:t xml:space="preserve">, su 23 pazienti, sulla media di tre prove (Hill,</w:t>
      </w:r>
      <w:r>
        <w:t xml:space="preserve"> </w:t>
      </w:r>
      <w:r>
        <w:rPr>
          <w:i/>
          <w:iCs/>
        </w:rPr>
        <w:t xml:space="preserve">Physiother Theory Pract</w:t>
      </w:r>
      <w:r>
        <w:t xml:space="preserve"> </w:t>
      </w:r>
      <w:r>
        <w:t xml:space="preserve">2023, PMID 35114892); sulla prova singola salgono a 118-133 N. La riproducibilità fra operatori è 0,97 (Smidt, 2002, PMID 12161838).</w:t>
      </w:r>
      <w:r>
        <w:t xml:space="preserve"> </w:t>
      </w:r>
      <w:r>
        <w:rPr>
          <w:b/>
          <w:bCs/>
        </w:rPr>
        <w:t xml:space="preserve">La convenzione del 10% resta al di sotto di queste cifre: non distingue l’effetto dall’errore di misura.</w:t>
      </w:r>
    </w:p>
    <w:p>
      <w:pPr>
        <w:pStyle w:val="Compact"/>
        <w:numPr>
          <w:ilvl w:val="0"/>
          <w:numId w:val="1024"/>
        </w:numPr>
      </w:pPr>
      <w:r>
        <w:rPr>
          <w:b/>
          <w:bCs/>
        </w:rPr>
        <w:t xml:space="preserve">Numero di test di provocazione positivi su tre.</w:t>
      </w:r>
      <w:r>
        <w:t xml:space="preserve"> </w:t>
      </w:r>
      <w:r>
        <w:t xml:space="preserve">Il criterio di positività va dichiarato, altrimenti due misure non sono confrontabili:</w:t>
      </w:r>
      <w:r>
        <w:t xml:space="preserve"> </w:t>
      </w:r>
      <w:r>
        <w:rPr>
          <w:b/>
          <w:bCs/>
        </w:rPr>
        <w:t xml:space="preserve">il test riproduce il dolore del paziente sull’epicondilo</w:t>
      </w:r>
      <w:r>
        <w:t xml:space="preserve">, non un fastidio generico e non un dolore altrove. I tre test sono: estensione resistita del polso; estensione resistita del terzo dito, cioè il test di Maudsley, con la base anatomica in «Le strutture in gioco»; presa a gomito esteso.</w:t>
      </w:r>
      <w:r>
        <w:t xml:space="preserve"> </w:t>
      </w:r>
      <w:r>
        <w:rPr>
          <w:b/>
          <w:bCs/>
        </w:rPr>
        <w:t xml:space="preserve">Soglia: un test che passa da positivo a negativo.</w:t>
      </w:r>
      <w:r>
        <w:t xml:space="preserve"> </w:t>
      </w:r>
      <w:r>
        <w:t xml:space="preserve">Provenienza: è l’unità dello strumento, perché mezzi test non esistono.</w:t>
      </w:r>
    </w:p>
    <w:p>
      <w:pPr>
        <w:pStyle w:val="Compact"/>
        <w:numPr>
          <w:ilvl w:val="0"/>
          <w:numId w:val="1024"/>
        </w:numPr>
      </w:pPr>
      <w:r>
        <w:rPr>
          <w:b/>
          <w:bCs/>
        </w:rPr>
        <w:t xml:space="preserve">Rotazione cervicale attiva, in gradi, lato sintomatico. Soglia: 10 gradi.</w:t>
      </w:r>
      <w:r>
        <w:t xml:space="preserve"> </w:t>
      </w:r>
      <w:r>
        <w:t xml:space="preserve">Provenienza: è il doppio dell’errore tipico di quella goniometria, dichiarato come tale. È il marker fuori piano quando tratti gomito e avambraccio, e la sua alterazione in questi pazienti è misurata (Berglund, 2008, PMID 17942362).</w:t>
      </w:r>
    </w:p>
    <w:p>
      <w:pPr>
        <w:pStyle w:val="Compact"/>
        <w:numPr>
          <w:ilvl w:val="0"/>
          <w:numId w:val="1024"/>
        </w:numPr>
      </w:pPr>
      <w:r>
        <w:rPr>
          <w:b/>
          <w:bCs/>
        </w:rPr>
        <w:t xml:space="preserve">Soglia algometrica sull’avambraccio controlaterale</w:t>
      </w:r>
      <w:r>
        <w:t xml:space="preserve">, dove il paziente non ha sintomi.</w:t>
      </w:r>
      <w:r>
        <w:t xml:space="preserve"> </w:t>
      </w:r>
      <w:r>
        <w:rPr>
          <w:b/>
          <w:bCs/>
        </w:rPr>
        <w:t xml:space="preserve">Soglia: il 15% del valore di partenza.</w:t>
      </w:r>
      <w:r>
        <w:t xml:space="preserve"> </w:t>
      </w:r>
      <w:r>
        <w:t xml:space="preserve">Provenienza: è una convenzione, e</w:t>
      </w:r>
      <w:r>
        <w:t xml:space="preserve"> </w:t>
      </w:r>
      <w:r>
        <w:rPr>
          <w:b/>
          <w:bCs/>
        </w:rPr>
        <w:t xml:space="preserve">potrebbe non superare l’errore dello strumento</w:t>
      </w:r>
      <w:r>
        <w:t xml:space="preserve"> </w:t>
      </w:r>
      <w:r>
        <w:t xml:space="preserve">— riproducibilità 0,77, differenze sistematiche fra operatori, differenza minima rilevabile maggiore del 10% dell’intervallo di misura (Smidt, 2002, PMID 12161838). È l’unico marker fuori da ogni piano trattato, richiede un algometro, e</w:t>
      </w:r>
      <w:r>
        <w:t xml:space="preserve"> </w:t>
      </w:r>
      <w:r>
        <w:rPr>
          <w:b/>
          <w:bCs/>
        </w:rPr>
        <w:t xml:space="preserve">sul piano dell’attivazione è la conferma, non il marker primario: quello è la rotazione cervicale.</w:t>
      </w:r>
    </w:p>
    <w:p>
      <w:pPr>
        <w:pStyle w:val="FirstParagraph"/>
      </w:pPr>
      <w:r>
        <w:rPr>
          <w:b/>
          <w:bCs/>
        </w:rPr>
        <w:t xml:space="preserve">Quale marker decide, a seconda di dove hai lavorato.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Piano che hai trattato</w:t>
            </w:r>
          </w:p>
        </w:tc>
        <w:tc>
          <w:tcPr/>
          <w:p>
            <w:pPr>
              <w:pStyle w:val="Compact"/>
            </w:pPr>
            <w:r>
              <w:t xml:space="preserve">Marker che decide</w:t>
            </w:r>
          </w:p>
        </w:tc>
        <w:tc>
          <w:tcPr/>
          <w:p>
            <w:pPr>
              <w:pStyle w:val="Compact"/>
            </w:pPr>
            <w:r>
              <w:t xml:space="preserve">Soglia</w:t>
            </w:r>
          </w:p>
        </w:tc>
      </w:tr>
      <w:tr>
        <w:tc>
          <w:tcPr/>
          <w:p>
            <w:pPr>
              <w:pStyle w:val="Compact"/>
            </w:pPr>
            <w:r>
              <w:t xml:space="preserve">Gomito e avambraccio</w:t>
            </w:r>
          </w:p>
        </w:tc>
        <w:tc>
          <w:tcPr/>
          <w:p>
            <w:pPr>
              <w:pStyle w:val="Compact"/>
            </w:pPr>
            <w:r>
              <w:t xml:space="preserve">Rotazione cervicale</w:t>
            </w:r>
          </w:p>
        </w:tc>
        <w:tc>
          <w:tcPr/>
          <w:p>
            <w:pPr>
              <w:pStyle w:val="Compact"/>
            </w:pPr>
            <w:r>
              <w:t xml:space="preserve">10 gradi</w:t>
            </w:r>
          </w:p>
        </w:tc>
      </w:tr>
      <w:tr>
        <w:tc>
          <w:tcPr/>
          <w:p>
            <w:pPr>
              <w:pStyle w:val="Compact"/>
            </w:pPr>
            <w:r>
              <w:t xml:space="preserve">Collo e dorsale alto</w:t>
            </w:r>
          </w:p>
        </w:tc>
        <w:tc>
          <w:tcPr/>
          <w:p>
            <w:pPr>
              <w:pStyle w:val="Compact"/>
            </w:pPr>
            <w:r>
              <w:t xml:space="preserve">Forza di presa senza dolore</w:t>
            </w:r>
          </w:p>
        </w:tc>
        <w:tc>
          <w:tcPr/>
          <w:p>
            <w:pPr>
              <w:pStyle w:val="Compact"/>
            </w:pPr>
            <w:r>
              <w:t xml:space="preserve">52 N</w:t>
            </w:r>
          </w:p>
        </w:tc>
      </w:tr>
      <w:tr>
        <w:tc>
          <w:tcPr/>
          <w:p>
            <w:pPr>
              <w:pStyle w:val="Compact"/>
            </w:pPr>
            <w:r>
              <w:t xml:space="preserve">Spalla e scapola</w:t>
            </w:r>
          </w:p>
        </w:tc>
        <w:tc>
          <w:tcPr/>
          <w:p>
            <w:pPr>
              <w:pStyle w:val="Compact"/>
            </w:pPr>
            <w:r>
              <w:t xml:space="preserve">Test di provocazione</w:t>
            </w:r>
          </w:p>
        </w:tc>
        <w:tc>
          <w:tcPr/>
          <w:p>
            <w:pPr>
              <w:pStyle w:val="Compact"/>
            </w:pPr>
            <w:r>
              <w:t xml:space="preserve">Uno che cambia</w:t>
            </w:r>
          </w:p>
        </w:tc>
      </w:tr>
      <w:tr>
        <w:tc>
          <w:tcPr/>
          <w:p>
            <w:pPr>
              <w:pStyle w:val="Compact"/>
            </w:pPr>
            <w:r>
              <w:t xml:space="preserve">Livello di attivazione</w:t>
            </w:r>
          </w:p>
        </w:tc>
        <w:tc>
          <w:tcPr/>
          <w:p>
            <w:pPr>
              <w:pStyle w:val="Compact"/>
            </w:pPr>
            <w:r>
              <w:t xml:space="preserve">Rotazione cervicale</w:t>
            </w:r>
          </w:p>
        </w:tc>
        <w:tc>
          <w:tcPr/>
          <w:p>
            <w:pPr>
              <w:pStyle w:val="Compact"/>
            </w:pPr>
            <w:r>
              <w:t xml:space="preserve">10 gradi</w:t>
            </w:r>
          </w:p>
        </w:tc>
      </w:tr>
      <w:tr>
        <w:tc>
          <w:tcPr/>
          <w:p>
            <w:pPr>
              <w:pStyle w:val="Compact"/>
            </w:pPr>
            <w:r>
              <w:t xml:space="preserve">Carico e gesto</w:t>
            </w:r>
          </w:p>
        </w:tc>
        <w:tc>
          <w:tcPr/>
          <w:p>
            <w:pPr>
              <w:pStyle w:val="Compact"/>
            </w:pPr>
            <w:r>
              <w:t xml:space="preserve">Presa senza dolore, fra due sedute</w:t>
            </w:r>
          </w:p>
        </w:tc>
        <w:tc>
          <w:tcPr/>
          <w:p>
            <w:pPr>
              <w:pStyle w:val="Compact"/>
            </w:pPr>
            <w:r>
              <w:t xml:space="preserve">92 N</w:t>
            </w:r>
          </w:p>
        </w:tc>
      </w:tr>
    </w:tbl>
    <w:p>
      <w:pPr>
        <w:pStyle w:val="BodyText"/>
      </w:pPr>
      <w:r>
        <w:rPr>
          <w:b/>
          <w:bCs/>
        </w:rPr>
        <w:t xml:space="preserve">Tre regole che la tabella non contiene.</w:t>
      </w:r>
    </w:p>
    <w:p>
      <w:pPr>
        <w:pStyle w:val="Compact"/>
        <w:numPr>
          <w:ilvl w:val="0"/>
          <w:numId w:val="1025"/>
        </w:numPr>
      </w:pPr>
      <w:r>
        <w:rPr>
          <w:b/>
          <w:bCs/>
        </w:rPr>
        <w:t xml:space="preserve">Sul carico e sul gesto la verifica non sta dentro la seduta</w:t>
      </w:r>
      <w:r>
        <w:t xml:space="preserve">, perché il meccanismo è cumulativo. Si misura fra due sedute, ed è l’unico marker che attraversa la settimana.</w:t>
      </w:r>
    </w:p>
    <w:p>
      <w:pPr>
        <w:pStyle w:val="Compact"/>
        <w:numPr>
          <w:ilvl w:val="0"/>
          <w:numId w:val="1025"/>
        </w:numPr>
      </w:pPr>
      <w:r>
        <w:rPr>
          <w:b/>
          <w:bCs/>
        </w:rPr>
        <w:t xml:space="preserve">Con due piani toccati nella stessa seduta decide il marker che resta fuori da entrambi.</w:t>
      </w:r>
      <w:r>
        <w:t xml:space="preserve"> </w:t>
      </w:r>
      <w:r>
        <w:t xml:space="preserve">Se tratti spalla e avambraccio insieme, i test di provocazione non sono più fuori piano; la rotazione cervicale sì.</w:t>
      </w:r>
    </w:p>
    <w:p>
      <w:pPr>
        <w:pStyle w:val="Compact"/>
        <w:numPr>
          <w:ilvl w:val="0"/>
          <w:numId w:val="1025"/>
        </w:numPr>
      </w:pPr>
      <w:r>
        <w:rPr>
          <w:b/>
          <w:bCs/>
        </w:rPr>
        <w:t xml:space="preserve">Per l’ultima riga vale una precisazione.</w:t>
      </w:r>
      <w:r>
        <w:t xml:space="preserve"> </w:t>
      </w:r>
      <w:r>
        <w:t xml:space="preserve">Lì la presa senza dolore è l’esito cumulativo del piano trattato: misura l’effetto, non smentisce l’ipotesi. Se ti serve una smentita, il marker resta uno degli altri tre.</w:t>
      </w:r>
    </w:p>
    <w:p>
      <w:pPr>
        <w:pStyle w:val="BlockText"/>
      </w:pPr>
      <w:r>
        <w:rPr>
          <w:b/>
          <w:bCs/>
        </w:rPr>
        <w:t xml:space="preserve">Attenzione.</w:t>
      </w:r>
      <w:r>
        <w:t xml:space="preserve"> </w:t>
      </w:r>
      <w:r>
        <w:t xml:space="preserve">Quello che non fai mai è trattare il gomito e rimisurare il gomito chiamandolo verifica. Quella è la misura dell’effetto immediato del tuo gesto, ed è un’altra cosa: utile da mostrare al paziente, inutile per sapere se l’ipotesi era giusta.</w:t>
      </w:r>
    </w:p>
    <w:p>
      <w:pPr>
        <w:pStyle w:val="FirstParagraph"/>
      </w:pPr>
      <w:r>
        <w:rPr>
          <w:b/>
          <w:bCs/>
        </w:rPr>
        <w:t xml:space="preserve">Quando il marker non si muove.</w:t>
      </w:r>
      <w:r>
        <w:t xml:space="preserve"> </w:t>
      </w:r>
      <w:r>
        <w:t xml:space="preserve">Non è una rinuncia, è un’informazione: l’ipotesi era sbagliata. Si torna alla Road Map, si promuove il meccanismo successivo, e</w:t>
      </w:r>
      <w:r>
        <w:t xml:space="preserve"> </w:t>
      </w:r>
      <w:r>
        <w:rPr>
          <w:b/>
          <w:bCs/>
        </w:rPr>
        <w:t xml:space="preserve">il cambio di ipotesi si scrive in cartella</w:t>
      </w:r>
      <w:r>
        <w:t xml:space="preserve"> </w:t>
      </w:r>
      <w:r>
        <w:t xml:space="preserve">con la data. Un meccanismo che non regge la verifica non si tratta di nuovo con più forza: si sostituisce.</w:t>
      </w:r>
    </w:p>
    <w:p>
      <w:pPr>
        <w:pStyle w:val="BodyText"/>
      </w:pPr>
      <w:r>
        <w:rPr>
          <w:b/>
          <w:bCs/>
        </w:rPr>
        <w:t xml:space="preserve">Due misure che non sono marker, e servono lo stesso.</w:t>
      </w:r>
    </w:p>
    <w:p>
      <w:pPr>
        <w:pStyle w:val="Compact"/>
        <w:numPr>
          <w:ilvl w:val="0"/>
          <w:numId w:val="1026"/>
        </w:numPr>
      </w:pPr>
      <w:r>
        <w:rPr>
          <w:b/>
          <w:bCs/>
        </w:rPr>
        <w:t xml:space="preserve">La tolleranza al freddo, alla prima seduta.</w:t>
      </w:r>
      <w:r>
        <w:t xml:space="preserve"> </w:t>
      </w:r>
      <w:r>
        <w:t xml:space="preserve">Sono i secondi alla prima comparsa di dolore, con un pack a temperatura standard sull’avambraccio. È</w:t>
      </w:r>
      <w:r>
        <w:t xml:space="preserve"> </w:t>
      </w:r>
      <w:r>
        <w:rPr>
          <w:b/>
          <w:bCs/>
        </w:rPr>
        <w:t xml:space="preserve">screening prognostico</w:t>
      </w:r>
      <w:r>
        <w:t xml:space="preserve">, non verifica di seduta (Coombes, 2015, PMID 24480912). Serve a riconoscere il dolore allargato</w:t>
      </w:r>
      <w:r>
        <w:t xml:space="preserve"> </w:t>
      </w:r>
      <w:r>
        <w:rPr>
          <w:b/>
          <w:bCs/>
        </w:rPr>
        <w:t xml:space="preserve">senza algometro</w:t>
      </w:r>
      <w:r>
        <w:t xml:space="preserve">, ed è un surrogato a bassa fedeltà della soglia di laboratorio: si dichiara come tale.</w:t>
      </w:r>
    </w:p>
    <w:p>
      <w:pPr>
        <w:pStyle w:val="Compact"/>
        <w:numPr>
          <w:ilvl w:val="0"/>
          <w:numId w:val="1026"/>
        </w:numPr>
      </w:pPr>
      <w:r>
        <w:rPr>
          <w:b/>
          <w:bCs/>
        </w:rPr>
        <w:t xml:space="preserve">La rigidità del mattino dopo.</w:t>
      </w:r>
      <w:r>
        <w:t xml:space="preserve"> </w:t>
      </w:r>
      <w:r>
        <w:t xml:space="preserve">In una tendinopatia la seduta è la finestra sbagliata per sapere se il carico è stato tollerato: lo dice il gomito la mattina seguente.</w:t>
      </w:r>
      <w:r>
        <w:t xml:space="preserve"> </w:t>
      </w:r>
      <w:r>
        <w:rPr>
          <w:b/>
          <w:bCs/>
        </w:rPr>
        <w:t xml:space="preserve">RAGIONAMENTO</w:t>
      </w:r>
      <w:r>
        <w:t xml:space="preserve"> </w:t>
      </w:r>
      <w:r>
        <w:rPr>
          <w:i/>
          <w:iCs/>
        </w:rPr>
        <w:t xml:space="preserve">(cornice clinica, non una prova)</w:t>
      </w:r>
      <w:r>
        <w:t xml:space="preserve">,</w:t>
      </w:r>
      <w:r>
        <w:t xml:space="preserve"> </w:t>
      </w:r>
      <w:r>
        <w:rPr>
          <w:b/>
          <w:bCs/>
        </w:rPr>
        <w:t xml:space="preserve">con il salto di sede dichiarato:</w:t>
      </w:r>
      <w:r>
        <w:t xml:space="preserve"> </w:t>
      </w:r>
      <w:r>
        <w:t xml:space="preserve">il monitoraggio del dolore come guida al carico è randomizzato sull’Achille, non sul gomito, e lì i due gruppi sono migliorati allo stesso modo (Silbernagel,</w:t>
      </w:r>
      <w:r>
        <w:t xml:space="preserve"> </w:t>
      </w:r>
      <w:r>
        <w:rPr>
          <w:i/>
          <w:iCs/>
        </w:rPr>
        <w:t xml:space="preserve">Am J Sports Med</w:t>
      </w:r>
      <w:r>
        <w:t xml:space="preserve"> </w:t>
      </w:r>
      <w:r>
        <w:t xml:space="preserve">2007, PMID 17307888).</w:t>
      </w:r>
    </w:p>
    <w:bookmarkEnd w:id="44"/>
    <w:bookmarkStart w:id="45" w:name="i-tre-stati-del-paziente"/>
    <w:p>
      <w:pPr>
        <w:pStyle w:val="Heading3"/>
      </w:pPr>
      <w:r>
        <w:t xml:space="preserve">I tre stati del paziente</w:t>
      </w:r>
    </w:p>
    <w:p>
      <w:pPr>
        <w:pStyle w:val="Compact"/>
        <w:numPr>
          <w:ilvl w:val="0"/>
          <w:numId w:val="1027"/>
        </w:numPr>
      </w:pPr>
      <w:r>
        <w:rPr>
          <w:b/>
          <w:bCs/>
        </w:rPr>
        <w:t xml:space="preserve">In difesa</w:t>
      </w:r>
      <w:r>
        <w:t xml:space="preserve"> </w:t>
      </w:r>
      <w:r>
        <w:t xml:space="preserve">— teso, monosillabi, ritrae il braccio. Parla al bisogno di</w:t>
      </w:r>
      <w:r>
        <w:t xml:space="preserve"> </w:t>
      </w:r>
      <w:r>
        <w:rPr>
          <w:b/>
          <w:bCs/>
        </w:rPr>
        <w:t xml:space="preserve">sicurezza</w:t>
      </w:r>
      <w:r>
        <w:t xml:space="preserve">: dici cosa farai prima di farlo, e cominci lontano dal punto che fa male.</w:t>
      </w:r>
    </w:p>
    <w:p>
      <w:pPr>
        <w:pStyle w:val="Compact"/>
        <w:numPr>
          <w:ilvl w:val="0"/>
          <w:numId w:val="1027"/>
        </w:numPr>
      </w:pPr>
      <w:r>
        <w:rPr>
          <w:b/>
          <w:bCs/>
        </w:rPr>
        <w:t xml:space="preserve">Emotivo</w:t>
      </w:r>
      <w:r>
        <w:t xml:space="preserve"> </w:t>
      </w:r>
      <w:r>
        <w:t xml:space="preserve">— racconta, associa il sintomo a un periodo, cerca ascolto. Parla al bisogno di</w:t>
      </w:r>
      <w:r>
        <w:t xml:space="preserve"> </w:t>
      </w:r>
      <w:r>
        <w:rPr>
          <w:b/>
          <w:bCs/>
        </w:rPr>
        <w:t xml:space="preserve">essere capito</w:t>
      </w:r>
      <w:r>
        <w:t xml:space="preserve">, ed è lo stato in cui la conduzione della seduta ha un effetto misurato.</w:t>
      </w:r>
    </w:p>
    <w:p>
      <w:pPr>
        <w:pStyle w:val="Compact"/>
        <w:numPr>
          <w:ilvl w:val="0"/>
          <w:numId w:val="1027"/>
        </w:numPr>
      </w:pPr>
      <w:r>
        <w:rPr>
          <w:b/>
          <w:bCs/>
        </w:rPr>
        <w:t xml:space="preserve">Razionale</w:t>
      </w:r>
      <w:r>
        <w:t xml:space="preserve"> </w:t>
      </w:r>
      <w:r>
        <w:t xml:space="preserve">— chiede il perché, vuole i numeri. Parla al bisogno di</w:t>
      </w:r>
      <w:r>
        <w:t xml:space="preserve"> </w:t>
      </w:r>
      <w:r>
        <w:rPr>
          <w:b/>
          <w:bCs/>
        </w:rPr>
        <w:t xml:space="preserve">logica</w:t>
      </w:r>
      <w:r>
        <w:t xml:space="preserve">: mostri il dinamometro prima e dopo, e dai il dato del cortisone.</w:t>
      </w:r>
    </w:p>
    <w:p>
      <w:pPr>
        <w:pStyle w:val="FirstParagraph"/>
      </w:pPr>
      <w:r>
        <w:rPr>
          <w:b/>
          <w:bCs/>
        </w:rPr>
        <w:t xml:space="preserve">Le tre cose da ricordare, più una</w:t>
      </w:r>
    </w:p>
    <w:p>
      <w:pPr>
        <w:pStyle w:val="Compact"/>
        <w:numPr>
          <w:ilvl w:val="0"/>
          <w:numId w:val="1028"/>
        </w:numPr>
      </w:pPr>
      <w:r>
        <w:t xml:space="preserve">La decisione su quale meccanismo comanda si prende prima di toccare, e si scrive.</w:t>
      </w:r>
    </w:p>
    <w:p>
      <w:pPr>
        <w:pStyle w:val="Compact"/>
        <w:numPr>
          <w:ilvl w:val="0"/>
          <w:numId w:val="1028"/>
        </w:numPr>
      </w:pPr>
      <w:r>
        <w:t xml:space="preserve">I marker sono quattro, scelti fuori piano l’uno rispetto all’altro, e quale decide dipende da dove hai lavorato.</w:t>
      </w:r>
    </w:p>
    <w:p>
      <w:pPr>
        <w:pStyle w:val="Compact"/>
        <w:numPr>
          <w:ilvl w:val="0"/>
          <w:numId w:val="1028"/>
        </w:numPr>
      </w:pPr>
      <w:r>
        <w:t xml:space="preserve">Il paziente con il sistema del dolore allargato è quello in cui hai più da fare: la leva è l’attivazione, e su questa condizione è misurata.</w:t>
      </w:r>
    </w:p>
    <w:p>
      <w:pPr>
        <w:pStyle w:val="Compact"/>
        <w:numPr>
          <w:ilvl w:val="0"/>
          <w:numId w:val="1028"/>
        </w:numPr>
      </w:pPr>
      <w:r>
        <w:rPr>
          <w:b/>
          <w:bCs/>
        </w:rPr>
        <w:t xml:space="preserve">Perché ci sei tu.</w:t>
      </w:r>
      <w:r>
        <w:t xml:space="preserve"> </w:t>
      </w:r>
      <w:r>
        <w:t xml:space="preserve">Su 68 pazienti con questa condizione, quindici minuti di interazione empatica hanno potenziato la modulazione del dolore rispetto a un’interazione neutra (Muhsen, 2020, PMID 32079999).</w:t>
      </w:r>
      <w:r>
        <w:t xml:space="preserve"> </w:t>
      </w:r>
      <w:r>
        <w:rPr>
          <w:b/>
          <w:bCs/>
        </w:rPr>
        <w:t xml:space="preserve">Per te:</w:t>
      </w:r>
      <w:r>
        <w:t xml:space="preserve"> </w:t>
      </w:r>
      <w:r>
        <w:t xml:space="preserve">il tempo dedicato all’ascolto non è tempo tolto al trattamento, ed è l’unica parte del tuo lavoro con un randomizzato su questi pazienti. Questo ti autorizza a considerare la conduzione della seduta parte del trattamento. Non ti autorizza a sostituirla al trattamento: quello studio ha misurato una risposta di soglia in laboratorio, non un esito clinico a settimane.</w:t>
      </w:r>
    </w:p>
    <w:p>
      <w:r>
        <w:pict>
          <v:rect style="width:0;height:1.5pt" o:hralign="center" o:hrstd="t" o:hr="t"/>
        </w:pict>
      </w:r>
    </w:p>
    <w:bookmarkEnd w:id="45"/>
    <w:bookmarkEnd w:id="46"/>
    <w:bookmarkStart w:id="52"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quasi mai è una manovra sbagliata: è un dolore laterale di gomito che non è una tendinopatia, e che aspetta.</w:t>
      </w:r>
    </w:p>
    <w:bookmarkStart w:id="47" w:name="le-bandiere-rosse"/>
    <w:p>
      <w:pPr>
        <w:pStyle w:val="Heading3"/>
      </w:pPr>
      <w:r>
        <w:t xml:space="preserve">Le bandiere rosse</w:t>
      </w:r>
    </w:p>
    <w:p>
      <w:pPr>
        <w:pStyle w:val="FirstParagraph"/>
      </w:pPr>
      <w:r>
        <w:t xml:space="preserve">Le righe qui sotto</w:t>
      </w:r>
      <w:r>
        <w:t xml:space="preserve"> </w:t>
      </w:r>
      <w:r>
        <w:rPr>
          <w:b/>
          <w:bCs/>
        </w:rPr>
        <w:t xml:space="preserve">combinano</w:t>
      </w:r>
      <w:r>
        <w:t xml:space="preserve"> </w:t>
      </w:r>
      <w:r>
        <w:t xml:space="preserve">due fonti. Le diagnosi differenziali della linea guida di riferimento (Lucado e coll.,</w:t>
      </w:r>
      <w:r>
        <w:t xml:space="preserve"> </w:t>
      </w:r>
      <w:r>
        <w:rPr>
          <w:i/>
          <w:iCs/>
        </w:rPr>
        <w:t xml:space="preserve">Clinical Practice Guidelines: Lateral Elbow Pain and Muscle Function Impairments</w:t>
      </w:r>
      <w:r>
        <w:t xml:space="preserve">,</w:t>
      </w:r>
      <w:r>
        <w:t xml:space="preserve"> </w:t>
      </w:r>
      <w:r>
        <w:rPr>
          <w:b/>
          <w:bCs/>
        </w:rPr>
        <w:t xml:space="preserve">JOSPT</w:t>
      </w:r>
      <w:r>
        <w:t xml:space="preserve"> </w:t>
      </w:r>
      <w:r>
        <w:t xml:space="preserve">2022, PMID 36453071). E i quadri di allarme documentati nella letteratura di questo capitolo.</w:t>
      </w:r>
      <w:r>
        <w:t xml:space="preserve"> </w:t>
      </w:r>
      <w:r>
        <w:rPr>
          <w:b/>
          <w:bCs/>
        </w:rPr>
        <w:t xml:space="preserve">La linea guida non pubblica una tabella di bandiere rosse:</w:t>
      </w:r>
      <w:r>
        <w:t xml:space="preserve"> </w:t>
      </w:r>
      <w:r>
        <w:t xml:space="preserve">elenca sette diagnosi differenziali e una sola istruzione di condotta, cioè inviare tempestivamente quando 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Gomito caldo/gonfio non traumatico, con o senza febbre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Schiocco con perdita di forza netta</w:t>
            </w:r>
          </w:p>
        </w:tc>
        <w:tc>
          <w:tcPr/>
          <w:p>
            <w:pPr>
              <w:pStyle w:val="Compact"/>
            </w:pPr>
            <w:r>
              <w:t xml:space="preserve">Ortopedico o PS</w:t>
            </w:r>
          </w:p>
        </w:tc>
        <w:tc>
          <w:tcPr/>
          <w:p>
            <w:pPr>
              <w:pStyle w:val="Compact"/>
            </w:pPr>
            <w:r>
              <w:t xml:space="preserve">Urgente</w:t>
            </w:r>
          </w:p>
        </w:tc>
        <w:tc>
          <w:tcPr/>
          <w:p>
            <w:pPr>
              <w:pStyle w:val="Compact"/>
            </w:pPr>
            <w:r>
              <w:t xml:space="preserve">ROSSO</w:t>
            </w:r>
          </w:p>
        </w:tc>
      </w:tr>
      <w:tr>
        <w:tc>
          <w:tcPr/>
          <w:p>
            <w:pPr>
              <w:pStyle w:val="Compact"/>
            </w:pPr>
            <w:r>
              <w:t xml:space="preserve">Trauma recente con blocco articolare</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Deficit di estensione di dita o polso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Dolore notturno ingravescente slegato dal carico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Sotto i venti anni, blocco o versamento</w:t>
            </w:r>
          </w:p>
        </w:tc>
        <w:tc>
          <w:tcPr/>
          <w:p>
            <w:pPr>
              <w:pStyle w:val="Compact"/>
            </w:pPr>
            <w:r>
              <w:t xml:space="preserve">Ortopedico</w:t>
            </w:r>
          </w:p>
        </w:tc>
        <w:tc>
          <w:tcPr/>
          <w:p>
            <w:pPr>
              <w:pStyle w:val="Compact"/>
            </w:pPr>
            <w:r>
              <w:t xml:space="preserve">Invio, non attendere</w:t>
            </w:r>
          </w:p>
        </w:tc>
        <w:tc>
          <w:tcPr/>
          <w:p>
            <w:pPr>
              <w:pStyle w:val="Compact"/>
            </w:pPr>
            <w:r>
              <w:t xml:space="preserve">ROSSO</w:t>
            </w:r>
          </w:p>
        </w:tc>
      </w:tr>
      <w:tr>
        <w:tc>
          <w:tcPr/>
          <w:p>
            <w:pPr>
              <w:pStyle w:val="Compact"/>
            </w:pPr>
            <w:r>
              <w:t xml:space="preserve">Fluorochinolone in corso o nell’ultimo mese</w:t>
            </w:r>
          </w:p>
        </w:tc>
        <w:tc>
          <w:tcPr/>
          <w:p>
            <w:pPr>
              <w:pStyle w:val="Compact"/>
            </w:pPr>
            <w:r>
              <w:t xml:space="preserve">Medico curante</w:t>
            </w:r>
          </w:p>
        </w:tc>
        <w:tc>
          <w:tcPr/>
          <w:p>
            <w:pPr>
              <w:pStyle w:val="Compact"/>
            </w:pPr>
            <w:r>
              <w:t xml:space="preserve">Scritto lo stesso giorno</w:t>
            </w:r>
          </w:p>
        </w:tc>
        <w:tc>
          <w:tcPr/>
          <w:p>
            <w:pPr>
              <w:pStyle w:val="Compact"/>
            </w:pPr>
            <w:r>
              <w:t xml:space="preserve">GIALLO PRIORITARIO</w:t>
            </w:r>
          </w:p>
        </w:tc>
      </w:tr>
      <w:tr>
        <w:tc>
          <w:tcPr/>
          <w:p>
            <w:pPr>
              <w:pStyle w:val="Compact"/>
            </w:pPr>
            <w:r>
              <w:t xml:space="preserve">Formicolio o ipoestesia persistenti</w:t>
            </w:r>
          </w:p>
        </w:tc>
        <w:tc>
          <w:tcPr/>
          <w:p>
            <w:pPr>
              <w:pStyle w:val="Compact"/>
            </w:pPr>
            <w:r>
              <w:t xml:space="preserve">Medico curante</w:t>
            </w:r>
          </w:p>
        </w:tc>
        <w:tc>
          <w:tcPr/>
          <w:p>
            <w:pPr>
              <w:pStyle w:val="Compact"/>
            </w:pPr>
            <w:r>
              <w:t xml:space="preserve">Invio</w:t>
            </w:r>
          </w:p>
        </w:tc>
        <w:tc>
          <w:tcPr/>
          <w:p>
            <w:pPr>
              <w:pStyle w:val="Compact"/>
            </w:pPr>
            <w:r>
              <w:t xml:space="preserve">GIALLO PRIORITARIO</w:t>
            </w:r>
          </w:p>
        </w:tc>
      </w:tr>
      <w:tr>
        <w:tc>
          <w:tcPr/>
          <w:p>
            <w:pPr>
              <w:pStyle w:val="Compact"/>
            </w:pPr>
            <w:r>
              <w:t xml:space="preserve">Scatto o cedimento in rotazione</w:t>
            </w:r>
          </w:p>
        </w:tc>
        <w:tc>
          <w:tcPr/>
          <w:p>
            <w:pPr>
              <w:pStyle w:val="Compact"/>
            </w:pPr>
            <w:r>
              <w:t xml:space="preserve">Ortopedico</w:t>
            </w:r>
          </w:p>
        </w:tc>
        <w:tc>
          <w:tcPr/>
          <w:p>
            <w:pPr>
              <w:pStyle w:val="Compact"/>
            </w:pPr>
            <w:r>
              <w:t xml:space="preserve">Invio</w:t>
            </w:r>
          </w:p>
        </w:tc>
        <w:tc>
          <w:tcPr/>
          <w:p>
            <w:pPr>
              <w:pStyle w:val="Compact"/>
            </w:pPr>
            <w:r>
              <w:t xml:space="preserve">GIALLO PRIORITARIO</w:t>
            </w:r>
          </w:p>
        </w:tc>
      </w:tr>
    </w:tbl>
    <w:p>
      <w:pPr>
        <w:pStyle w:val="BodyText"/>
      </w:pPr>
      <w:r>
        <w:rPr>
          <w:b/>
          <w:bCs/>
        </w:rPr>
        <w:t xml:space="preserve">Come si leggono sette righe, per esteso.</w:t>
      </w:r>
    </w:p>
    <w:p>
      <w:pPr>
        <w:pStyle w:val="Compact"/>
        <w:numPr>
          <w:ilvl w:val="0"/>
          <w:numId w:val="1029"/>
        </w:numPr>
      </w:pPr>
      <w:r>
        <w:rPr>
          <w:b/>
          <w:bCs/>
        </w:rPr>
        <w:t xml:space="preserve">Gomito caldo o gonfio non traumatico, con o senza febbre.</w:t>
      </w:r>
      <w:r>
        <w:t xml:space="preserve"> </w:t>
      </w:r>
      <w:r>
        <w:t xml:space="preserve">È il sospetto di artrite settica.</w:t>
      </w:r>
      <w:r>
        <w:t xml:space="preserve"> </w:t>
      </w:r>
      <w:r>
        <w:rPr>
          <w:b/>
          <w:bCs/>
        </w:rPr>
        <w:t xml:space="preserve">La febbre non fa parte della definizione:</w:t>
      </w:r>
      <w:r>
        <w:t xml:space="preserve"> </w:t>
      </w:r>
      <w:r>
        <w:t xml:space="preserve">ha una sensibilità del 57% (Margaretten,</w:t>
      </w:r>
      <w:r>
        <w:t xml:space="preserve"> </w:t>
      </w:r>
      <w:r>
        <w:rPr>
          <w:i/>
          <w:iCs/>
        </w:rPr>
        <w:t xml:space="preserve">JAMA</w:t>
      </w:r>
      <w:r>
        <w:t xml:space="preserve"> </w:t>
      </w:r>
      <w:r>
        <w:t xml:space="preserve">2007, PMID 17405973, 14 studi e 6.242 pazienti), e a non farla sono proprio l’anziano, il diabetico e chi prende cortisone o immunosoppressori. Non esistono segni clinici né esami del sangue che escludano un’articolazione infetta senza l’analisi del liquido sinoviale. E il gomito ha uno spazio articolare ridotto, che viene compromesso in fretta.</w:t>
      </w:r>
    </w:p>
    <w:p>
      <w:pPr>
        <w:pStyle w:val="Compact"/>
        <w:numPr>
          <w:ilvl w:val="0"/>
          <w:numId w:val="1029"/>
        </w:numPr>
      </w:pPr>
      <w:r>
        <w:rPr>
          <w:b/>
          <w:bCs/>
        </w:rPr>
        <w:t xml:space="preserve">Le altre quattro righe ROSSO, in una riga ciascuna.</w:t>
      </w:r>
      <w:r>
        <w:t xml:space="preserve"> </w:t>
      </w:r>
      <w:r>
        <w:rPr>
          <w:i/>
          <w:iCs/>
        </w:rPr>
        <w:t xml:space="preserve">Schiocco con perdita di forza netta</w:t>
      </w:r>
      <w:r>
        <w:t xml:space="preserve">: rottura o avulsione del tendine comune degli estensori, con la forza calata di colpo durante uno sforzo e non in settimane.</w:t>
      </w:r>
      <w:r>
        <w:t xml:space="preserve"> </w:t>
      </w:r>
      <w:r>
        <w:rPr>
          <w:i/>
          <w:iCs/>
        </w:rPr>
        <w:t xml:space="preserve">Deficit di estensione di dita o polso</w:t>
      </w:r>
      <w:r>
        <w:t xml:space="preserve">: non la debolezza dolorosa, che qui è la norma, ma l’</w:t>
      </w:r>
      <w:r>
        <w:rPr>
          <w:b/>
          <w:bCs/>
        </w:rPr>
        <w:t xml:space="preserve">incapacità</w:t>
      </w:r>
      <w:r>
        <w:t xml:space="preserve"> </w:t>
      </w:r>
      <w:r>
        <w:t xml:space="preserve">di estendere contro gravità — neuropatia dell’interosseo posteriore conclamata.</w:t>
      </w:r>
      <w:r>
        <w:t xml:space="preserve"> </w:t>
      </w:r>
      <w:r>
        <w:rPr>
          <w:i/>
          <w:iCs/>
        </w:rPr>
        <w:t xml:space="preserve">Scatto o cedimento in rotazione</w:t>
      </w:r>
      <w:r>
        <w:t xml:space="preserve">: instabilità postero-laterale, il gomito</w:t>
      </w:r>
      <w:r>
        <w:t xml:space="preserve"> </w:t>
      </w:r>
      <w:r>
        <w:t xml:space="preserve">“esce”</w:t>
      </w:r>
      <w:r>
        <w:t xml:space="preserve"> </w:t>
      </w:r>
      <w:r>
        <w:t xml:space="preserve">quando il paziente si alza da una sedia spingendo con le mani, e si sospetta dopo lussazioni o infiltrazioni ripetute.</w:t>
      </w:r>
      <w:r>
        <w:t xml:space="preserve"> </w:t>
      </w:r>
      <w:r>
        <w:rPr>
          <w:i/>
          <w:iCs/>
        </w:rPr>
        <w:t xml:space="preserve">Sotto i venti anni con blocco o versamento</w:t>
      </w:r>
      <w:r>
        <w:t xml:space="preserve">: osteocondrite dissecante del capitello, perché a quell’età la tendinopatia laterale è rara e il picco è fra i 45 e i 54 anni (Shiri, 2006, PMID 16968862).</w:t>
      </w:r>
    </w:p>
    <w:p>
      <w:pPr>
        <w:pStyle w:val="Compact"/>
        <w:numPr>
          <w:ilvl w:val="0"/>
          <w:numId w:val="1029"/>
        </w:numPr>
      </w:pPr>
      <w:r>
        <w:rPr>
          <w:b/>
          <w:bCs/>
        </w:rPr>
        <w:t xml:space="preserve">Dolore notturno ingravescente slegato dal carico.</w:t>
      </w:r>
      <w:r>
        <w:t xml:space="preserve"> </w:t>
      </w:r>
      <w:r>
        <w:t xml:space="preserve">Vale a ogni età, e</w:t>
      </w:r>
      <w:r>
        <w:t xml:space="preserve"> </w:t>
      </w:r>
      <w:r>
        <w:rPr>
          <w:b/>
          <w:bCs/>
        </w:rPr>
        <w:t xml:space="preserve">la storia oncologica è un aggravante, non la condizione di attivazione</w:t>
      </w:r>
      <w:r>
        <w:t xml:space="preserve">: il tumore osseo primitivo dell’omero distale compare in età giovanile, dove una storia non esiste ancora. Calo ponderale, febbre e sudorazioni notturne rafforzano l’indicazione. Non va confuso con il dolore notturno del meccanismo nervoso: quello lo sospetti, questo lo invii.</w:t>
      </w:r>
    </w:p>
    <w:p>
      <w:pPr>
        <w:pStyle w:val="Compact"/>
        <w:numPr>
          <w:ilvl w:val="0"/>
          <w:numId w:val="1029"/>
        </w:numPr>
      </w:pPr>
      <w:r>
        <w:rPr>
          <w:b/>
          <w:bCs/>
        </w:rPr>
        <w:t xml:space="preserve">Fluorochinolone in corso o nell’ultimo mese.</w:t>
      </w:r>
      <w:r>
        <w:t xml:space="preserve"> </w:t>
      </w:r>
      <w:r>
        <w:t xml:space="preserve">È l’unica classe di farmaci con un’allerta regolatoria dedicata al danno tendineo. Con uso corrente, la rottura tendinea di qualunque sede ha un odds ratio di 1,60; sopra i sessant’anni sale a 2,42;</w:t>
      </w:r>
      <w:r>
        <w:t xml:space="preserve"> </w:t>
      </w:r>
      <w:r>
        <w:rPr>
          <w:b/>
          <w:bCs/>
        </w:rPr>
        <w:t xml:space="preserve">con cortisone in corso arriva a 6,64</w:t>
      </w:r>
      <w:r>
        <w:t xml:space="preserve"> </w:t>
      </w:r>
      <w:r>
        <w:t xml:space="preserve">(Persson e Jick,</w:t>
      </w:r>
      <w:r>
        <w:t xml:space="preserve"> </w:t>
      </w:r>
      <w:r>
        <w:rPr>
          <w:i/>
          <w:iCs/>
        </w:rPr>
        <w:t xml:space="preserve">Br J Clin Pharmacol</w:t>
      </w:r>
      <w:r>
        <w:t xml:space="preserve"> </w:t>
      </w:r>
      <w:r>
        <w:t xml:space="preserve">2019, PMID 30682225). Il rischio si concentra nel primo mese dall’esposizione. La conseguenza è precisa: comunicazione scritta al curante lo stesso giorno, e</w:t>
      </w:r>
      <w:r>
        <w:t xml:space="preserve"> </w:t>
      </w:r>
      <w:r>
        <w:rPr>
          <w:b/>
          <w:bCs/>
        </w:rPr>
        <w:t xml:space="preserve">su quel paziente il carico progressivo di «Cosa può fare il paziente da solo» non si apre finché il curante non risponde.</w:t>
      </w:r>
    </w:p>
    <w:bookmarkEnd w:id="47"/>
    <w:bookmarkStart w:id="48" w:name="X8a45cb57d60ab7f3bfcd15a48a80fd288c8db58"/>
    <w:p>
      <w:pPr>
        <w:pStyle w:val="Heading3"/>
      </w:pPr>
      <w:r>
        <w:t xml:space="preserve">Il cancello d’ingresso — un triage a tre uscite</w:t>
      </w:r>
    </w:p>
    <w:p>
      <w:pPr>
        <w:pStyle w:val="FirstParagraph"/>
      </w:pPr>
      <w:r>
        <w:rPr>
          <w:b/>
          <w:bCs/>
        </w:rPr>
        <w:t xml:space="preserve">Perché tre uscite e non due.</w:t>
      </w:r>
      <w:r>
        <w:t xml:space="preserve"> </w:t>
      </w:r>
      <w:r>
        <w:t xml:space="preserve">La versione binaria produceva una regola che nessuno rispettava e nessuno scriveva.</w:t>
      </w:r>
      <w:r>
        <w:t xml:space="preserve"> </w:t>
      </w:r>
      <w:r>
        <w:rPr>
          <w:b/>
          <w:bCs/>
        </w:rPr>
        <w:t xml:space="preserve">Una regola scritta e disattesa vale meno di nessuna regola.</w:t>
      </w:r>
      <w:r>
        <w:t xml:space="preserve"> </w:t>
      </w:r>
      <w:r>
        <w:t xml:space="preserve">Il triage alza lo standard invece di abbassarlo, perché ogni uscita lascia una traccia scritta: il GIALLO non è una concessione, chiede</w:t>
      </w:r>
      <w:r>
        <w:t xml:space="preserve"> </w:t>
      </w:r>
      <w:r>
        <w:rPr>
          <w:b/>
          <w:bCs/>
        </w:rPr>
        <w:t xml:space="preserve">quattro</w:t>
      </w:r>
      <w:r>
        <w:t xml:space="preserve"> </w:t>
      </w:r>
      <w:r>
        <w:t xml:space="preserve">cose verificabili. Il cancello non stabilisce se il paziente ha diritto al trattamento: stabilisce</w:t>
      </w:r>
      <w:r>
        <w:t xml:space="preserve"> </w:t>
      </w:r>
      <w:r>
        <w:rPr>
          <w:b/>
          <w:bCs/>
        </w:rPr>
        <w:t xml:space="preserve">quale delle tre situazioni hai davanti</w:t>
      </w:r>
      <w:r>
        <w:t xml:space="preserve">.</w:t>
      </w:r>
    </w:p>
    <w:p>
      <w:pPr>
        <w:pStyle w:val="BodyText"/>
      </w:pPr>
      <w:r>
        <w:rPr>
          <w:b/>
          <w:bCs/>
        </w:rPr>
        <w:t xml:space="preserve">Il principio, e il suo contrappeso.</w:t>
      </w:r>
      <w:r>
        <w:t xml:space="preserve"> </w:t>
      </w:r>
      <w:r>
        <w:t xml:space="preserve">Il mandato</w:t>
      </w:r>
      <w:r>
        <w:t xml:space="preserve"> </w:t>
      </w:r>
      <w:r>
        <w:rPr>
          <w:b/>
          <w:bCs/>
        </w:rPr>
        <w:t xml:space="preserve">clinico</w:t>
      </w:r>
      <w:r>
        <w:t xml:space="preserve"> </w:t>
      </w:r>
      <w:r>
        <w:t xml:space="preserve">nasce da un reperto disfunzionale documentato e da un marker che si muove quando lo tratti: senza quelli non hai un motivo per lavorare, nemmeno con la diagnosi in mano. La</w:t>
      </w:r>
      <w:r>
        <w:t xml:space="preserve"> </w:t>
      </w:r>
      <w:r>
        <w:rPr>
          <w:b/>
          <w:bCs/>
        </w:rPr>
        <w:t xml:space="preserve">cornice professionale</w:t>
      </w:r>
      <w:r>
        <w:t xml:space="preserve"> </w:t>
      </w:r>
      <w:r>
        <w:t xml:space="preserve">resta quella del profilo: si opera in riferimento alla diagnosi di competenza medica, e quando l’inquadramento manca il canale medico si attiva</w:t>
      </w:r>
      <w:r>
        <w:t xml:space="preserve"> </w:t>
      </w:r>
      <w:r>
        <w:rPr>
          <w:b/>
          <w:bCs/>
        </w:rPr>
        <w:t xml:space="preserve">contestualmente</w:t>
      </w:r>
      <w:r>
        <w:t xml:space="preserve"> </w:t>
      </w:r>
      <w:r>
        <w:t xml:space="preserve">al tuo lavoro. Ma un reperto positivo</w:t>
      </w:r>
      <w:r>
        <w:t xml:space="preserve"> </w:t>
      </w:r>
      <w:r>
        <w:rPr>
          <w:b/>
          <w:bCs/>
        </w:rPr>
        <w:t xml:space="preserve">non sostituisce l’inquadramento medico</w:t>
      </w:r>
      <w:r>
        <w:t xml:space="preserve">: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 ROSSO — Stop.</w:t>
      </w:r>
      <w:r>
        <w:t xml:space="preserve"> </w:t>
      </w:r>
      <w:r>
        <w:t xml:space="preserve">Basta una sola riga marcata ROSSO. Non si apre un ciclo e non si rimanda alla prossima seduta: il paziente esce con un’indicazione medica</w:t>
      </w:r>
      <w:r>
        <w:t xml:space="preserve"> </w:t>
      </w:r>
      <w:r>
        <w:rPr>
          <w:b/>
          <w:bCs/>
        </w:rPr>
        <w:t xml:space="preserve">esplicita e scritta</w:t>
      </w:r>
      <w:r>
        <w:t xml:space="preserve">, e con i tempi dichiarati. Se coesiste una disfunzione muscolo-scheletrica autonoma, la si può trattare</w:t>
      </w:r>
      <w:r>
        <w:t xml:space="preserve"> </w:t>
      </w:r>
      <w:r>
        <w:rPr>
          <w:b/>
          <w:bCs/>
        </w:rPr>
        <w:t xml:space="preserve">solo quando l’Uscita della riga è «Invio, non attendere»</w:t>
      </w:r>
      <w:r>
        <w:t xml:space="preserve">. E il documento del trattamento dichiara che il dolore di gomito è in attesa di inquadramento, e</w:t>
      </w:r>
      <w:r>
        <w:t xml:space="preserve"> </w:t>
      </w:r>
      <w:r>
        <w:rPr>
          <w:b/>
          <w:bCs/>
        </w:rPr>
        <w:t xml:space="preserve">non è il bersaglio</w:t>
      </w:r>
      <w:r>
        <w:t xml:space="preserve">.</w:t>
      </w:r>
      <w:r>
        <w:t xml:space="preserve"> </w:t>
      </w:r>
      <w:r>
        <w:rPr>
          <w:b/>
          <w:bCs/>
        </w:rPr>
        <w:t xml:space="preserve">Tre righe hanno l’Uscita 112 o pronto soccorso urgente: gomito caldo o gonfio, trauma con blocco, schiocco con perdita di forza. Su quelle la seduta non si apre e non si prosegue, in nessun distretto.</w:t>
      </w:r>
      <w:r>
        <w:t xml:space="preserve"> </w:t>
      </w:r>
      <w:r>
        <w:t xml:space="preserve">Il paziente esce con l’indicazione scritta e nient’altro. 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w:t>
      </w:r>
      <w:r>
        <w:t xml:space="preserve"> </w:t>
      </w:r>
      <w:r>
        <w:t xml:space="preserve">quasi tutti arrivano con una diagnosi verbale del medico di base, un’ecografia e nient’altro, e non è un motivo per rimandarli indietro. Si lavora a quattro condizioni, tutte verificabili.</w:t>
      </w:r>
    </w:p>
    <w:p>
      <w:pPr>
        <w:pStyle w:val="Compact"/>
        <w:numPr>
          <w:ilvl w:val="0"/>
          <w:numId w:val="1030"/>
        </w:numPr>
      </w:pPr>
      <w:r>
        <w:rPr>
          <w:b/>
          <w:bCs/>
        </w:rPr>
        <w:t xml:space="preserve">Un reperto tuo, positivo e scritto in cartella.</w:t>
      </w:r>
      <w:r>
        <w:t xml:space="preserve"> </w:t>
      </w:r>
      <w:r>
        <w:t xml:space="preserve">Non</w:t>
      </w:r>
      <w:r>
        <w:t xml:space="preserve"> </w:t>
      </w:r>
      <w:r>
        <w:rPr>
          <w:i/>
          <w:iCs/>
        </w:rPr>
        <w:t xml:space="preserve">“il paziente ha epicondilite”</w:t>
      </w:r>
      <w:r>
        <w:t xml:space="preserve">, ma il reperto, con le unità dei marker 1 e 2 di «Come ragiono davanti a questo paziente».</w:t>
      </w:r>
    </w:p>
    <w:p>
      <w:pPr>
        <w:pStyle w:val="Compact"/>
        <w:numPr>
          <w:ilvl w:val="0"/>
          <w:numId w:val="1030"/>
        </w:numPr>
      </w:pPr>
      <w:r>
        <w:rPr>
          <w:b/>
          <w:bCs/>
        </w:rPr>
        <w:t xml:space="preserve">Il paziente sa cosa tratti e cosa no.</w:t>
      </w:r>
      <w:r>
        <w:t xml:space="preserve"> </w:t>
      </w:r>
      <w:r>
        <w:t xml:space="preserve">Frase da usare:</w:t>
      </w:r>
      <w:r>
        <w:t xml:space="preserve"> </w:t>
      </w:r>
      <w:r>
        <w:rPr>
          <w:i/>
          <w:iCs/>
        </w:rPr>
        <w:t xml:space="preserve">«io lavoro sul carico e sulla componente meccanica che ho trovato. Il dolore va comunque inquadrato dal tuo medico, e nel frattempo io non aspetto.»</w:t>
      </w:r>
    </w:p>
    <w:p>
      <w:pPr>
        <w:pStyle w:val="Compact"/>
        <w:numPr>
          <w:ilvl w:val="0"/>
          <w:numId w:val="1030"/>
        </w:numPr>
      </w:pPr>
      <w:r>
        <w:rPr>
          <w:b/>
          <w:bCs/>
        </w:rPr>
        <w:t xml:space="preserve">Canale medico attivato senza interrompere il lavoro.</w:t>
      </w:r>
      <w:r>
        <w:t xml:space="preserve"> </w:t>
      </w:r>
      <w:r>
        <w:t xml:space="preserve">È una comunicazione</w:t>
      </w:r>
      <w:r>
        <w:t xml:space="preserve"> </w:t>
      </w:r>
      <w:r>
        <w:rPr>
          <w:b/>
          <w:bCs/>
        </w:rPr>
        <w:t xml:space="preserve">scritta</w:t>
      </w:r>
      <w:r>
        <w:t xml:space="preserve"> </w:t>
      </w:r>
      <w:r>
        <w:t xml:space="preserve">al curante, non un rinvio del paziente. Dice cosa hai trovato, cosa stai trattando, e quale accertamento chiedi e perché.</w:t>
      </w:r>
    </w:p>
    <w:p>
      <w:pPr>
        <w:pStyle w:val="Compact"/>
        <w:numPr>
          <w:ilvl w:val="0"/>
          <w:numId w:val="1030"/>
        </w:numPr>
      </w:pPr>
      <w:r>
        <w:rPr>
          <w:b/>
          <w:bCs/>
        </w:rPr>
        <w:t xml:space="preserve">Tempo definito, contato in calendario e non in sedute.</w:t>
      </w:r>
      <w:r>
        <w:t xml:space="preserve"> </w:t>
      </w:r>
      <w:r>
        <w:t xml:space="preserve">La data della revisione si scrive in cartella il giorno in cui si apre il GIALLO, e cade</w:t>
      </w:r>
      <w:r>
        <w:t xml:space="preserve"> </w:t>
      </w:r>
      <w:r>
        <w:rPr>
          <w:b/>
          <w:bCs/>
        </w:rPr>
        <w:t xml:space="preserve">entro sei settimane</w:t>
      </w:r>
      <w:r>
        <w:t xml:space="preserve"> </w:t>
      </w:r>
      <w:r>
        <w:t xml:space="preserve">dalla prima seduta, qualunque sia il numero di sedute. Nel</w:t>
      </w:r>
      <w:r>
        <w:t xml:space="preserve"> </w:t>
      </w:r>
      <w:r>
        <w:rPr>
          <w:b/>
          <w:bCs/>
        </w:rPr>
        <w:t xml:space="preserve">GIALLO PRIORITARIO</w:t>
      </w:r>
      <w:r>
        <w:t xml:space="preserve"> </w:t>
      </w:r>
      <w:r>
        <w:t xml:space="preserve">il tetto si dimezza a</w:t>
      </w:r>
      <w:r>
        <w:t xml:space="preserve"> </w:t>
      </w:r>
      <w:r>
        <w:rPr>
          <w:b/>
          <w:bCs/>
        </w:rPr>
        <w:t xml:space="preserve">tre settimane</w:t>
      </w:r>
      <w:r>
        <w:t xml:space="preserve">. Il numero di sedute lo decide la Procedura; il tetto in settimane vive qui, perché un paziente che dirada gli appuntamenti non fa scadere niente.</w:t>
      </w:r>
    </w:p>
    <w:p>
      <w:pPr>
        <w:pStyle w:val="FirstParagraph"/>
      </w:pPr>
      <w:r>
        <w:rPr>
          <w:b/>
          <w:bCs/>
        </w:rPr>
        <w:t xml:space="preserve">Se il tempo scade e il marker non si è mosso</w:t>
      </w:r>
      <w:r>
        <w:t xml:space="preserve">, non è una rinuncia ma un’informazione: il tuo reperto non era quello che comandava, e la spinta sul canale medico da parallela diventa prioritaria.</w:t>
      </w:r>
    </w:p>
    <w:p>
      <w:pPr>
        <w:pStyle w:val="BodyText"/>
      </w:pPr>
      <w:r>
        <w:rPr>
          <w:b/>
          <w:bCs/>
        </w:rPr>
        <w:t xml:space="preserve">🟢 VERDE — Si procede.</w:t>
      </w:r>
      <w:r>
        <w:t xml:space="preserve"> </w:t>
      </w:r>
      <w:r>
        <w:t xml:space="preserve">Nessuna bandiera rossa, e almeno una di queste tre condizioni: quadro tipico già valutato dal medico con esame obiettivo documentato; ecografia coerente con una tendinopatia dell’origine degli estensori; ciclo di fisioterapia già fatto o in corso per la stessa diagnosi.</w:t>
      </w:r>
    </w:p>
    <w:p>
      <w:pPr>
        <w:pStyle w:val="BodyText"/>
      </w:pPr>
      <w:r>
        <w:t xml:space="preserve">Attenzione:</w:t>
      </w:r>
      <w:r>
        <w:t xml:space="preserve"> </w:t>
      </w:r>
      <w:r>
        <w:rPr>
          <w:b/>
          <w:bCs/>
        </w:rPr>
        <w:t xml:space="preserve">un’ecografia negativa non chiude il verde, e un’ecografia positiva non chiude la diagnosi.</w:t>
      </w:r>
      <w:r>
        <w:t xml:space="preserve"> </w:t>
      </w:r>
      <w:r>
        <w:t xml:space="preserve">Il reperto esiste anche senza dolore, come mostrano i volontari asintomatici del meccanismo 1 di «Cosa si rompe».</w:t>
      </w:r>
      <w:r>
        <w:t xml:space="preserve"> </w:t>
      </w:r>
      <w:r>
        <w:rPr>
          <w:b/>
          <w:bCs/>
        </w:rPr>
        <w:t xml:space="preserve">E il VERDE ha lo stesso contatore del GIALLO:</w:t>
      </w:r>
      <w:r>
        <w:t xml:space="preserve"> </w:t>
      </w:r>
      <w:r>
        <w:t xml:space="preserve">motivo scritto in cartella, tetto di sei settimane di calendario, e se il marker non si è mosso parte una comunicazione scritta al curante e il triage si riapre. Il paziente con l’ecografia in mano, in cui tutto il resto ha già fallito, è proprio quello che accumula sedute mentre la cosa vera va avanti.</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rispetto all’ultima valutazione medica. Un dolore che comincia a formicolare, che si sposta o che compare di notte</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Quello che non è scritto non esiste: né per il collega che riprende il paziente, né per il medico, né per chi dovesse chiedere conto di una scelta fra due anni.</w:t>
      </w:r>
    </w:p>
    <w:bookmarkEnd w:id="48"/>
    <w:bookmarkStart w:id="49" w:name="X70e18767b4642be832c195a6a92f01a7c0c2cca"/>
    <w:p>
      <w:pPr>
        <w:pStyle w:val="Heading3"/>
      </w:pPr>
      <w:r>
        <w:t xml:space="preserve">Cosa fanno i farmaci che il paziente prende</w:t>
      </w:r>
    </w:p>
    <w:p>
      <w:pPr>
        <w:pStyle w:val="FirstParagraph"/>
      </w:pPr>
      <w:r>
        <w:rPr>
          <w:b/>
          <w:bCs/>
        </w:rPr>
        <w:t xml:space="preserve">FANS orali e topici:</w:t>
      </w:r>
      <w:r>
        <w:t xml:space="preserve"> </w:t>
      </w:r>
      <w:r>
        <w:t xml:space="preserve">abbassano il dolore, e non modificano né la struttura del tendine né il carico.</w:t>
      </w:r>
    </w:p>
    <w:p>
      <w:pPr>
        <w:pStyle w:val="BodyText"/>
      </w:pPr>
      <w:r>
        <w:rPr>
          <w:b/>
          <w:bCs/>
        </w:rPr>
        <w:t xml:space="preserve">Cortisone infiltrativo:</w:t>
      </w:r>
      <w:r>
        <w:t xml:space="preserve"> </w:t>
      </w:r>
      <w:r>
        <w:t xml:space="preserve">dà un sollievo reale e ampio nelle prime settimane, e l’effetto si rovescia dopo. Il dato sta nel capitolo sulla scienza, e il rovesciamento è documentato anche sulle tendinopatie in generale (Coombes,</w:t>
      </w:r>
      <w:r>
        <w:t xml:space="preserve"> </w:t>
      </w:r>
      <w:r>
        <w:rPr>
          <w:i/>
          <w:iCs/>
        </w:rPr>
        <w:t xml:space="preserve">Lancet</w:t>
      </w:r>
      <w:r>
        <w:t xml:space="preserve"> </w:t>
      </w:r>
      <w:r>
        <w:t xml:space="preserve">2010, PMID 20970844).</w:t>
      </w:r>
    </w:p>
    <w:p>
      <w:pPr>
        <w:pStyle w:val="BodyText"/>
      </w:pPr>
      <w:r>
        <w:rPr>
          <w:b/>
          <w:bCs/>
        </w:rPr>
        <w:t xml:space="preserve">Cortisone orale preso per altra ragione:</w:t>
      </w:r>
      <w:r>
        <w:t xml:space="preserve"> </w:t>
      </w:r>
      <w:r>
        <w:t xml:space="preserve">ha un’associazione indipendente con questa condizione (Titchener, 2013, PMID 22490998). Si annota e si comunica al curante.</w:t>
      </w:r>
    </w:p>
    <w:p>
      <w:pPr>
        <w:pStyle w:val="BodyText"/>
      </w:pPr>
      <w:r>
        <w:rPr>
          <w:b/>
          <w:bCs/>
        </w:rPr>
        <w:t xml:space="preserve">Fluorochinoloni:</w:t>
      </w:r>
      <w:r>
        <w:t xml:space="preserve"> </w:t>
      </w:r>
      <w:r>
        <w:t xml:space="preserve">si chiede se ne ha presi in corso o nell’ultimo mese, con la conseguenza già scritta nella bandiera rossa (Persson e Jick, 2019, PMID 30682225).</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la ricaduta dei fluorochinoloni su questa sede —</w:t>
      </w:r>
      <w:r>
        <w:t xml:space="preserve"> </w:t>
      </w:r>
      <w:r>
        <w:rPr>
          <w:b/>
          <w:bCs/>
        </w:rPr>
        <w:t xml:space="preserve">il salto è di sede</w:t>
      </w:r>
      <w:r>
        <w:t xml:space="preserve">, perché la letteratura è in prevalenza sul tendine d’Achille.</w:t>
      </w:r>
    </w:p>
    <w:p>
      <w:pPr>
        <w:pStyle w:val="FirstParagraph"/>
      </w:pPr>
      <w:r>
        <w:rPr>
          <w:b/>
          <w:bCs/>
        </w:rPr>
        <w:t xml:space="preserve">Non commenti mai una terapia come scelta, e non suggerisci mai di sospendere o modificare nulla:</w:t>
      </w:r>
      <w:r>
        <w:t xml:space="preserve"> </w:t>
      </w:r>
      <w:r>
        <w:t xml:space="preserve">decide il prescrittore.</w:t>
      </w:r>
    </w:p>
    <w:bookmarkEnd w:id="49"/>
    <w:bookmarkStart w:id="51" w:name="Xaf12d2e2043af647dc3ead0d2d0af77e560c537"/>
    <w:p>
      <w:pPr>
        <w:pStyle w:val="Heading3"/>
      </w:pPr>
      <w:r>
        <w:t xml:space="preserve">Il perimetro legale — solo quello che cambia con questa condizione</w:t>
      </w:r>
    </w:p>
    <w:p>
      <w:pPr>
        <w:pStyle w:val="FirstParagraph"/>
      </w:pPr>
      <w:r>
        <w:rPr>
          <w:b/>
          <w:bCs/>
        </w:rPr>
        <w:t xml:space="preserve">La cornice è il profilo professionale</w:t>
      </w:r>
      <w:r>
        <w:t xml:space="preserve"> </w:t>
      </w:r>
      <w:r>
        <w:t xml:space="preserve">(DPR 131/2021, artt. 1-2): si opera in riferimento alla diagnosi di competenza medica, su disfunzione somatica, con tecniche esclusivamente manuali.</w:t>
      </w:r>
    </w:p>
    <w:p>
      <w:pPr>
        <w:pStyle w:val="BodyText"/>
      </w:pPr>
      <w:r>
        <w:rPr>
          <w:b/>
          <w:bCs/>
        </w:rPr>
        <w:t xml:space="preserve">Cosa dichiari nel consenso, qui.</w:t>
      </w:r>
      <w:r>
        <w:t xml:space="preserve"> </w:t>
      </w:r>
      <w:r>
        <w:t xml:space="preserve">Tre cose che in un’altra Bibbia non scriveresti.</w:t>
      </w:r>
    </w:p>
    <w:p>
      <w:pPr>
        <w:pStyle w:val="Compact"/>
        <w:numPr>
          <w:ilvl w:val="0"/>
          <w:numId w:val="1031"/>
        </w:numPr>
      </w:pPr>
      <w:r>
        <w:t xml:space="preserve">Che l’oggetto del trattamento è la</w:t>
      </w:r>
      <w:r>
        <w:t xml:space="preserve"> </w:t>
      </w:r>
      <w:r>
        <w:rPr>
          <w:b/>
          <w:bCs/>
        </w:rPr>
        <w:t xml:space="preserve">disfunzione somatica e la gestione del carico</w:t>
      </w:r>
      <w:r>
        <w:t xml:space="preserve">, non la cura della tendinopatia né la modifica della struttura del tendine.</w:t>
      </w:r>
    </w:p>
    <w:p>
      <w:pPr>
        <w:pStyle w:val="Compact"/>
        <w:numPr>
          <w:ilvl w:val="0"/>
          <w:numId w:val="1031"/>
        </w:numPr>
      </w:pPr>
      <w:r>
        <w:t xml:space="preserve">Che il dolore</w:t>
      </w:r>
      <w:r>
        <w:t xml:space="preserve"> </w:t>
      </w:r>
      <w:r>
        <w:rPr>
          <w:b/>
          <w:bCs/>
        </w:rPr>
        <w:t xml:space="preserve">durante</w:t>
      </w:r>
      <w:r>
        <w:t xml:space="preserve"> </w:t>
      </w:r>
      <w:r>
        <w:t xml:space="preserve">il carico, entro una soglia concordata, non è un segno di danno. Che la progressione si decide insieme e si può fermare in qualunque momento. E che uno sforzo sopra la soglia individuale è stato misurato aumentare il sintomo per almeno mezz’ora (Coombes, 2016, PMID 26889612).</w:t>
      </w:r>
    </w:p>
    <w:p>
      <w:pPr>
        <w:pStyle w:val="Compact"/>
        <w:numPr>
          <w:ilvl w:val="0"/>
          <w:numId w:val="1031"/>
        </w:numPr>
      </w:pPr>
      <w:r>
        <w:t xml:space="preserve">Che</w:t>
      </w:r>
      <w:r>
        <w:t xml:space="preserve"> </w:t>
      </w:r>
      <w:r>
        <w:rPr>
          <w:b/>
          <w:bCs/>
        </w:rPr>
        <w:t xml:space="preserve">la parte del percorso su cui esistono le prove migliori è il carico che il paziente esegue da solo, per settimane</w:t>
      </w:r>
      <w:r>
        <w:t xml:space="preserve">, e che senza quella parte il trattamento non è quello che gli studi hanno misurato. Che gli effetti misurati restano piccoli e la certezza delle prove è bassa:</w:t>
      </w:r>
      <w:r>
        <w:t xml:space="preserve"> </w:t>
      </w:r>
      <w:r>
        <w:rPr>
          <w:b/>
          <w:bCs/>
        </w:rPr>
        <w:t xml:space="preserve">nessun esito è promesso, né a carico dell’operatore né a carico del paziente.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Il confine di atto.</w:t>
      </w:r>
      <w:r>
        <w:t xml:space="preserve"> </w:t>
      </w:r>
      <w:r>
        <w:t xml:space="preserve">Il perimetro si definisce</w:t>
      </w:r>
      <w:r>
        <w:t xml:space="preserve"> </w:t>
      </w:r>
      <w:r>
        <w:rPr>
          <w:b/>
          <w:bCs/>
        </w:rPr>
        <w:t xml:space="preserve">sull’unità in cui scrivi l’esito</w:t>
      </w:r>
      <w:r>
        <w:t xml:space="preserve">. Palpare l’epicondilo, eseguire l’estensione resistita, misurare presa e rotazione cervicale sono atti nostri, e l’esito si scrive in newton, gradi, test positivi. Fuori dal perimetro stanno tre cose:</w:t>
      </w:r>
      <w:r>
        <w:t xml:space="preserve"> </w:t>
      </w:r>
      <w:r>
        <w:rPr>
          <w:b/>
          <w:bCs/>
        </w:rPr>
        <w:t xml:space="preserve">dichiarare lo stato ecografico del tendine</w:t>
      </w:r>
      <w:r>
        <w:t xml:space="preserve">;</w:t>
      </w:r>
      <w:r>
        <w:t xml:space="preserve"> </w:t>
      </w:r>
      <w:r>
        <w:rPr>
          <w:b/>
          <w:bCs/>
        </w:rPr>
        <w:t xml:space="preserve">dichiarare che non c’è un coinvolgimento nervoso</w:t>
      </w:r>
      <w:r>
        <w:t xml:space="preserve">, perché quella misura è elettrofisiologica (Çilingiroğlu, 2026, PMID 40853587);</w:t>
      </w:r>
      <w:r>
        <w:t xml:space="preserve"> </w:t>
      </w:r>
      <w:r>
        <w:rPr>
          <w:b/>
          <w:bCs/>
        </w:rPr>
        <w:t xml:space="preserve">pronunciarsi sull’indicazione o la controindicazione di un’infiltrazione</w:t>
      </w:r>
      <w:r>
        <w:t xml:space="preserve">.</w:t>
      </w:r>
    </w:p>
    <w:p>
      <w:pPr>
        <w:pStyle w:val="BodyText"/>
      </w:pPr>
      <w:r>
        <w:rPr>
          <w:b/>
          <w:bCs/>
        </w:rPr>
        <w:t xml:space="preserve">Il rapporto con il prescrittore.</w:t>
      </w:r>
      <w:r>
        <w:t xml:space="preserve"> </w:t>
      </w:r>
      <w:r>
        <w:t xml:space="preserve">Il cortisone infiltrativo mette alla prova il rapporto più di ogni altra cosa, perché il dato a un anno è sfavorevole e il paziente lo chiede. La condotta è una sola:</w:t>
      </w:r>
      <w:r>
        <w:t xml:space="preserve"> </w:t>
      </w:r>
      <w:r>
        <w:rPr>
          <w:b/>
          <w:bCs/>
        </w:rPr>
        <w:t xml:space="preserve">al paziente si dà il dato, non il consiglio</w:t>
      </w:r>
      <w:r>
        <w:t xml:space="preserve">. Al curante, per iscritto, si comunica cosa hai trovato e cosa stai facendo — non cosa dovrebbe fare lui.</w:t>
      </w:r>
    </w:p>
    <w:p>
      <w:pPr>
        <w:pStyle w:val="BodyText"/>
      </w:pPr>
      <w:r>
        <w:rPr>
          <w:b/>
          <w:bCs/>
        </w:rPr>
        <w:t xml:space="preserve">Se sbagli campo</w:t>
      </w:r>
      <w:r>
        <w:t xml:space="preserve">, il danno è un</w:t>
      </w:r>
      <w:r>
        <w:t xml:space="preserve"> </w:t>
      </w:r>
      <w:r>
        <w:rPr>
          <w:b/>
          <w:bCs/>
        </w:rPr>
        <w:t xml:space="preserve">ritardo</w:t>
      </w:r>
      <w:r>
        <w:t xml:space="preserve">. Un interosseo posteriore trattato otto settimane come tendinopatia. Un’artrite settica letta come riacutizzazione. Un’instabilità laterale su cui si insiste con carico progressivo.</w:t>
      </w:r>
    </w:p>
    <w:p>
      <w:pPr>
        <w:pStyle w:val="BlockText"/>
      </w:pPr>
      <w:r>
        <w:rPr>
          <w:b/>
          <w:bCs/>
        </w:rPr>
        <w:t xml:space="preserve">Attenzione.</w:t>
      </w:r>
      <w:r>
        <w:t xml:space="preserve"> </w:t>
      </w:r>
      <w:r>
        <w:t xml:space="preserve">C’è un’eccezione, e riguarda un distretto che questo documento nomina fra le leve. L’effetto immediato più netto misurato su questa condizione viene da una tecnica applicata al</w:t>
      </w:r>
      <w:r>
        <w:t xml:space="preserve"> </w:t>
      </w:r>
      <w:r>
        <w:rPr>
          <w:b/>
          <w:bCs/>
        </w:rPr>
        <w:t xml:space="preserve">rachide cervicale</w:t>
      </w:r>
      <w:r>
        <w:t xml:space="preserve"> </w:t>
      </w:r>
      <w:r>
        <w:t xml:space="preserve">(Vicenzino, 1996, PMID 9252000). Quattro cose vanno sapute, e stanno qui e non nella Procedura.</w:t>
      </w:r>
    </w:p>
    <w:p>
      <w:pPr>
        <w:pStyle w:val="BlockText"/>
      </w:pPr>
      <w:r>
        <w:rPr>
          <w:b/>
          <w:bCs/>
        </w:rPr>
        <w:t xml:space="preserve">Qual è l’evento.</w:t>
      </w:r>
      <w:r>
        <w:t xml:space="preserve"> </w:t>
      </w:r>
      <w:r>
        <w:t xml:space="preserve">Dissezione dell’arteria vertebrale o carotidea, con ictus. È raro. Ma sono stati raccolti 334 eventi avversi gravi da questo distretto. Il 58% è vascolare, il 75% coinvolge una manipolazione, e il 6% muore (Leung,</w:t>
      </w:r>
      <w:r>
        <w:t xml:space="preserve"> </w:t>
      </w:r>
      <w:r>
        <w:rPr>
          <w:i/>
          <w:iCs/>
        </w:rPr>
        <w:t xml:space="preserve">J Bodyw Mov Ther</w:t>
      </w:r>
      <w:r>
        <w:t xml:space="preserve"> </w:t>
      </w:r>
      <w:r>
        <w:t xml:space="preserve">2025, PMID 39663097).</w:t>
      </w:r>
    </w:p>
    <w:p>
      <w:pPr>
        <w:pStyle w:val="BlockText"/>
      </w:pPr>
      <w:r>
        <w:rPr>
          <w:b/>
          <w:bCs/>
        </w:rPr>
        <w:t xml:space="preserve">Quali sintomi lo annunciano.</w:t>
      </w:r>
      <w:r>
        <w:t xml:space="preserve"> </w:t>
      </w:r>
      <w:r>
        <w:t xml:space="preserve">Aumento netto e improvviso di cefalea o dolore cervicale, nausea, vomito, vertigine, disturbi visivi o della parola, alterazione della sensibilità. Durante il trattamento, oppure</w:t>
      </w:r>
      <w:r>
        <w:t xml:space="preserve"> </w:t>
      </w:r>
      <w:r>
        <w:rPr>
          <w:b/>
          <w:bCs/>
        </w:rPr>
        <w:t xml:space="preserve">entro 48 ore</w:t>
      </w:r>
      <w:r>
        <w:t xml:space="preserve">.</w:t>
      </w:r>
    </w:p>
    <w:p>
      <w:pPr>
        <w:pStyle w:val="BlockText"/>
      </w:pPr>
      <w:r>
        <w:rPr>
          <w:b/>
          <w:bCs/>
        </w:rPr>
        <w:t xml:space="preserve">Quale classe di tecnica.</w:t>
      </w:r>
      <w:r>
        <w:t xml:space="preserve"> </w:t>
      </w:r>
      <w:r>
        <w:t xml:space="preserve">L’effetto misurato su questa condizione viene da una</w:t>
      </w:r>
      <w:r>
        <w:t xml:space="preserve"> </w:t>
      </w:r>
      <w:r>
        <w:rPr>
          <w:b/>
          <w:bCs/>
        </w:rPr>
        <w:t xml:space="preserve">mobilizzazione cervicale non-thrust</w:t>
      </w:r>
      <w:r>
        <w:t xml:space="preserve">, il</w:t>
      </w:r>
      <w:r>
        <w:t xml:space="preserve"> </w:t>
      </w:r>
      <w:r>
        <w:rPr>
          <w:i/>
          <w:iCs/>
        </w:rPr>
        <w:t xml:space="preserve">contralateral lateral glide</w:t>
      </w:r>
      <w:r>
        <w:t xml:space="preserve">.</w:t>
      </w:r>
      <w:r>
        <w:t xml:space="preserve"> </w:t>
      </w:r>
      <w:r>
        <w:rPr>
          <w:b/>
          <w:bCs/>
        </w:rPr>
        <w:t xml:space="preserve">Nessuno studio su questa condizione ha testato un thrust cervicale</w:t>
      </w:r>
      <w:r>
        <w:t xml:space="preserve">, e il thrust è la classe su cui si concentra il 75% degli eventi gravi. L’estensione da mobilizzazione a thrust non è supportata da nulla in questa Bibbia.</w:t>
      </w:r>
    </w:p>
    <w:p>
      <w:pPr>
        <w:pStyle w:val="BlockText"/>
      </w:pPr>
      <w:r>
        <w:rPr>
          <w:b/>
          <w:bCs/>
        </w:rPr>
        <w:t xml:space="preserve">In quale paziente il distretto è meno neutro.</w:t>
      </w:r>
      <w:r>
        <w:t xml:space="preserve"> </w:t>
      </w:r>
      <w:r>
        <w:t xml:space="preserve">Sopra i sessant’anni, ipertensione non controllata, terapia anticoagulante o antiaggregante, storia di dissezione, connettivopatia. La valutazione che precede è codificata in un documento internazionale dedicato (Rushton e coll.,</w:t>
      </w:r>
      <w:r>
        <w:t xml:space="preserve"> </w:t>
      </w:r>
      <w:r>
        <w:rPr>
          <w:i/>
          <w:iCs/>
        </w:rPr>
        <w:t xml:space="preserve">International Framework for Examination of the Cervical Region</w:t>
      </w:r>
      <w:r>
        <w:t xml:space="preserve">,</w:t>
      </w:r>
      <w:r>
        <w:t xml:space="preserve"> </w:t>
      </w:r>
      <w:r>
        <w:rPr>
          <w:b/>
          <w:bCs/>
        </w:rPr>
        <w:t xml:space="preserve">JOSPT</w:t>
      </w:r>
      <w:r>
        <w:t xml:space="preserve"> </w:t>
      </w:r>
      <w:r>
        <w:t xml:space="preserve">2023, PMID 36099171).</w:t>
      </w:r>
    </w:p>
    <w:p>
      <w:pPr>
        <w:pStyle w:val="FirstParagraph"/>
      </w:pPr>
      <w:r>
        <w:rPr>
          <w:b/>
          <w:bCs/>
        </w:rPr>
        <w:t xml:space="preserve">Le tre cose da ricordare, più una</w:t>
      </w:r>
    </w:p>
    <w:p>
      <w:pPr>
        <w:pStyle w:val="Compact"/>
        <w:numPr>
          <w:ilvl w:val="0"/>
          <w:numId w:val="1032"/>
        </w:numPr>
      </w:pPr>
      <w:r>
        <w:t xml:space="preserve">Il rischio di questa condizione è il ritardo diagnostico, non la manovra: più quadri diversi producono lo stesso dolore laterale, e uno di essi è sistemico.</w:t>
      </w:r>
    </w:p>
    <w:p>
      <w:pPr>
        <w:pStyle w:val="Compact"/>
        <w:numPr>
          <w:ilvl w:val="0"/>
          <w:numId w:val="1032"/>
        </w:numPr>
      </w:pPr>
      <w:r>
        <w:t xml:space="preserve">Il GIALLO si conta in settimane di calendario, non in sedute, e la data si scrive il giorno in cui lo apri.</w:t>
      </w:r>
    </w:p>
    <w:p>
      <w:pPr>
        <w:pStyle w:val="Compact"/>
        <w:numPr>
          <w:ilvl w:val="0"/>
          <w:numId w:val="1032"/>
        </w:numPr>
      </w:pPr>
      <w:r>
        <w:t xml:space="preserve">Non dichiari mai che non c’è un nervo: quella misura non è tua.</w:t>
      </w:r>
    </w:p>
    <w:p>
      <w:pPr>
        <w:pStyle w:val="Heading2"/>
        <w:numPr>
          <w:ilvl w:val="0"/>
          <w:numId w:val="1032"/>
        </w:numPr>
      </w:pPr>
      <w:bookmarkStart w:id="50" w:name="Xb21aa12b3fb533c252d9b3a2dba32ec213d18d2"/>
      <w:r>
        <w:rPr>
          <w:b/>
          <w:bCs/>
        </w:rPr>
        <w:t xml:space="preserve">Perché ci sei tu.</w:t>
      </w:r>
      <w:r>
        <w:t xml:space="preserve"> </w:t>
      </w:r>
      <w:r>
        <w:t xml:space="preserve">Il 70% delle persone con dolore laterale di gomito riferisce anche dolore cervicale o dorsale, contro il 16% dei controlli appaiati (Berglund, 2008, PMID 17942362).</w:t>
      </w:r>
      <w:r>
        <w:t xml:space="preserve"> </w:t>
      </w:r>
      <w:r>
        <w:rPr>
          <w:b/>
          <w:bCs/>
        </w:rPr>
        <w:t xml:space="preserve">Per te:</w:t>
      </w:r>
      <w:r>
        <w:t xml:space="preserve"> </w:t>
      </w:r>
      <w:r>
        <w:t xml:space="preserve">il rachide entra in ogni valutazione, e la sua alterazione è un reperto da scrivere in cartella e comunicare al curante. Questo ti autorizza a estendere l’esame oltre il gomito. Non ti autorizza a dire che il collo è la causa del gomito: quel numero descrive una convivenza, non una direzione.</w:t>
      </w:r>
      <w:bookmarkEnd w:id="50"/>
    </w:p>
    <w:bookmarkEnd w:id="51"/>
    <w:bookmarkEnd w:id="52"/>
    <w:bookmarkStart w:id="58"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specifica c’è, è abbondante, e la parte che ti riguarda dice due cose insieme — che qualcosa funziona, e che gli effetti sono piccoli.</w:t>
      </w:r>
    </w:p>
    <w:bookmarkStart w:id="53" w:name="lancora"/>
    <w:p>
      <w:pPr>
        <w:pStyle w:val="Heading3"/>
      </w:pPr>
      <w:r>
        <w:t xml:space="preserve">L’ancora</w:t>
      </w:r>
    </w:p>
    <w:p>
      <w:pPr>
        <w:pStyle w:val="FirstParagraph"/>
      </w:pPr>
      <w:r>
        <w:rPr>
          <w:b/>
          <w:bCs/>
        </w:rPr>
        <w:t xml:space="preserve">L’ancora clinica è Bill Vicenzino</w:t>
      </w:r>
      <w:r>
        <w:t xml:space="preserve">, University of Queensland. Il suo contributo non è una tecnica: è avere messo</w:t>
      </w:r>
      <w:r>
        <w:t xml:space="preserve"> </w:t>
      </w:r>
      <w:r>
        <w:rPr>
          <w:b/>
          <w:bCs/>
        </w:rPr>
        <w:t xml:space="preserve">terapia manuale, esercizio e infiltrazione dentro lo stesso disegno randomizzato</w:t>
      </w:r>
      <w:r>
        <w:t xml:space="preserve">, con valutatore cieco e follow-up a un anno. Da lì viene il dato che ha cambiato la pratica:</w:t>
      </w:r>
      <w:r>
        <w:t xml:space="preserve"> </w:t>
      </w:r>
      <w:r>
        <w:rPr>
          <w:b/>
          <w:bCs/>
        </w:rPr>
        <w:t xml:space="preserve">il vantaggio dell’infiltrazione si rovescia nel tempo</w:t>
      </w:r>
      <w:r>
        <w:t xml:space="preserve">.</w:t>
      </w:r>
    </w:p>
    <w:p>
      <w:pPr>
        <w:pStyle w:val="BodyText"/>
      </w:pPr>
      <w:r>
        <w:t xml:space="preserve">Il limite va scritto, ed è ciò che ti rende credibile davanti a uno specialista.</w:t>
      </w:r>
      <w:r>
        <w:t xml:space="preserve"> </w:t>
      </w:r>
      <w:r>
        <w:rPr>
          <w:b/>
          <w:bCs/>
        </w:rPr>
        <w:t xml:space="preserve">La prova più forte di questo documento sulle mani viene dal laboratorio dell’ancora:</w:t>
      </w:r>
      <w:r>
        <w:t xml:space="preserve"> </w:t>
      </w:r>
      <w:r>
        <w:t xml:space="preserve">15 e 24 partecipanti, crossover.</w:t>
      </w:r>
      <w:r>
        <w:t xml:space="preserve"> </w:t>
      </w:r>
      <w:r>
        <w:rPr>
          <w:b/>
          <w:bCs/>
        </w:rPr>
        <w:t xml:space="preserve">E nessuno l’ha rifatta altrove su pazienti veri. L’unico test indipendente esistente, su dolore laterale di gomito indotto in laboratorio in soggetti sani, è risultato negativo</w:t>
      </w:r>
      <w:r>
        <w:t xml:space="preserve"> </w:t>
      </w:r>
      <w:r>
        <w:t xml:space="preserve">(Slater,</w:t>
      </w:r>
      <w:r>
        <w:t xml:space="preserve"> </w:t>
      </w:r>
      <w:r>
        <w:rPr>
          <w:i/>
          <w:iCs/>
        </w:rPr>
        <w:t xml:space="preserve">Man Ther</w:t>
      </w:r>
      <w:r>
        <w:t xml:space="preserve"> </w:t>
      </w:r>
      <w:r>
        <w:t xml:space="preserve">2006, PMID 15914074; per esteso, con il suo salto, in «Cosa possiamo dire e cosa no»). Il problema non è la scarsità delle prove: è che una parte importante è</w:t>
      </w:r>
      <w:r>
        <w:t xml:space="preserve"> </w:t>
      </w:r>
      <w:r>
        <w:rPr>
          <w:b/>
          <w:bCs/>
        </w:rPr>
        <w:t xml:space="preserve">sfavorevole</w:t>
      </w:r>
      <w:r>
        <w:t xml:space="preserve">, e va riportata.</w:t>
      </w:r>
    </w:p>
    <w:bookmarkEnd w:id="53"/>
    <w:bookmarkStart w:id="54"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Bisset, 2006 (17012266)</w:t>
            </w:r>
          </w:p>
        </w:tc>
        <w:tc>
          <w:tcPr/>
          <w:p>
            <w:pPr>
              <w:pStyle w:val="Compact"/>
            </w:pPr>
            <w:r>
              <w:t xml:space="preserve">Fisioterapia vs cortisone vs attesa, 198</w:t>
            </w:r>
          </w:p>
        </w:tc>
        <w:tc>
          <w:tcPr/>
          <w:p>
            <w:pPr>
              <w:pStyle w:val="Compact"/>
            </w:pPr>
            <w:r>
              <w:t xml:space="preserve">Occupare le prime sei settimane</w:t>
            </w:r>
          </w:p>
        </w:tc>
      </w:tr>
      <w:tr>
        <w:tc>
          <w:tcPr/>
          <w:p>
            <w:pPr>
              <w:pStyle w:val="Compact"/>
            </w:pPr>
            <w:r>
              <w:t xml:space="preserve">Coombes, 2013 (23385272)</w:t>
            </w:r>
          </w:p>
        </w:tc>
        <w:tc>
          <w:tcPr/>
          <w:p>
            <w:pPr>
              <w:pStyle w:val="Compact"/>
            </w:pPr>
            <w:r>
              <w:t xml:space="preserve">Fattoriale 2×2: cortisone</w:t>
            </w:r>
            <w:r>
              <w:t xml:space="preserve"> </w:t>
            </w:r>
            <w:r>
              <w:rPr>
                <w:b/>
                <w:bCs/>
              </w:rPr>
              <w:t xml:space="preserve">e</w:t>
            </w:r>
            <w:r>
              <w:t xml:space="preserve"> </w:t>
            </w:r>
            <w:r>
              <w:t xml:space="preserve">fisioterapia, 165</w:t>
            </w:r>
          </w:p>
        </w:tc>
        <w:tc>
          <w:tcPr/>
          <w:p>
            <w:pPr>
              <w:pStyle w:val="Compact"/>
            </w:pPr>
            <w:r>
              <w:t xml:space="preserve">Rispondere con un dato sull’infiltrazione</w:t>
            </w:r>
          </w:p>
        </w:tc>
      </w:tr>
      <w:tr>
        <w:tc>
          <w:tcPr/>
          <w:p>
            <w:pPr>
              <w:pStyle w:val="Compact"/>
            </w:pPr>
            <w:r>
              <w:t xml:space="preserve">Smidt, 2002 (11879861)</w:t>
            </w:r>
          </w:p>
        </w:tc>
        <w:tc>
          <w:tcPr/>
          <w:p>
            <w:pPr>
              <w:pStyle w:val="Compact"/>
            </w:pPr>
            <w:r>
              <w:t xml:space="preserve">Stessi tre bracci, 185</w:t>
            </w:r>
          </w:p>
        </w:tc>
        <w:tc>
          <w:tcPr/>
          <w:p>
            <w:pPr>
              <w:pStyle w:val="Compact"/>
            </w:pPr>
            <w:r>
              <w:t xml:space="preserve">Non attribuirti la storia naturale</w:t>
            </w:r>
          </w:p>
        </w:tc>
      </w:tr>
      <w:tr>
        <w:tc>
          <w:tcPr/>
          <w:p>
            <w:pPr>
              <w:pStyle w:val="Compact"/>
            </w:pPr>
            <w:r>
              <w:t xml:space="preserve">Karanasios, 2021 (33148599)</w:t>
            </w:r>
          </w:p>
        </w:tc>
        <w:tc>
          <w:tcPr/>
          <w:p>
            <w:pPr>
              <w:pStyle w:val="Compact"/>
            </w:pPr>
            <w:r>
              <w:t xml:space="preserve">Esercizio vs passivi, 30 studi</w:t>
            </w:r>
          </w:p>
        </w:tc>
        <w:tc>
          <w:tcPr/>
          <w:p>
            <w:pPr>
              <w:pStyle w:val="Compact"/>
            </w:pPr>
            <w:r>
              <w:t xml:space="preserve">Mettere il carico al centro</w:t>
            </w:r>
          </w:p>
        </w:tc>
      </w:tr>
      <w:tr>
        <w:tc>
          <w:tcPr/>
          <w:p>
            <w:pPr>
              <w:pStyle w:val="Compact"/>
            </w:pPr>
            <w:r>
              <w:t xml:space="preserve">Lucado, 2019 (29705077)</w:t>
            </w:r>
          </w:p>
        </w:tc>
        <w:tc>
          <w:tcPr/>
          <w:p>
            <w:pPr>
              <w:pStyle w:val="Compact"/>
            </w:pPr>
            <w:r>
              <w:t xml:space="preserve">Mobilizzazioni articolari, 20 studi</w:t>
            </w:r>
          </w:p>
        </w:tc>
        <w:tc>
          <w:tcPr/>
          <w:p>
            <w:pPr>
              <w:pStyle w:val="Compact"/>
            </w:pPr>
            <w:r>
              <w:t xml:space="preserve">Usare la mano, con effetti piccoli</w:t>
            </w:r>
          </w:p>
        </w:tc>
      </w:tr>
      <w:tr>
        <w:tc>
          <w:tcPr/>
          <w:p>
            <w:pPr>
              <w:pStyle w:val="Compact"/>
            </w:pPr>
            <w:r>
              <w:t xml:space="preserve">Vicenzino, 1996 (9252000)</w:t>
            </w:r>
          </w:p>
        </w:tc>
        <w:tc>
          <w:tcPr/>
          <w:p>
            <w:pPr>
              <w:pStyle w:val="Compact"/>
            </w:pPr>
            <w:r>
              <w:t xml:space="preserve">Tecnica cervicale vs placebo, 15</w:t>
            </w:r>
          </w:p>
        </w:tc>
        <w:tc>
          <w:tcPr/>
          <w:p>
            <w:pPr>
              <w:pStyle w:val="Compact"/>
            </w:pPr>
            <w:r>
              <w:t xml:space="preserve">Produrre un cambiamento nella seduta</w:t>
            </w:r>
          </w:p>
        </w:tc>
      </w:tr>
      <w:tr>
        <w:tc>
          <w:tcPr/>
          <w:p>
            <w:pPr>
              <w:pStyle w:val="Compact"/>
            </w:pPr>
            <w:r>
              <w:t xml:space="preserve">Kroslak, 2018 (29498885)</w:t>
            </w:r>
          </w:p>
        </w:tc>
        <w:tc>
          <w:tcPr/>
          <w:p>
            <w:pPr>
              <w:pStyle w:val="Compact"/>
            </w:pPr>
            <w:r>
              <w:t xml:space="preserve">Chirurgia vs chirurgia finta, 26</w:t>
            </w:r>
          </w:p>
        </w:tc>
        <w:tc>
          <w:tcPr/>
          <w:p>
            <w:pPr>
              <w:pStyle w:val="Compact"/>
            </w:pPr>
            <w:r>
              <w:t xml:space="preserve">Ridimensionare l’ultima opzione</w:t>
            </w:r>
          </w:p>
        </w:tc>
      </w:tr>
      <w:tr>
        <w:tc>
          <w:tcPr/>
          <w:p>
            <w:pPr>
              <w:pStyle w:val="Compact"/>
            </w:pPr>
            <w:r>
              <w:t xml:space="preserve">Karjalainen, 2021 (34590307)</w:t>
            </w:r>
          </w:p>
        </w:tc>
        <w:tc>
          <w:tcPr/>
          <w:p>
            <w:pPr>
              <w:pStyle w:val="Compact"/>
            </w:pPr>
            <w:r>
              <w:t xml:space="preserve">PRP vs placebo, 32 studi</w:t>
            </w:r>
          </w:p>
        </w:tc>
        <w:tc>
          <w:tcPr/>
          <w:p>
            <w:pPr>
              <w:pStyle w:val="Compact"/>
            </w:pPr>
            <w:r>
              <w:t xml:space="preserve">Informare su un’opzione costosa</w:t>
            </w:r>
          </w:p>
        </w:tc>
      </w:tr>
      <w:tr>
        <w:tc>
          <w:tcPr/>
          <w:p>
            <w:pPr>
              <w:pStyle w:val="Compact"/>
            </w:pPr>
            <w:r>
              <w:t xml:space="preserve">Wallis, 2024 (38802121)</w:t>
            </w:r>
          </w:p>
        </w:tc>
        <w:tc>
          <w:tcPr/>
          <w:p>
            <w:pPr>
              <w:pStyle w:val="Compact"/>
            </w:pPr>
            <w:r>
              <w:t xml:space="preserve">Mano ed esercizio, Cochrane, 23 studi</w:t>
            </w:r>
          </w:p>
        </w:tc>
        <w:tc>
          <w:tcPr/>
          <w:p>
            <w:pPr>
              <w:pStyle w:val="Compact"/>
            </w:pPr>
            <w:r>
              <w:t xml:space="preserve">Ridimensionare la tua leva</w:t>
            </w:r>
          </w:p>
        </w:tc>
      </w:tr>
      <w:tr>
        <w:tc>
          <w:tcPr/>
          <w:p>
            <w:pPr>
              <w:pStyle w:val="Compact"/>
            </w:pPr>
            <w:r>
              <w:t xml:space="preserve">Vuvan, 2020 (31425384)</w:t>
            </w:r>
          </w:p>
        </w:tc>
        <w:tc>
          <w:tcPr/>
          <w:p>
            <w:pPr>
              <w:pStyle w:val="Compact"/>
            </w:pPr>
            <w:r>
              <w:t xml:space="preserve">Esercizio non supervisionato vs attesa, 40</w:t>
            </w:r>
          </w:p>
        </w:tc>
        <w:tc>
          <w:tcPr/>
          <w:p>
            <w:pPr>
              <w:pStyle w:val="Compact"/>
            </w:pPr>
            <w:r>
              <w:t xml:space="preserve">Non consegnare e basta</w:t>
            </w:r>
          </w:p>
        </w:tc>
      </w:tr>
    </w:tbl>
    <w:p>
      <w:pPr>
        <w:pStyle w:val="BodyText"/>
      </w:pPr>
      <w:r>
        <w:rPr>
          <w:b/>
          <w:bCs/>
        </w:rPr>
        <w:t xml:space="preserve">I tre numeri che cambiano una conversazione.</w:t>
      </w:r>
    </w:p>
    <w:p>
      <w:pPr>
        <w:pStyle w:val="BodyText"/>
      </w:pPr>
      <w:r>
        <w:rPr>
          <w:b/>
          <w:bCs/>
        </w:rPr>
        <w:t xml:space="preserve">Il primo, sull’infiltrazione.</w:t>
      </w:r>
      <w:r>
        <w:t xml:space="preserve"> </w:t>
      </w:r>
      <w:r>
        <w:t xml:space="preserve">Lo studio ha arruolato 165 pazienti con epicondilalgia unilaterale di oltre sei settimane, randomizzati con iniezione in cieco e braccio placebo. A un anno risultava guarito o molto migliorato l’</w:t>
      </w:r>
      <w:r>
        <w:rPr>
          <w:b/>
          <w:bCs/>
        </w:rPr>
        <w:t xml:space="preserve">83% di chi aveva ricevuto il cortisone, contro il 96% del placebo</w:t>
      </w:r>
      <w:r>
        <w:t xml:space="preserve">. Le recidive erano nel</w:t>
      </w:r>
      <w:r>
        <w:t xml:space="preserve"> </w:t>
      </w:r>
      <w:r>
        <w:rPr>
          <w:b/>
          <w:bCs/>
        </w:rPr>
        <w:t xml:space="preserve">54% contro il 12%</w:t>
      </w:r>
      <w:r>
        <w:t xml:space="preserve"> </w:t>
      </w:r>
      <w:r>
        <w:t xml:space="preserve">(Coombes,</w:t>
      </w:r>
      <w:r>
        <w:t xml:space="preserve"> </w:t>
      </w:r>
      <w:r>
        <w:rPr>
          <w:i/>
          <w:iCs/>
        </w:rPr>
        <w:t xml:space="preserve">JAMA</w:t>
      </w:r>
      <w:r>
        <w:t xml:space="preserve"> </w:t>
      </w:r>
      <w:r>
        <w:t xml:space="preserve">2013, PMID 23385272).</w:t>
      </w:r>
      <w:r>
        <w:t xml:space="preserve"> </w:t>
      </w:r>
      <w:r>
        <w:rPr>
          <w:b/>
          <w:bCs/>
        </w:rPr>
        <w:t xml:space="preserve">Per te:</w:t>
      </w:r>
      <w:r>
        <w:t xml:space="preserve"> </w:t>
      </w:r>
      <w:r>
        <w:t xml:space="preserve">hai il numero per rispondere alla domanda che il paziente si porta dietro da mesi —</w:t>
      </w:r>
      <w:r>
        <w:t xml:space="preserve"> </w:t>
      </w:r>
      <w:r>
        <w:rPr>
          <w:i/>
          <w:iCs/>
        </w:rPr>
        <w:t xml:space="preserve">“l’infiltrazione mi ha fatto peggiorare?”</w:t>
      </w:r>
      <w:r>
        <w:t xml:space="preserve"> </w:t>
      </w:r>
      <w:r>
        <w:t xml:space="preserve">— senza opinioni e senza sconfessare nessuno. Serve a spiegare</w:t>
      </w:r>
      <w:r>
        <w:t xml:space="preserve"> </w:t>
      </w:r>
      <w:r>
        <w:rPr>
          <w:b/>
          <w:bCs/>
        </w:rPr>
        <w:t xml:space="preserve">perché il sollievo è tornato indietro</w:t>
      </w:r>
      <w:r>
        <w:t xml:space="preserve">, non a consigliare di non farne.</w:t>
      </w:r>
    </w:p>
    <w:p>
      <w:pPr>
        <w:pStyle w:val="BodyText"/>
      </w:pPr>
      <w:r>
        <w:rPr>
          <w:b/>
          <w:bCs/>
        </w:rPr>
        <w:t xml:space="preserve">Il secondo, sull’esercizio.</w:t>
      </w:r>
      <w:r>
        <w:t xml:space="preserve"> </w:t>
      </w:r>
      <w:r>
        <w:t xml:space="preserve">Trenta studi randomizzati, effetto piccolo, certezza bassa. Il dettaglio è in «Cosa può fare il paziente da solo» (Karanasios, 2021, PMID 33148599).</w:t>
      </w:r>
    </w:p>
    <w:p>
      <w:pPr>
        <w:pStyle w:val="BodyText"/>
      </w:pPr>
      <w:r>
        <w:rPr>
          <w:b/>
          <w:bCs/>
        </w:rPr>
        <w:t xml:space="preserve">Il terzo, sulla chirurgia</w:t>
      </w:r>
      <w:r>
        <w:t xml:space="preserve">, sta nel «Perché ci sei tu» che chiude questo capitolo.</w:t>
      </w:r>
    </w:p>
    <w:bookmarkEnd w:id="54"/>
    <w:bookmarkStart w:id="55"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3"/>
        </w:numPr>
      </w:pPr>
      <w:r>
        <w:t xml:space="preserve">Che una tecnica manuale sul gomito o sul rachide cervicale produce un effetto immediato in questi pazienti. Sale la soglia di pressione, sale la presa senza dolore, contro placebo e controllo (Vicenzino, 1996, PMID 9252000; Paungmali, 2003, PMID 12665408). E che in meta-analisi le mobilizzazioni articolari hanno un effetto positivo su dolore e presa, con dimensioni piccole (Lucado, 2019, PMID 29705077).</w:t>
      </w:r>
    </w:p>
    <w:p>
      <w:pPr>
        <w:pStyle w:val="Compact"/>
        <w:numPr>
          <w:ilvl w:val="0"/>
          <w:numId w:val="1033"/>
        </w:numPr>
      </w:pPr>
      <w:r>
        <w:t xml:space="preserve">Che un pacchetto di mano più esercizio batte l’attesa nelle prime sei settimane, e che chi lo riceve cerca meno trattamenti aggiuntivi e meno antinfiammatori (Bisset, 2006, PMID 17012266). E che l’esercizio con carico progressivo è superiore a terapie passive e infiltrazione sul medio e lungo termine (Karanasios, 2021, PMID 33148599).</w:t>
      </w:r>
    </w:p>
    <w:p>
      <w:pPr>
        <w:pStyle w:val="Compact"/>
        <w:numPr>
          <w:ilvl w:val="0"/>
          <w:numId w:val="1033"/>
        </w:numPr>
      </w:pPr>
      <w:r>
        <w:t xml:space="preserve">Che il modo in cui conduci l’incontro modifica la risposta analgesica in questi pazienti (Muhsen, 2020, PMID 32079999).</w:t>
      </w:r>
    </w:p>
    <w:p>
      <w:pPr>
        <w:pStyle w:val="Compact"/>
        <w:numPr>
          <w:ilvl w:val="0"/>
          <w:numId w:val="1033"/>
        </w:numPr>
      </w:pPr>
      <w:r>
        <w:t xml:space="preserve">Che sopra la soglia individuale il dolore riferito aumenta di circa un punto su dieci, e resta più alto a trenta minuti. Sotto la soglia non succede (Coombes, 2016, PMID 26889612, 24 pazienti).</w:t>
      </w:r>
    </w:p>
    <w:p>
      <w:pPr>
        <w:pStyle w:val="FirstParagraph"/>
      </w:pPr>
      <w:r>
        <w:rPr>
          <w:b/>
          <w:bCs/>
        </w:rPr>
        <w:t xml:space="preserve">Non possiamo dire:</w:t>
      </w:r>
    </w:p>
    <w:p>
      <w:pPr>
        <w:pStyle w:val="Compact"/>
        <w:numPr>
          <w:ilvl w:val="0"/>
          <w:numId w:val="1034"/>
        </w:numPr>
      </w:pPr>
      <w:r>
        <w:t xml:space="preserve">Che la nostra mano modifichi la struttura del tendine. Nessuno l’ha misurato, e il trattamento che ha modificato di più l’immagine non è stato il migliore sul dolore.</w:t>
      </w:r>
    </w:p>
    <w:p>
      <w:pPr>
        <w:pStyle w:val="Compact"/>
        <w:numPr>
          <w:ilvl w:val="0"/>
          <w:numId w:val="1034"/>
        </w:numPr>
      </w:pPr>
      <w:r>
        <w:t xml:space="preserve">Che l’effetto immediato duri. Gli studi che lo misurano lo misurano nei minuti successivi.</w:t>
      </w:r>
    </w:p>
    <w:p>
      <w:pPr>
        <w:pStyle w:val="Compact"/>
        <w:numPr>
          <w:ilvl w:val="0"/>
          <w:numId w:val="1034"/>
        </w:numPr>
      </w:pPr>
      <w:r>
        <w:t xml:space="preserve">Che il pacchetto testato sia il nostro. Nei trial di Bisset era mobilizzazione con movimento più esercizio, erogata da fisioterapisti in otto sedute:</w:t>
      </w:r>
      <w:r>
        <w:t xml:space="preserve"> </w:t>
      </w:r>
      <w:r>
        <w:rPr>
          <w:b/>
          <w:bCs/>
        </w:rPr>
        <w:t xml:space="preserve">il salto è di erogatore e di composizione</w:t>
      </w:r>
      <w:r>
        <w:t xml:space="preserve">, e va dichiarato ogni volta.</w:t>
      </w:r>
    </w:p>
    <w:p>
      <w:pPr>
        <w:pStyle w:val="Compact"/>
        <w:numPr>
          <w:ilvl w:val="0"/>
          <w:numId w:val="1034"/>
        </w:numPr>
      </w:pPr>
      <w:r>
        <w:t xml:space="preserve">Che a 52 settimane la fisioterapia batta l’attesa. Nello stesso trial, a un anno la differenza non c’era più.</w:t>
      </w:r>
    </w:p>
    <w:p>
      <w:pPr>
        <w:pStyle w:val="Compact"/>
        <w:numPr>
          <w:ilvl w:val="0"/>
          <w:numId w:val="1034"/>
        </w:numPr>
      </w:pPr>
      <w:r>
        <w:t xml:space="preserve">Che il rinforzo scapolare aggiunga qualcosa. L’unico randomizzato dedicato non ha trovato differenze (Day, 2021, PMID 33440342).</w:t>
      </w:r>
    </w:p>
    <w:p>
      <w:pPr>
        <w:pStyle w:val="Compact"/>
        <w:numPr>
          <w:ilvl w:val="0"/>
          <w:numId w:val="1034"/>
        </w:numPr>
      </w:pPr>
      <w:r>
        <w:t xml:space="preserve">Che il PRP funzioni. La revisione copre 32 studi e 2.337 partecipanti, con certezza moderata. Sangue autologo e PRP</w:t>
      </w:r>
      <w:r>
        <w:t xml:space="preserve"> </w:t>
      </w:r>
      <w:r>
        <w:rPr>
          <w:b/>
          <w:bCs/>
        </w:rPr>
        <w:t xml:space="preserve">probabilmente non producono un miglioramento clinicamente rilevante</w:t>
      </w:r>
      <w:r>
        <w:t xml:space="preserve"> </w:t>
      </w:r>
      <w:r>
        <w:t xml:space="preserve">rispetto all’iniezione placebo a tre mesi (Karjalainen, Cochrane 2021, PMID 34590307).</w:t>
      </w:r>
    </w:p>
    <w:p>
      <w:pPr>
        <w:pStyle w:val="Compact"/>
        <w:numPr>
          <w:ilvl w:val="0"/>
          <w:numId w:val="1034"/>
        </w:numPr>
      </w:pPr>
      <w:r>
        <w:t xml:space="preserve">Che il pacchetto di mano ed esercizio cambi l’esito a un anno.</w:t>
      </w:r>
      <w:r>
        <w:t xml:space="preserve"> </w:t>
      </w:r>
      <w:r>
        <w:rPr>
          <w:b/>
          <w:bCs/>
        </w:rPr>
        <w:t xml:space="preserve">Nello stesso trial dell’ancora, fattoriale 2×2, il braccio fisioterapia non ha prodotto differenze:</w:t>
      </w:r>
      <w:r>
        <w:t xml:space="preserve"> </w:t>
      </w:r>
      <w:r>
        <w:t xml:space="preserve">91% contro 88% a dodici mesi, e nessuna differenza sulle recidive (Coombes, 2013, PMID 23385272).</w:t>
      </w:r>
    </w:p>
    <w:p>
      <w:pPr>
        <w:pStyle w:val="Compact"/>
        <w:numPr>
          <w:ilvl w:val="0"/>
          <w:numId w:val="1034"/>
        </w:numPr>
      </w:pPr>
      <w:r>
        <w:t xml:space="preserve">Che quel beneficio, contro un intervento minimo, sia clinicamente rilevante o duraturo. La Cochrane più recente lo colloca</w:t>
      </w:r>
      <w:r>
        <w:t xml:space="preserve"> </w:t>
      </w:r>
      <w:r>
        <w:rPr>
          <w:b/>
          <w:bCs/>
        </w:rPr>
        <w:t xml:space="preserve">sotto la soglia di rilevanza</w:t>
      </w:r>
      <w:r>
        <w:t xml:space="preserve">: 0,53 punti su dieci sul dolore, 5 su cento sulla disabilità. A certezza bassa, e non mantenuto oltre il fine trattamento (Wallis, 2024, PMID 38802121, 23 studi, 1.612 partecipanti).</w:t>
      </w:r>
    </w:p>
    <w:p>
      <w:pPr>
        <w:pStyle w:val="Compact"/>
        <w:numPr>
          <w:ilvl w:val="0"/>
          <w:numId w:val="1034"/>
        </w:numPr>
      </w:pPr>
      <w:r>
        <w:t xml:space="preserve">Che l’esercizio consegnato e basta produca lo stesso effetto del programma dei trial. Nell’unico randomizzato che l’ha isolato,</w:t>
      </w:r>
      <w:r>
        <w:t xml:space="preserve"> </w:t>
      </w:r>
      <w:r>
        <w:rPr>
          <w:b/>
          <w:bCs/>
        </w:rPr>
        <w:t xml:space="preserve">due esiti primari su tre non si sono mossi</w:t>
      </w:r>
      <w:r>
        <w:t xml:space="preserve"> </w:t>
      </w:r>
      <w:r>
        <w:t xml:space="preserve">(Vuvan, 2020, PMID 31425384).</w:t>
      </w:r>
    </w:p>
    <w:p>
      <w:pPr>
        <w:pStyle w:val="Compact"/>
        <w:numPr>
          <w:ilvl w:val="0"/>
          <w:numId w:val="1034"/>
        </w:numPr>
      </w:pPr>
      <w:r>
        <w:t xml:space="preserve">Che l’effetto immediato della mano compaia anche fuori dal paziente vero. Esiste un solo test indipendente sulla stessa tecnica e sullo stesso distretto: 24 soggetti sani, dolore indotto in laboratorio, mobilizzazione con movimento contro placebo.</w:t>
      </w:r>
      <w:r>
        <w:t xml:space="preserve"> </w:t>
      </w:r>
      <w:r>
        <w:rPr>
          <w:b/>
          <w:bCs/>
        </w:rPr>
        <w:t xml:space="preserve">Nessuna differenza su nessun esito</w:t>
      </w:r>
      <w:r>
        <w:t xml:space="preserve"> </w:t>
      </w:r>
      <w:r>
        <w:t xml:space="preserve">(Slater, 2006, PMID 15914074).</w:t>
      </w:r>
      <w:r>
        <w:t xml:space="preserve"> </w:t>
      </w:r>
      <w:r>
        <w:rPr>
          <w:i/>
          <w:iCs/>
        </w:rPr>
        <w:t xml:space="preserve">Il salto è di popolazione:</w:t>
      </w:r>
      <w:r>
        <w:t xml:space="preserve"> </w:t>
      </w:r>
      <w:r>
        <w:t xml:space="preserve">volontari sani con dolore creato in laboratorio, non pazienti —</w:t>
      </w:r>
      <w:r>
        <w:t xml:space="preserve"> </w:t>
      </w:r>
      <w:r>
        <w:rPr>
          <w:b/>
          <w:bCs/>
        </w:rPr>
        <w:t xml:space="preserve">non smentisce l’effetto misurato nei pazienti</w:t>
      </w:r>
      <w:r>
        <w:t xml:space="preserve">, ma dice che quell’effetto sembra richiedere il sistema di un paziente vero, non un dolore appena creato.</w:t>
      </w:r>
    </w:p>
    <w:p>
      <w:pPr>
        <w:pStyle w:val="Compact"/>
        <w:numPr>
          <w:ilvl w:val="0"/>
          <w:numId w:val="1034"/>
        </w:numPr>
      </w:pPr>
      <w:r>
        <w:t xml:space="preserve">Che l’isometrico sia la modalità. Su dieci randomizzati nelle tendinopatie, due sul gomito laterale,</w:t>
      </w:r>
      <w:r>
        <w:t xml:space="preserve"> </w:t>
      </w:r>
      <w:r>
        <w:rPr>
          <w:b/>
          <w:bCs/>
        </w:rPr>
        <w:t xml:space="preserve">l’isometrico non è superiore all’isotonico su nessuna misura di esito</w:t>
      </w:r>
      <w:r>
        <w:t xml:space="preserve"> </w:t>
      </w:r>
      <w:r>
        <w:t xml:space="preserve">(Clifford,</w:t>
      </w:r>
      <w:r>
        <w:t xml:space="preserve"> </w:t>
      </w:r>
      <w:r>
        <w:rPr>
          <w:i/>
          <w:iCs/>
        </w:rPr>
        <w:t xml:space="preserve">BMJ Open Sport Exerc Med</w:t>
      </w:r>
      <w:r>
        <w:t xml:space="preserve"> </w:t>
      </w:r>
      <w:r>
        <w:t xml:space="preserve">2020, PMID 32818059).</w:t>
      </w:r>
      <w:r>
        <w:t xml:space="preserve"> </w:t>
      </w:r>
      <w:r>
        <w:rPr>
          <w:i/>
          <w:iCs/>
        </w:rPr>
        <w:t xml:space="preserve">Il salto è di distretto:</w:t>
      </w:r>
      <w:r>
        <w:t xml:space="preserve"> </w:t>
      </w:r>
      <w:r>
        <w:t xml:space="preserve">misurato sull’insieme delle tendinopatie e su evidenza di livello limitato — dice che l’isometrico non è meglio, non che sia inutile.</w:t>
      </w:r>
    </w:p>
    <w:bookmarkEnd w:id="55"/>
    <w:bookmarkStart w:id="56" w:name="i-tre-cerchi"/>
    <w:p>
      <w:pPr>
        <w:pStyle w:val="Heading3"/>
      </w:pPr>
      <w:r>
        <w:t xml:space="preserve">I tre cerchi</w:t>
      </w:r>
    </w:p>
    <w:p>
      <w:pPr>
        <w:pStyle w:val="FirstParagraph"/>
      </w:pPr>
      <w:r>
        <w:rPr>
          <w:b/>
          <w:bCs/>
        </w:rPr>
        <w:t xml:space="preserve">Cerchio 1 — le prove specifiche.</w:t>
      </w:r>
      <w:r>
        <w:t xml:space="preserve"> </w:t>
      </w:r>
      <w:r>
        <w:t xml:space="preserve">Qui è pieno, ed è la parte già scritta sopra.</w:t>
      </w:r>
    </w:p>
    <w:p>
      <w:pPr>
        <w:pStyle w:val="BodyText"/>
      </w:pPr>
      <w:r>
        <w:rPr>
          <w:b/>
          <w:bCs/>
        </w:rPr>
        <w:t xml:space="preserve">Cerchio 2 — le prove trasversali sul meccanismo</w:t>
      </w:r>
      <w:r>
        <w:t xml:space="preserve">, che spiegano</w:t>
      </w:r>
      <w:r>
        <w:t xml:space="preserve"> </w:t>
      </w:r>
      <w:r>
        <w:rPr>
          <w:b/>
          <w:bCs/>
        </w:rPr>
        <w:t xml:space="preserve">come</w:t>
      </w:r>
      <w:r>
        <w:t xml:space="preserve"> </w:t>
      </w:r>
      <w:r>
        <w:t xml:space="preserve">funziona quello che il cerchio 1 misura.</w:t>
      </w:r>
    </w:p>
    <w:p>
      <w:pPr>
        <w:pStyle w:val="Compact"/>
        <w:numPr>
          <w:ilvl w:val="0"/>
          <w:numId w:val="1035"/>
        </w:numPr>
      </w:pPr>
      <w:r>
        <w:rPr>
          <w:b/>
          <w:bCs/>
        </w:rPr>
        <w:t xml:space="preserve">Modulazione del dolore da terapia manuale.</w:t>
      </w:r>
      <w:r>
        <w:t xml:space="preserve"> </w:t>
      </w:r>
      <w:r>
        <w:t xml:space="preserve">Il modello di riferimento descrive una cascata neurofisiologica. Parte dallo stimolo meccanico e coinvolge vie periferiche, spinali e sovraspinali, senza attribuire l’effetto alla correzione di un difetto strutturale (Bialosky,</w:t>
      </w:r>
      <w:r>
        <w:t xml:space="preserve"> </w:t>
      </w:r>
      <w:r>
        <w:rPr>
          <w:i/>
          <w:iCs/>
        </w:rPr>
        <w:t xml:space="preserve">Man Ther</w:t>
      </w:r>
      <w:r>
        <w:t xml:space="preserve"> </w:t>
      </w:r>
      <w:r>
        <w:t xml:space="preserve">2009, PMID 19027342).</w:t>
      </w:r>
      <w:r>
        <w:t xml:space="preserve"> </w:t>
      </w:r>
      <w:r>
        <w:rPr>
          <w:i/>
          <w:iCs/>
        </w:rPr>
        <w:t xml:space="preserve">Il salto è di popolazione:</w:t>
      </w:r>
      <w:r>
        <w:t xml:space="preserve"> </w:t>
      </w:r>
      <w:r>
        <w:t xml:space="preserve">costruito sul dolore muscolo-scheletrico in generale, non su pazienti con epicondilalgia.</w:t>
      </w:r>
    </w:p>
    <w:p>
      <w:pPr>
        <w:pStyle w:val="Compact"/>
        <w:numPr>
          <w:ilvl w:val="0"/>
          <w:numId w:val="1035"/>
        </w:numPr>
      </w:pPr>
      <w:r>
        <w:rPr>
          <w:b/>
          <w:bCs/>
        </w:rPr>
        <w:t xml:space="preserve">Ipoalgesia da esercizio.</w:t>
      </w:r>
      <w:r>
        <w:t xml:space="preserve"> </w:t>
      </w:r>
      <w:r>
        <w:t xml:space="preserve">In meta-analisi degli studi sperimentali, esercizio aerobico e isometrico alzano le soglie di dolore con effetti da moderati a grandi (Naugle,</w:t>
      </w:r>
      <w:r>
        <w:t xml:space="preserve"> </w:t>
      </w:r>
      <w:r>
        <w:rPr>
          <w:i/>
          <w:iCs/>
        </w:rPr>
        <w:t xml:space="preserve">J Pain</w:t>
      </w:r>
      <w:r>
        <w:t xml:space="preserve"> </w:t>
      </w:r>
      <w:r>
        <w:t xml:space="preserve">2012, PMID 23141188).</w:t>
      </w:r>
      <w:r>
        <w:t xml:space="preserve"> </w:t>
      </w:r>
      <w:r>
        <w:rPr>
          <w:i/>
          <w:iCs/>
        </w:rPr>
        <w:t xml:space="preserve">Il salto è di popolazione:</w:t>
      </w:r>
      <w:r>
        <w:t xml:space="preserve"> </w:t>
      </w:r>
      <w:r>
        <w:t xml:space="preserve">misurato in prevalenza su adulti sani.</w:t>
      </w:r>
      <w:r>
        <w:t xml:space="preserve"> </w:t>
      </w:r>
      <w:r>
        <w:rPr>
          <w:b/>
          <w:bCs/>
        </w:rPr>
        <w:t xml:space="preserve">E nel dolore cronico la direzione dell’effetto può cambiare, e a dirlo è un’altra fonte, non la stessa:</w:t>
      </w:r>
      <w:r>
        <w:t xml:space="preserve"> </w:t>
      </w:r>
      <w:r>
        <w:t xml:space="preserve">nella rassegna dedicata la risposta ipoalgesica è più variabile e più spesso compromessa, e il dolore può diminuire, restare invariato o</w:t>
      </w:r>
      <w:r>
        <w:t xml:space="preserve"> </w:t>
      </w:r>
      <w:r>
        <w:rPr>
          <w:b/>
          <w:bCs/>
        </w:rPr>
        <w:t xml:space="preserve">aumentare</w:t>
      </w:r>
      <w:r>
        <w:t xml:space="preserve"> </w:t>
      </w:r>
      <w:r>
        <w:t xml:space="preserve">(Rice,</w:t>
      </w:r>
      <w:r>
        <w:t xml:space="preserve"> </w:t>
      </w:r>
      <w:r>
        <w:rPr>
          <w:i/>
          <w:iCs/>
        </w:rPr>
        <w:t xml:space="preserve">J Pain</w:t>
      </w:r>
      <w:r>
        <w:t xml:space="preserve"> </w:t>
      </w:r>
      <w:r>
        <w:t xml:space="preserve">2019, PMID 30904519). L’etichetta è</w:t>
      </w:r>
      <w:r>
        <w:t xml:space="preserve"> </w:t>
      </w:r>
      <w:r>
        <w:rPr>
          <w:b/>
          <w:bCs/>
        </w:rPr>
        <w:t xml:space="preserve">PROBABILE</w:t>
      </w:r>
      <w:r>
        <w:t xml:space="preserve"> </w:t>
      </w:r>
      <w:r>
        <w:rPr>
          <w:i/>
          <w:iCs/>
        </w:rPr>
        <w:t xml:space="preserve">(razionale forte, prove parziali)</w:t>
      </w:r>
      <w:r>
        <w:t xml:space="preserve"> </w:t>
      </w:r>
      <w:r>
        <w:t xml:space="preserve">e non sale, perché</w:t>
      </w:r>
      <w:r>
        <w:t xml:space="preserve"> </w:t>
      </w:r>
      <w:r>
        <w:rPr>
          <w:b/>
          <w:bCs/>
        </w:rPr>
        <w:t xml:space="preserve">è una rassegna narrativa, non una meta-analisi</w:t>
      </w:r>
      <w:r>
        <w:t xml:space="preserve">.</w:t>
      </w:r>
      <w:r>
        <w:t xml:space="preserve"> </w:t>
      </w:r>
      <w:r>
        <w:rPr>
          <w:i/>
          <w:iCs/>
        </w:rPr>
        <w:t xml:space="preserve">Il salto è di popolazione:</w:t>
      </w:r>
      <w:r>
        <w:t xml:space="preserve"> </w:t>
      </w:r>
      <w:r>
        <w:t xml:space="preserve">dolore cronico muscolo-scheletrico in generale, non epicondilalgia — ma è la stessa direzione che Coombes 2016 ha misurato su 24 di questi pazienti.</w:t>
      </w:r>
    </w:p>
    <w:p>
      <w:pPr>
        <w:pStyle w:val="Compact"/>
        <w:numPr>
          <w:ilvl w:val="0"/>
          <w:numId w:val="1035"/>
        </w:numPr>
      </w:pPr>
      <w:r>
        <w:rPr>
          <w:b/>
          <w:bCs/>
        </w:rPr>
        <w:t xml:space="preserve">Alleanza terapeutica.</w:t>
      </w:r>
      <w:r>
        <w:t xml:space="preserve"> </w:t>
      </w:r>
      <w:r>
        <w:t xml:space="preserve">L’alleanza fra clinico e paziente predice l’esito nella lombalgia cronica trattata con fisioterapia (Ferreira,</w:t>
      </w:r>
      <w:r>
        <w:t xml:space="preserve"> </w:t>
      </w:r>
      <w:r>
        <w:rPr>
          <w:i/>
          <w:iCs/>
        </w:rPr>
        <w:t xml:space="preserve">Phys Ther</w:t>
      </w:r>
      <w:r>
        <w:t xml:space="preserve"> </w:t>
      </w:r>
      <w:r>
        <w:t xml:space="preserve">2013, PMID 23139428).</w:t>
      </w:r>
      <w:r>
        <w:t xml:space="preserve"> </w:t>
      </w:r>
      <w:r>
        <w:rPr>
          <w:i/>
          <w:iCs/>
        </w:rPr>
        <w:t xml:space="preserve">Il salto è di popolazione:</w:t>
      </w:r>
      <w:r>
        <w:t xml:space="preserve"> </w:t>
      </w:r>
      <w:r>
        <w:t xml:space="preserve">lombalgia, non gomito — ma qui esiste il dato diretto di Muhsen, che è cerchio 1 e non ha bisogno di ponte.</w:t>
      </w:r>
    </w:p>
    <w:p>
      <w:pPr>
        <w:pStyle w:val="Compact"/>
        <w:numPr>
          <w:ilvl w:val="0"/>
          <w:numId w:val="1035"/>
        </w:numPr>
      </w:pPr>
      <w:r>
        <w:rPr>
          <w:b/>
          <w:bCs/>
        </w:rPr>
        <w:t xml:space="preserve">Sonno e soglia del dolore.</w:t>
      </w:r>
      <w:r>
        <w:t xml:space="preserve"> </w:t>
      </w:r>
      <w:r>
        <w:t xml:space="preserve">La privazione di sonno abbassa la soglia con effetto medio nei confronti fra gruppi (Schrimpf,</w:t>
      </w:r>
      <w:r>
        <w:t xml:space="preserve"> </w:t>
      </w:r>
      <w:r>
        <w:rPr>
          <w:i/>
          <w:iCs/>
        </w:rPr>
        <w:t xml:space="preserve">Sleep Med</w:t>
      </w:r>
      <w:r>
        <w:t xml:space="preserve"> </w:t>
      </w:r>
      <w:r>
        <w:t xml:space="preserve">2015, PMID 26498229).</w:t>
      </w:r>
      <w:r>
        <w:t xml:space="preserve"> </w:t>
      </w:r>
      <w:r>
        <w:rPr>
          <w:i/>
          <w:iCs/>
        </w:rPr>
        <w:t xml:space="preserve">Il salto è di popolazione e di intervento:</w:t>
      </w:r>
      <w:r>
        <w:t xml:space="preserve"> </w:t>
      </w:r>
      <w:r>
        <w:t xml:space="preserve">volontari sani in privazione sperimentale, non pazienti in insonnia cronica.</w:t>
      </w:r>
    </w:p>
    <w:p>
      <w:pPr>
        <w:pStyle w:val="FirstParagraph"/>
      </w:pPr>
      <w:r>
        <w:rPr>
          <w:b/>
          <w:bCs/>
        </w:rPr>
        <w:t xml:space="preserve">Cerchio 3 — la fisiologia.</w:t>
      </w:r>
      <w:r>
        <w:t xml:space="preserve"> </w:t>
      </w:r>
      <w:r>
        <w:t xml:space="preserve">Contatto ECRB-capitello (Bunata, 2007, PMID 17768192), separazione dell’EDC (Fairbank, 2002, PMID 12367535), innervazione peptidergica senza infiltrati (Ljung, 1999, PMID 10459762), quadro istologico e molecolare (Millar, 2021, PMID 33414454). Reggono il</w:t>
      </w:r>
      <w:r>
        <w:t xml:space="preserve"> </w:t>
      </w:r>
      <w:r>
        <w:rPr>
          <w:b/>
          <w:bCs/>
        </w:rPr>
        <w:t xml:space="preserve">razionale</w:t>
      </w:r>
      <w:r>
        <w:t xml:space="preserve">, mai l’efficacia.</w:t>
      </w:r>
    </w:p>
    <w:p>
      <w:pPr>
        <w:pStyle w:val="BlockText"/>
      </w:pPr>
      <w:r>
        <w:rPr>
          <w:b/>
          <w:bCs/>
        </w:rPr>
        <w:t xml:space="preserve">La regola del ponte.</w:t>
      </w:r>
      <w:r>
        <w:t xml:space="preserve"> </w:t>
      </w:r>
      <w:r>
        <w:t xml:space="preserve">L’evidenza del cerchio 2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Ogni fonte del cerchio 2 di questo documento porta la frase che dichiara l’asse del salto.</w:t>
      </w:r>
    </w:p>
    <w:bookmarkEnd w:id="56"/>
    <w:bookmarkStart w:id="57" w:name="quando-la-scienza-tace"/>
    <w:p>
      <w:pPr>
        <w:pStyle w:val="Heading3"/>
      </w:pPr>
      <w:r>
        <w:t xml:space="preserve">Quando la scienza tace</w:t>
      </w:r>
    </w:p>
    <w:p>
      <w:pPr>
        <w:pStyle w:val="FirstParagraph"/>
      </w:pPr>
      <w:r>
        <w:t xml:space="preserve">Su questa condizione la scienza non tace in generale:</w:t>
      </w:r>
      <w:r>
        <w:t xml:space="preserve"> </w:t>
      </w:r>
      <w:r>
        <w:rPr>
          <w:b/>
          <w:bCs/>
        </w:rPr>
        <w:t xml:space="preserve">tace in modo selettivo</w:t>
      </w:r>
      <w:r>
        <w:t xml:space="preserve">, e la distinzione cambia cosa devi fare.</w:t>
      </w:r>
    </w:p>
    <w:p>
      <w:pPr>
        <w:pStyle w:val="Compact"/>
        <w:numPr>
          <w:ilvl w:val="0"/>
          <w:numId w:val="1036"/>
        </w:numPr>
      </w:pPr>
      <w:r>
        <w:rPr>
          <w:b/>
          <w:bCs/>
        </w:rPr>
        <w:t xml:space="preserve">Assenza di prove non è prova di assenza.</w:t>
      </w:r>
      <w:r>
        <w:t xml:space="preserve"> </w:t>
      </w:r>
      <w:r>
        <w:t xml:space="preserve">Che nessuno abbia randomizzato la modifica del gesto lavorativo come intervento isolato non dice niente sulla sua efficacia: dice che nessuno l’ha misurata. Confondere le due cose è un errore di logica, non un eccesso di prudenza.</w:t>
      </w:r>
    </w:p>
    <w:p>
      <w:pPr>
        <w:pStyle w:val="Compact"/>
        <w:numPr>
          <w:ilvl w:val="0"/>
          <w:numId w:val="1036"/>
        </w:numPr>
      </w:pPr>
      <w:r>
        <w:rPr>
          <w:b/>
          <w:bCs/>
        </w:rPr>
        <w:t xml:space="preserve">Perché quella letteratura non esiste.</w:t>
      </w:r>
      <w:r>
        <w:t xml:space="preserve"> </w:t>
      </w:r>
      <w:r>
        <w:t xml:space="preserve">Non perché sia stata fatta e sia risultata negativa: quello sarebbe un dato, e in questo documento i dati negativi sono elencati per nome. Non esiste perché su alcuni oggetti gli studi non sono stati fatti. Nessun finanziamento per un intervento che non si vende. Nessun esito standardizzato per</w:t>
      </w:r>
      <w:r>
        <w:t xml:space="preserve"> </w:t>
      </w:r>
      <w:r>
        <w:t xml:space="preserve">“il gesto”</w:t>
      </w:r>
      <w:r>
        <w:t xml:space="preserve">. Nessun placebo credibile per il tocco. E campioni piccoli: gli studi di Vicenzino su cui poggia l’ipoalgesia hanno 15 e 24 partecipanti.</w:t>
      </w:r>
      <w:r>
        <w:t xml:space="preserve"> </w:t>
      </w:r>
      <w:r>
        <w:rPr>
          <w:b/>
          <w:bCs/>
        </w:rPr>
        <w:t xml:space="preserve">E va registrato anche il contrario:</w:t>
      </w:r>
      <w:r>
        <w:t xml:space="preserve"> </w:t>
      </w:r>
      <w:r>
        <w:t xml:space="preserve">su sette oggetti gli studi esistono, e sono negativi. Sono questi: rinforzo scapolare aggiunto; PRP; chirurgia contro chirurgia finta; braccio fisioterapia del trial dell’ancora; beneficio mantenuto di mano ed esercizio nella Cochrane; esercizio consegnato senza accompagnamento; ipoalgesia da mobilizzazione testata su dolore indotto in soggetti sani.</w:t>
      </w:r>
      <w:r>
        <w:t xml:space="preserve"> </w:t>
      </w:r>
      <w:r>
        <w:rPr>
          <w:b/>
          <w:bCs/>
        </w:rPr>
        <w:t xml:space="preserve">Cinque dei sette colpiscono un intervento nostro</w:t>
      </w:r>
      <w:r>
        <w:t xml:space="preserve">, ed è la ragione per cui sono elencati per nome invece che omessi. Un capitolo che elenca solo ciò che manca non è onesto, è pessimista.</w:t>
      </w:r>
    </w:p>
    <w:p>
      <w:pPr>
        <w:pStyle w:val="Compact"/>
        <w:numPr>
          <w:ilvl w:val="0"/>
          <w:numId w:val="1036"/>
        </w:numPr>
      </w:pPr>
      <w:r>
        <w:rPr>
          <w:b/>
          <w:bCs/>
        </w:rPr>
        <w:t xml:space="preserve">Su cosa ti basi, allora.</w:t>
      </w:r>
      <w:r>
        <w:t xml:space="preserve"> </w:t>
      </w:r>
      <w:r>
        <w:t xml:space="preserve">In ordine: il</w:t>
      </w:r>
      <w:r>
        <w:t xml:space="preserve"> </w:t>
      </w:r>
      <w:r>
        <w:rPr>
          <w:b/>
          <w:bCs/>
        </w:rPr>
        <w:t xml:space="preserve">meccanismo fisiologico</w:t>
      </w:r>
      <w:r>
        <w:t xml:space="preserve"> </w:t>
      </w:r>
      <w:r>
        <w:t xml:space="preserve">documentato dai cerchi 2 e 3; il</w:t>
      </w:r>
      <w:r>
        <w:t xml:space="preserve"> </w:t>
      </w:r>
      <w:r>
        <w:rPr>
          <w:b/>
          <w:bCs/>
        </w:rPr>
        <w:t xml:space="preserve">ragionamento clinico</w:t>
      </w:r>
      <w:r>
        <w:t xml:space="preserve">, dichiarato come tale; la</w:t>
      </w:r>
      <w:r>
        <w:t xml:space="preserve"> </w:t>
      </w:r>
      <w:r>
        <w:rPr>
          <w:b/>
          <w:bCs/>
        </w:rPr>
        <w:t xml:space="preserve">verifica sul singolo paziente</w:t>
      </w:r>
      <w:r>
        <w:t xml:space="preserve">, con uno dei quattro marker scelto</w:t>
      </w:r>
      <w:r>
        <w:t xml:space="preserve"> </w:t>
      </w:r>
      <w:r>
        <w:rPr>
          <w:b/>
          <w:bCs/>
        </w:rPr>
        <w:t xml:space="preserve">prima</w:t>
      </w:r>
      <w:r>
        <w:t xml:space="preserve"> </w:t>
      </w:r>
      <w:r>
        <w:t xml:space="preserve">di trattare e misurato prima e dopo.</w:t>
      </w:r>
    </w:p>
    <w:p>
      <w:pPr>
        <w:pStyle w:val="Compact"/>
        <w:numPr>
          <w:ilvl w:val="0"/>
          <w:numId w:val="1036"/>
        </w:numPr>
      </w:pPr>
      <w:r>
        <w:rPr>
          <w:b/>
          <w:bCs/>
        </w:rPr>
        <w:t xml:space="preserve">Cosa separa questo modo di lavorare dal pensiero magico.</w:t>
      </w:r>
      <w:r>
        <w:t xml:space="preserve"> </w:t>
      </w:r>
      <w:r>
        <w:t xml:space="preserve">La verifica, e nient’altro. Scegliere il marker prima e accettarne il verdetto è scienza applicata a un caso singolo. Sceglierlo dopo aver visto il paziente migliorare, no.</w:t>
      </w:r>
    </w:p>
    <w:p>
      <w:pPr>
        <w:pStyle w:val="Compact"/>
        <w:numPr>
          <w:ilvl w:val="0"/>
          <w:numId w:val="1036"/>
        </w:numPr>
      </w:pPr>
      <w:r>
        <w:rPr>
          <w:b/>
          <w:bCs/>
        </w:rPr>
        <w:t xml:space="preserve">Cosa non autorizza.</w:t>
      </w:r>
      <w:r>
        <w:t xml:space="preserve"> </w:t>
      </w:r>
      <w:r>
        <w:t xml:space="preserve">Non autorizza a promettere un esito. Non autorizza a scrivere DIMOSTRATO dove c’è IPOTESI. Non autorizza a dire al paziente che</w:t>
      </w:r>
      <w:r>
        <w:t xml:space="preserve"> </w:t>
      </w:r>
      <w:r>
        <w:rPr>
          <w:i/>
          <w:iCs/>
        </w:rPr>
        <w:t xml:space="preserve">“gli studi lo confermano”</w:t>
      </w:r>
      <w:r>
        <w:t xml:space="preserve">, quando gli studi confermano un effetto immediato di minuti.</w:t>
      </w:r>
    </w:p>
    <w:p>
      <w:pPr>
        <w:pStyle w:val="FirstParagraph"/>
      </w:pPr>
      <w:r>
        <w:rPr>
          <w:b/>
          <w:bCs/>
        </w:rPr>
        <w:t xml:space="preserve">Le tre cose da ricordare, più una</w:t>
      </w:r>
    </w:p>
    <w:p>
      <w:pPr>
        <w:pStyle w:val="Compact"/>
        <w:numPr>
          <w:ilvl w:val="0"/>
          <w:numId w:val="1037"/>
        </w:numPr>
      </w:pPr>
      <w:r>
        <w:t xml:space="preserve">Su questa condizione il cerchio 1 è pieno, e una parte importante è sfavorevole: la tua credibilità sta nel riportare anche quella.</w:t>
      </w:r>
    </w:p>
    <w:p>
      <w:pPr>
        <w:pStyle w:val="Compact"/>
        <w:numPr>
          <w:ilvl w:val="0"/>
          <w:numId w:val="1037"/>
        </w:numPr>
      </w:pPr>
      <w:r>
        <w:t xml:space="preserve">Il pacchetto testato non è il tuo: erogatore e composizione sono un salto, e va dichiarato ogni volta.</w:t>
      </w:r>
    </w:p>
    <w:p>
      <w:pPr>
        <w:pStyle w:val="Compact"/>
        <w:numPr>
          <w:ilvl w:val="0"/>
          <w:numId w:val="1037"/>
        </w:numPr>
      </w:pPr>
      <w:r>
        <w:t xml:space="preserve">L’effetto della mano che è dimostrato è immediato e piccolo; quello che dura appartiene al carico.</w:t>
      </w:r>
    </w:p>
    <w:p>
      <w:pPr>
        <w:pStyle w:val="Compact"/>
        <w:numPr>
          <w:ilvl w:val="0"/>
          <w:numId w:val="1037"/>
        </w:numPr>
      </w:pPr>
      <w:r>
        <w:rPr>
          <w:b/>
          <w:bCs/>
        </w:rPr>
        <w:t xml:space="preserve">Perché ci sei tu.</w:t>
      </w:r>
      <w:r>
        <w:t xml:space="preserve"> </w:t>
      </w:r>
      <w:r>
        <w:t xml:space="preserve">Esiste un solo confronto fra chirurgia e chirurgia finta: asportazione della porzione degenerata dell’ECRB contro sola incisione ed esposizione, 26 pazienti.</w:t>
      </w:r>
      <w:r>
        <w:t xml:space="preserve"> </w:t>
      </w:r>
      <w:r>
        <w:rPr>
          <w:b/>
          <w:bCs/>
        </w:rPr>
        <w:t xml:space="preserve">Nessuna differenza fra i gruppi in nessun parametro, a sei mesi e a due anni e mezzo</w:t>
      </w:r>
      <w:r>
        <w:t xml:space="preserve"> </w:t>
      </w:r>
      <w:r>
        <w:t xml:space="preserve">(Kroslak e Murrell, 2018, PMID 29498885).</w:t>
      </w:r>
      <w:r>
        <w:t xml:space="preserve"> </w:t>
      </w:r>
      <w:r>
        <w:rPr>
          <w:b/>
          <w:bCs/>
        </w:rPr>
        <w:t xml:space="preserve">Per te:</w:t>
      </w:r>
      <w:r>
        <w:t xml:space="preserve"> </w:t>
      </w:r>
      <w:r>
        <w:t xml:space="preserve">cambia il tono con cui parli a chi si sente in fondo alla strada. Questo ti autorizza a dire che restano cose da fare prima.</w:t>
      </w:r>
      <w:r>
        <w:t xml:space="preserve"> </w:t>
      </w:r>
      <w:r>
        <w:rPr>
          <w:b/>
          <w:bCs/>
        </w:rPr>
        <w:t xml:space="preserve">E ti restringe:</w:t>
      </w:r>
      <w:r>
        <w:t xml:space="preserve"> </w:t>
      </w:r>
      <w:r>
        <w:t xml:space="preserve">sono 26 pazienti, e lo studio è stato interrotto prima di completare l’arruolamento. Non dimostra che la chirurgia non serva, e non è una ragione per sconsigliarla.</w:t>
      </w:r>
    </w:p>
    <w:p>
      <w:r>
        <w:pict>
          <v:rect style="width:0;height:1.5pt" o:hralign="center" o:hrstd="t" o:hr="t"/>
        </w:pict>
      </w:r>
    </w:p>
    <w:bookmarkEnd w:id="57"/>
    <w:bookmarkEnd w:id="58"/>
    <w:bookmarkStart w:id="6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producono in questa condizione un effetto immediato dimostrato, piccolo e di breve durata — e la loro funzione è aprire la finestra in cui il carico può fare il lavoro che dura.</w:t>
      </w:r>
    </w:p>
    <w:p>
      <w:pPr>
        <w:pStyle w:val="FirstParagraph"/>
      </w:pPr>
      <w:r>
        <w:rPr>
          <w:b/>
          <w:bCs/>
        </w:rPr>
        <w:t xml:space="preserve">Cosa le mani non possono fare, e va detto per primo.</w:t>
      </w:r>
      <w:r>
        <w:t xml:space="preserve"> </w:t>
      </w:r>
      <w:r>
        <w:t xml:space="preserve">Non ricostruiscono il collagene. Non riducono lo spessore del tendine. Non decidono se c’è un nervo. Non sostituiscono il carico progressivo, e nessuno studio ha mostrato che lo facciano.</w:t>
      </w:r>
    </w:p>
    <w:bookmarkStart w:id="59" w:name="X7532f84db7e3aa963a5dc73f13a6f928e871b01"/>
    <w:p>
      <w:pPr>
        <w:pStyle w:val="Heading3"/>
      </w:pPr>
      <w:r>
        <w:t xml:space="preserve">Meccanismo 1 — Il tessuto che ha cambiato struttura</w:t>
      </w:r>
    </w:p>
    <w:p>
      <w:pPr>
        <w:pStyle w:val="FirstParagraph"/>
      </w:pPr>
      <w:r>
        <w:rPr>
          <w:b/>
          <w:bCs/>
        </w:rPr>
        <w:t xml:space="preserve">Su cosa può agire una mano:</w:t>
      </w:r>
      <w:r>
        <w:t xml:space="preserve"> </w:t>
      </w:r>
      <w:r>
        <w:t xml:space="preserve">su niente, direttamente.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qualunque effetto strutturale del gesto manuale su questo tessuto. Il dato più vicino va nella direzione opposta (Krogh, 2013, PMID 23328738).</w:t>
      </w:r>
    </w:p>
    <w:bookmarkEnd w:id="59"/>
    <w:bookmarkStart w:id="60" w:name="X3bbccc75ab4727920f6e63efd5252d9ff26cae6"/>
    <w:p>
      <w:pPr>
        <w:pStyle w:val="Heading3"/>
      </w:pPr>
      <w:r>
        <w:t xml:space="preserve">Meccanismo 2 — Il sistema del dolore che si è allargato</w:t>
      </w:r>
    </w:p>
    <w:p>
      <w:pPr>
        <w:pStyle w:val="FirstParagraph"/>
      </w:pPr>
      <w:r>
        <w:rPr>
          <w:b/>
          <w:bCs/>
        </w:rPr>
        <w:t xml:space="preserve">Su cosa può agire una mano:</w:t>
      </w:r>
      <w:r>
        <w:t xml:space="preserve"> </w:t>
      </w:r>
      <w:r>
        <w:t xml:space="preserve">sulle vie che modulano il segnale, con una tecnica al gomito o al rachide cervicale.</w:t>
      </w:r>
    </w:p>
    <w:p>
      <w:pPr>
        <w:pStyle w:val="BodyText"/>
      </w:pPr>
      <w:r>
        <w:rPr>
          <w:b/>
          <w:bCs/>
        </w:rPr>
        <w:t xml:space="preserve">Che effetto ci si aspetta:</w:t>
      </w:r>
      <w:r>
        <w:t xml:space="preserve"> </w:t>
      </w:r>
      <w:r>
        <w:t xml:space="preserve">soglia di pressione e presa senza dolore più alte, con</w:t>
      </w:r>
      <w:r>
        <w:t xml:space="preserve"> </w:t>
      </w:r>
      <w:r>
        <w:rPr>
          <w:b/>
          <w:bCs/>
        </w:rPr>
        <w:t xml:space="preserve">aumento</w:t>
      </w:r>
      <w:r>
        <w:t xml:space="preserve"> </w:t>
      </w:r>
      <w:r>
        <w:t xml:space="preserve">contestuale dell’attività simpatica. Non rilassamento.</w:t>
      </w:r>
    </w:p>
    <w:p>
      <w:pPr>
        <w:pStyle w:val="BodyText"/>
      </w:pPr>
      <w:r>
        <w:rPr>
          <w:b/>
          <w:bCs/>
        </w:rPr>
        <w:t xml:space="preserve">In quanto tempo:</w:t>
      </w:r>
      <w:r>
        <w:t xml:space="preserve"> </w:t>
      </w:r>
      <w:r>
        <w:t xml:space="preserve">entro la seduta, e dura</w:t>
      </w:r>
      <w:r>
        <w:t xml:space="preserve"> </w:t>
      </w:r>
      <w:r>
        <w:rPr>
          <w:b/>
          <w:bCs/>
        </w:rPr>
        <w:t xml:space="preserve">minuti</w:t>
      </w:r>
      <w:r>
        <w:t xml:space="preserve">. Si spende lì, non si promette per casa.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l’ipoalgesia immediata contro placebo e controllo, con disegni e dimensioni d’effetto per esteso nel modello Neurologico (Vicenzino, 1996, PMID 9252000; Paungmali, 2003, PMID 12665408).</w:t>
      </w:r>
      <w:r>
        <w:t xml:space="preserve"> </w:t>
      </w:r>
      <w:r>
        <w:rPr>
          <w:b/>
          <w:bCs/>
        </w:rPr>
        <w:t xml:space="preserve">IPOTESI</w:t>
      </w:r>
      <w:r>
        <w:t xml:space="preserve"> </w:t>
      </w:r>
      <w:r>
        <w:rPr>
          <w:i/>
          <w:iCs/>
        </w:rPr>
        <w:t xml:space="preserve">(meccanismo coerente, nessuno studio)</w:t>
      </w:r>
      <w:r>
        <w:t xml:space="preserve"> </w:t>
      </w:r>
      <w:r>
        <w:t xml:space="preserve">che la ripetizione sposti la soglia in modo durevole.</w:t>
      </w:r>
    </w:p>
    <w:bookmarkEnd w:id="60"/>
    <w:bookmarkStart w:id="61" w:name="Xa3b1f961999c662bb59d85bbed21496582a66ec"/>
    <w:p>
      <w:pPr>
        <w:pStyle w:val="Heading3"/>
      </w:pPr>
      <w:r>
        <w:t xml:space="preserve">Meccanismo 3 — Il carico che arriva sempre nello stesso punto</w:t>
      </w:r>
    </w:p>
    <w:p>
      <w:pPr>
        <w:pStyle w:val="FirstParagraph"/>
      </w:pPr>
      <w:r>
        <w:rPr>
          <w:b/>
          <w:bCs/>
        </w:rPr>
        <w:t xml:space="preserve">Su cosa può agire una mano:</w:t>
      </w:r>
      <w:r>
        <w:t xml:space="preserve"> </w:t>
      </w:r>
      <w:r>
        <w:t xml:space="preserve">sulla mobilità che determina la</w:t>
      </w:r>
      <w:r>
        <w:t xml:space="preserve"> </w:t>
      </w:r>
      <w:r>
        <w:rPr>
          <w:b/>
          <w:bCs/>
        </w:rPr>
        <w:t xml:space="preserve">posizione</w:t>
      </w:r>
      <w:r>
        <w:t xml:space="preserve"> </w:t>
      </w:r>
      <w:r>
        <w:t xml:space="preserve">del gesto — radio-ulnare, polso, gomito — e quindi sulla compressione che il tendine riceve.</w:t>
      </w:r>
    </w:p>
    <w:p>
      <w:pPr>
        <w:pStyle w:val="BodyText"/>
      </w:pPr>
      <w:r>
        <w:rPr>
          <w:b/>
          <w:bCs/>
        </w:rPr>
        <w:t xml:space="preserve">Che effetto ci si aspetta:</w:t>
      </w:r>
      <w:r>
        <w:t xml:space="preserve"> </w:t>
      </w:r>
      <w:r>
        <w:t xml:space="preserve">una finestra di posizione più ampia, dentro la quale lo stesso gesto costa meno.</w:t>
      </w:r>
    </w:p>
    <w:p>
      <w:pPr>
        <w:pStyle w:val="BodyText"/>
      </w:pPr>
      <w:r>
        <w:rPr>
          <w:b/>
          <w:bCs/>
        </w:rPr>
        <w:t xml:space="preserve">In quanto tempo:</w:t>
      </w:r>
      <w:r>
        <w:t xml:space="preserve"> </w:t>
      </w:r>
      <w:r>
        <w:t xml:space="preserve">l’escursione dentro la seduta. Il sintomo, se era la leva giusta, in settimane, perché dipende da quante volte il gesto si ripete.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compressione contro il capitello sia un fattore distinto dalla trazione, con la dimostrazione anatomica per esteso nel meccanismo 3 di «Cosa si rompe».</w:t>
      </w:r>
      <w:r>
        <w:t xml:space="preserve"> </w:t>
      </w:r>
      <w:r>
        <w:rPr>
          <w:b/>
          <w:bCs/>
        </w:rPr>
        <w:t xml:space="preserve">IPOTESI</w:t>
      </w:r>
      <w:r>
        <w:t xml:space="preserve"> </w:t>
      </w:r>
      <w:r>
        <w:rPr>
          <w:i/>
          <w:iCs/>
        </w:rPr>
        <w:t xml:space="preserve">(meccanismo coerente, nessuno studio)</w:t>
      </w:r>
      <w:r>
        <w:t xml:space="preserve"> </w:t>
      </w:r>
      <w:r>
        <w:t xml:space="preserve">che aumentare quella finestra riduca il carico in vivo.</w:t>
      </w:r>
    </w:p>
    <w:bookmarkEnd w:id="61"/>
    <w:bookmarkStart w:id="62" w:name="Xf9d69eefefc0cb35f2f2abdd112b0192211ab8c"/>
    <w:p>
      <w:pPr>
        <w:pStyle w:val="Heading3"/>
      </w:pPr>
      <w:r>
        <w:t xml:space="preserve">Meccanismo 4 — La catena a monte che non partecipa</w:t>
      </w:r>
    </w:p>
    <w:p>
      <w:pPr>
        <w:pStyle w:val="FirstParagraph"/>
      </w:pPr>
      <w:r>
        <w:rPr>
          <w:b/>
          <w:bCs/>
        </w:rPr>
        <w:t xml:space="preserve">Su cosa può agire una mano:</w:t>
      </w:r>
      <w:r>
        <w:t xml:space="preserve"> </w:t>
      </w:r>
      <w:r>
        <w:t xml:space="preserve">sulla mobilità di spalla, scapola e dorsale alto.</w:t>
      </w:r>
    </w:p>
    <w:p>
      <w:pPr>
        <w:pStyle w:val="BodyText"/>
      </w:pPr>
      <w:r>
        <w:rPr>
          <w:b/>
          <w:bCs/>
        </w:rPr>
        <w:t xml:space="preserve">Che effetto ci si aspetta:</w:t>
      </w:r>
      <w:r>
        <w:t xml:space="preserve"> </w:t>
      </w:r>
      <w:r>
        <w:t xml:space="preserve">una presa che costa meno forza a parità di compito.</w:t>
      </w:r>
    </w:p>
    <w:p>
      <w:pPr>
        <w:pStyle w:val="BodyText"/>
      </w:pPr>
      <w:r>
        <w:rPr>
          <w:b/>
          <w:bCs/>
        </w:rPr>
        <w:t xml:space="preserve">In quanto tempo:</w:t>
      </w:r>
      <w:r>
        <w:t xml:space="preserve"> </w:t>
      </w:r>
      <w:r>
        <w:t xml:space="preserve">la mobilità nella seduta. L’effetto sul gomito, se c’è, in settimane.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 deficit prossimali esistano, con i disegni nel meccanismo 4 di «Cosa si rompe».</w:t>
      </w:r>
      <w:r>
        <w:t xml:space="preserve"> </w:t>
      </w:r>
      <w:r>
        <w:rPr>
          <w:b/>
          <w:bCs/>
        </w:rPr>
        <w:t xml:space="preserve">IPOTESI</w:t>
      </w:r>
      <w:r>
        <w:t xml:space="preserve"> </w:t>
      </w:r>
      <w:r>
        <w:rPr>
          <w:i/>
          <w:iCs/>
        </w:rPr>
        <w:t xml:space="preserve">(meccanismo coerente, nessuno studio)</w:t>
      </w:r>
      <w:r>
        <w:t xml:space="preserve"> </w:t>
      </w:r>
      <w:r>
        <w:t xml:space="preserve">che correggerli cambi l’esito,</w:t>
      </w:r>
      <w:r>
        <w:t xml:space="preserve"> </w:t>
      </w:r>
      <w:r>
        <w:rPr>
          <w:b/>
          <w:bCs/>
        </w:rPr>
        <w:t xml:space="preserve">e qui con una prova contraria:</w:t>
      </w:r>
      <w:r>
        <w:t xml:space="preserve"> </w:t>
      </w:r>
      <w:r>
        <w:t xml:space="preserve">l’unico randomizzato che ha aggiunto rinforzo scapolare non ha trovato differenze a dimissione, 6 e 12 mesi (Day, 2021, PMID 33440342).</w:t>
      </w:r>
    </w:p>
    <w:p>
      <w:pPr>
        <w:pStyle w:val="FirstParagraph"/>
      </w:pPr>
      <w:r>
        <w:rPr>
          <w:b/>
          <w:bCs/>
        </w:rPr>
        <w:t xml:space="preserve">E la ragione del tempo va scritta, altrimenti resta un numero.</w:t>
      </w:r>
      <w:r>
        <w:t xml:space="preserve"> </w:t>
      </w:r>
      <w:r>
        <w:t xml:space="preserve">Ciò che porta l’effetto oltre la seduta non è l’escursione guadagnata, che da sola non persiste. È la ripetizione del gesto nella nuova posizione: apprendimento motorio più adattamento del tessuto. Per questo si conta in settimane e non in sedute: una strada nuova si apre in un giorno, e diventa la tua dopo settimane di passaggi.</w:t>
      </w:r>
    </w:p>
    <w:bookmarkEnd w:id="62"/>
    <w:bookmarkStart w:id="63" w:name="X7e86aed91e968f995f346078d539a66bf6f0d9b"/>
    <w:p>
      <w:pPr>
        <w:pStyle w:val="Heading3"/>
      </w:pPr>
      <w:r>
        <w:t xml:space="preserve">Meccanismo 5 — Il nervo che passa lì accanto</w:t>
      </w:r>
    </w:p>
    <w:p>
      <w:pPr>
        <w:pStyle w:val="FirstParagraph"/>
      </w:pPr>
      <w:r>
        <w:rPr>
          <w:b/>
          <w:bCs/>
        </w:rPr>
        <w:t xml:space="preserve">Su cosa può agire una mano:</w:t>
      </w:r>
      <w:r>
        <w:t xml:space="preserve"> </w:t>
      </w:r>
      <w:r>
        <w:t xml:space="preserve">sulla</w:t>
      </w:r>
      <w:r>
        <w:t xml:space="preserve"> </w:t>
      </w:r>
      <w:r>
        <w:rPr>
          <w:b/>
          <w:bCs/>
        </w:rPr>
        <w:t xml:space="preserve">meccanosensibilità</w:t>
      </w:r>
      <w:r>
        <w:t xml:space="preserve"> </w:t>
      </w:r>
      <w:r>
        <w:t xml:space="preserve">del nervo, che è una misura che si muove. Non sul nervo. La mano non decomprime niente: la responsività del test neurodinamico scende insieme alle altre soglie, per la stessa modulazione discendente del Meccanismo 2.</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misura si sposti: nello studio cervicale contro placebo e controllo, la neurodinamica è migliorata insieme a soglia di pressione, presa senza dolore e dolore (Vicenzino, 1996, PMID 9252000). Ed è fra gli esiti anche in Paungmali, 2004, PMID 15129200.</w:t>
      </w:r>
      <w:r>
        <w:t xml:space="preserve"> </w:t>
      </w:r>
      <w:r>
        <w:rPr>
          <w:b/>
          <w:bCs/>
        </w:rPr>
        <w:t xml:space="preserve">IPOTESI</w:t>
      </w:r>
      <w:r>
        <w:t xml:space="preserve"> </w:t>
      </w:r>
      <w:r>
        <w:rPr>
          <w:i/>
          <w:iCs/>
        </w:rPr>
        <w:t xml:space="preserve">(meccanismo coerente, nessuno studio)</w:t>
      </w:r>
      <w:r>
        <w:t xml:space="preserve"> </w:t>
      </w:r>
      <w:r>
        <w:t xml:space="preserve">qualunque ricaduta clinica di quello spostamento.</w:t>
      </w:r>
    </w:p>
    <w:p>
      <w:pPr>
        <w:pStyle w:val="FirstParagraph"/>
      </w:pPr>
      <w:r>
        <w:rPr>
          <w:b/>
          <w:bCs/>
        </w:rPr>
        <w:t xml:space="preserve">Quello che non cambia:</w:t>
      </w:r>
      <w:r>
        <w:t xml:space="preserve"> </w:t>
      </w:r>
      <w:r>
        <w:t xml:space="preserve">davanti al sospetto di sofferenza dell’interosseo posteriore, un test che risponde meglio non sostituisce l’invio. La misura che decide resta elettrofisiologica.</w:t>
      </w:r>
    </w:p>
    <w:bookmarkEnd w:id="63"/>
    <w:bookmarkStart w:id="64" w:name="Xa70ebe11f5656b11b3d8f75134f2d264285f541"/>
    <w:p>
      <w:pPr>
        <w:pStyle w:val="Heading3"/>
      </w:pPr>
      <w:r>
        <w:t xml:space="preserve">Il livello di attivazione — la leva del modello Comportamentale sul Meccanismo 2</w:t>
      </w:r>
    </w:p>
    <w:p>
      <w:pPr>
        <w:pStyle w:val="FirstParagraph"/>
      </w:pPr>
      <w:r>
        <w:rPr>
          <w:b/>
          <w:bCs/>
        </w:rPr>
        <w:t xml:space="preserve">Su cosa può agire una mano, e più ancora il modo in cui la seduta è condotta:</w:t>
      </w:r>
      <w:r>
        <w:t xml:space="preserve"> </w:t>
      </w:r>
      <w:r>
        <w:t xml:space="preserve">sullo stato del paziente, attraverso contatto lento, ritmo, tempo dedicato e qualità dell’incontro.</w:t>
      </w:r>
    </w:p>
    <w:p>
      <w:pPr>
        <w:pStyle w:val="BodyText"/>
      </w:pPr>
      <w:r>
        <w:rPr>
          <w:b/>
          <w:bCs/>
        </w:rPr>
        <w:t xml:space="preserve">In quanto tempo:</w:t>
      </w:r>
      <w:r>
        <w:t xml:space="preserve"> </w:t>
      </w:r>
      <w:r>
        <w:t xml:space="preserve">dentro la seduta, sulle misure di soglia. La tolleranza al carico si sposta in settimane, ed è un’altra cosa.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un’interazione empatica di quindici minuti potenzi due misure, in 68 pazienti</w:t>
      </w:r>
      <w:r>
        <w:t xml:space="preserve"> </w:t>
      </w:r>
      <w:r>
        <w:rPr>
          <w:b/>
          <w:bCs/>
        </w:rPr>
        <w:t xml:space="preserve">con questa condizione</w:t>
      </w:r>
      <w:r>
        <w:t xml:space="preserve">: la modulazione condizionata del dolore e l’analgesia indotta dalla tecnica manuale (Muhsen, 2020, PMID 32079999; disegno e limiti nel modello Comportamentale). È un solo trial, non replicato, su una risposta di soglia in laboratorio.</w:t>
      </w:r>
      <w:r>
        <w:t xml:space="preserve"> </w:t>
      </w:r>
      <w:r>
        <w:rPr>
          <w:b/>
          <w:bCs/>
        </w:rPr>
        <w:t xml:space="preserve">IPOTESI</w:t>
      </w:r>
      <w:r>
        <w:t xml:space="preserve"> </w:t>
      </w:r>
      <w:r>
        <w:rPr>
          <w:i/>
          <w:iCs/>
        </w:rPr>
        <w:t xml:space="preserve">(meccanismo coerente, nessuno studio)</w:t>
      </w:r>
      <w:r>
        <w:t xml:space="preserve"> </w:t>
      </w:r>
      <w:r>
        <w:t xml:space="preserve">che si traduca in un esito clinico a settimane.</w:t>
      </w:r>
    </w:p>
    <w:p>
      <w:pPr>
        <w:pStyle w:val="FirstParagraph"/>
      </w:pPr>
      <w:r>
        <w:rPr>
          <w:b/>
          <w:bCs/>
        </w:rPr>
        <w:t xml:space="preserve">Il meccanismo, e vale più del dato.</w:t>
      </w:r>
      <w:r>
        <w:t xml:space="preserve"> </w:t>
      </w:r>
      <w:r>
        <w:t xml:space="preserve">Le due misure potenziate sono quelle su cui poggia anche la tua mano:</w:t>
      </w:r>
      <w:r>
        <w:t xml:space="preserve"> </w:t>
      </w:r>
      <w:r>
        <w:rPr>
          <w:b/>
          <w:bCs/>
        </w:rPr>
        <w:t xml:space="preserve">conduzione della seduta e tecnica manuale convergono sullo stesso sistema inibitorio discendente</w:t>
      </w:r>
      <w:r>
        <w:t xml:space="preserve">, e non sono due leve parallele. È la ragione fisiologica per cui il tempo dedicato all’ascolto non è tempo tolto al trattamento.</w:t>
      </w:r>
    </w:p>
    <w:bookmarkEnd w:id="64"/>
    <w:bookmarkStart w:id="66" w:name="X313a9305afc17cefd332a43187892ca69ddea55"/>
    <w:p>
      <w:pPr>
        <w:pStyle w:val="Heading3"/>
      </w:pPr>
      <w:r>
        <w:t xml:space="preserve">Cosa fa l’osteopata che il resto del percorso non fa</w:t>
      </w:r>
    </w:p>
    <w:p>
      <w:pPr>
        <w:pStyle w:val="Compact"/>
        <w:numPr>
          <w:ilvl w:val="0"/>
          <w:numId w:val="1038"/>
        </w:numPr>
      </w:pPr>
      <w:r>
        <w:rPr>
          <w:b/>
          <w:bCs/>
        </w:rPr>
        <w:t xml:space="preserve">Misura il carico e la posizione in cui arriva.</w:t>
      </w:r>
      <w:r>
        <w:t xml:space="preserve"> </w:t>
      </w:r>
      <w:r>
        <w:t xml:space="preserve">Ecografia, farmaco e fascia non stabiliscono</w:t>
      </w:r>
      <w:r>
        <w:t xml:space="preserve"> </w:t>
      </w:r>
      <w:r>
        <w:rPr>
          <w:b/>
          <w:bCs/>
        </w:rPr>
        <w:t xml:space="preserve">con che forza e in quale posizione</w:t>
      </w:r>
      <w:r>
        <w:t xml:space="preserve"> </w:t>
      </w:r>
      <w:r>
        <w:t xml:space="preserve">quel paziente stringe ottocento volte al giorno.</w:t>
      </w:r>
    </w:p>
    <w:p>
      <w:pPr>
        <w:pStyle w:val="Compact"/>
        <w:numPr>
          <w:ilvl w:val="0"/>
          <w:numId w:val="1038"/>
        </w:numPr>
      </w:pPr>
      <w:r>
        <w:rPr>
          <w:b/>
          <w:bCs/>
        </w:rPr>
        <w:t xml:space="preserve">Esamina i piani che il percorso standard non tocca.</w:t>
      </w:r>
      <w:r>
        <w:t xml:space="preserve"> </w:t>
      </w:r>
      <w:r>
        <w:t xml:space="preserve">Spalla, scapola e rachide sono misurati alterati in questi pazienti, e il referto ecografico non li contiene.</w:t>
      </w:r>
    </w:p>
    <w:p>
      <w:pPr>
        <w:pStyle w:val="Compact"/>
        <w:numPr>
          <w:ilvl w:val="0"/>
          <w:numId w:val="1038"/>
        </w:numPr>
      </w:pPr>
      <w:r>
        <w:rPr>
          <w:b/>
          <w:bCs/>
        </w:rPr>
        <w:t xml:space="preserve">Produce un cambiamento verificabile nella stessa seduta, e lo mostra.</w:t>
      </w:r>
      <w:r>
        <w:t xml:space="preserve"> </w:t>
      </w:r>
      <w:r>
        <w:t xml:space="preserve">È il punto del percorso</w:t>
      </w:r>
      <w:r>
        <w:t xml:space="preserve"> </w:t>
      </w:r>
      <w:r>
        <w:rPr>
          <w:b/>
          <w:bCs/>
        </w:rPr>
        <w:t xml:space="preserve">di questo paziente</w:t>
      </w:r>
      <w:r>
        <w:t xml:space="preserve"> </w:t>
      </w:r>
      <w:r>
        <w:t xml:space="preserve">in cui lui vede un numero muoversi mentre è ancora nello studio.</w:t>
      </w:r>
    </w:p>
    <w:p>
      <w:pPr>
        <w:pStyle w:val="FirstParagraph"/>
      </w:pPr>
      <w:r>
        <w:rPr>
          <w:b/>
          <w:bCs/>
        </w:rPr>
        <w:t xml:space="preserve">Il come si fa non è qui. Sta nella Procedura dell’epicondilite: due pagine, tecniche, dosi e piano delle sedute.</w:t>
      </w:r>
    </w:p>
    <w:p>
      <w:pPr>
        <w:pStyle w:val="BodyText"/>
      </w:pPr>
      <w:r>
        <w:rPr>
          <w:b/>
          <w:bCs/>
        </w:rPr>
        <w:t xml:space="preserve">Le tre cose da ricordare, più una</w:t>
      </w:r>
    </w:p>
    <w:p>
      <w:pPr>
        <w:pStyle w:val="Compact"/>
        <w:numPr>
          <w:ilvl w:val="0"/>
          <w:numId w:val="1039"/>
        </w:numPr>
      </w:pPr>
      <w:r>
        <w:t xml:space="preserve">L’effetto dimostrato della mano è immediato, piccolo e dura minuti: si spende dentro la seduta, non si promette per casa.</w:t>
      </w:r>
    </w:p>
    <w:p>
      <w:pPr>
        <w:pStyle w:val="Compact"/>
        <w:numPr>
          <w:ilvl w:val="0"/>
          <w:numId w:val="1039"/>
        </w:numPr>
      </w:pPr>
      <w:r>
        <w:t xml:space="preserve">La funzione della mano è aprire la finestra; il lavoro che dura lo fa il carico.</w:t>
      </w:r>
    </w:p>
    <w:p>
      <w:pPr>
        <w:pStyle w:val="Compact"/>
        <w:numPr>
          <w:ilvl w:val="0"/>
          <w:numId w:val="1039"/>
        </w:numPr>
      </w:pPr>
      <w:r>
        <w:t xml:space="preserve">Il rinforzo scapolare aggiunto ha un randomizzato negativo: resta un bersaglio di ragionamento, non una leva.</w:t>
      </w:r>
    </w:p>
    <w:p>
      <w:pPr>
        <w:pStyle w:val="Heading2"/>
        <w:numPr>
          <w:ilvl w:val="0"/>
          <w:numId w:val="1039"/>
        </w:numPr>
      </w:pPr>
      <w:bookmarkStart w:id="65" w:name="X27be670745d629553747fbc052410bf32383de0"/>
      <w:r>
        <w:rPr>
          <w:b/>
          <w:bCs/>
        </w:rPr>
        <w:t xml:space="preserve">Perché ci sei tu.</w:t>
      </w:r>
      <w:r>
        <w:t xml:space="preserve"> </w:t>
      </w:r>
      <w:r>
        <w:t xml:space="preserve">Non tutte le tecniche manuali fanno la stessa cosa, e la differenza si vede sulla misura che userai come marker. La mobilizzazione con movimento migliora dolore (0,43) e presa (0,31). La manipolazione di Mill migliora il dolore (0,47) ma</w:t>
      </w:r>
      <w:r>
        <w:t xml:space="preserve"> </w:t>
      </w:r>
      <w:r>
        <w:rPr>
          <w:b/>
          <w:bCs/>
        </w:rPr>
        <w:t xml:space="preserve">non</w:t>
      </w:r>
      <w:r>
        <w:t xml:space="preserve"> </w:t>
      </w:r>
      <w:r>
        <w:t xml:space="preserve">la presa senza dolore (−0,01) (Lucado, 2019, PMID 29705077).</w:t>
      </w:r>
      <w:r>
        <w:t xml:space="preserve"> </w:t>
      </w:r>
      <w:r>
        <w:rPr>
          <w:b/>
          <w:bCs/>
        </w:rPr>
        <w:t xml:space="preserve">Per te:</w:t>
      </w:r>
      <w:r>
        <w:t xml:space="preserve"> </w:t>
      </w:r>
      <w:r>
        <w:t xml:space="preserve">scegli la tecnica sapendo cosa muove. Questo ti autorizza a produrre e mostrare un cambiamento nella stessa seduta. Non ti autorizza a chiamarlo cura: le dimensioni d’effetto sono piccole, e nessuna di quelle misure è stata seguita nel tempo.</w:t>
      </w:r>
      <w:bookmarkEnd w:id="65"/>
    </w:p>
    <w:bookmarkEnd w:id="66"/>
    <w:bookmarkEnd w:id="67"/>
    <w:bookmarkStart w:id="71"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dell’intero documento non è il tocco, è il carico che il paziente si somministra da solo per settimane.</w:t>
      </w:r>
    </w:p>
    <w:p>
      <w:pPr>
        <w:pStyle w:val="FirstParagraph"/>
      </w:pPr>
      <w:r>
        <w:rPr>
          <w:b/>
          <w:bCs/>
        </w:rPr>
        <w:t xml:space="preserve">Il capitolo esiste perché trenta studi randomizzati su 2.123 partecipanti</w:t>
      </w:r>
      <w:r>
        <w:t xml:space="preserve"> </w:t>
      </w:r>
      <w:r>
        <w:t xml:space="preserve">confrontano l’esercizio con altri interventi conservativi in questa condizione (Karanasios, 2021, PMID 33148599). Ogni strumento porta la popolazione, il limite nella stessa riga e la conseguenza dell’interruzione: sono quelle righe a impedire che il numero più grande venga letto come il migliore.</w:t>
      </w:r>
    </w:p>
    <w:bookmarkStart w:id="68" w:name="Xf3beae6086841f1a6fd329c5ea4df554d05d8e0"/>
    <w:p>
      <w:pPr>
        <w:pStyle w:val="Heading3"/>
      </w:pPr>
      <w:r>
        <w:t xml:space="preserve">1. Il carico progressivo degli estensori del polso</w:t>
      </w:r>
    </w:p>
    <w:p>
      <w:pPr>
        <w:pStyle w:val="FirstParagraph"/>
      </w:pPr>
      <w:r>
        <w:rPr>
          <w:b/>
          <w:bCs/>
        </w:rPr>
        <w:t xml:space="preserve">Cos’è.</w:t>
      </w:r>
      <w:r>
        <w:t xml:space="preserve"> </w:t>
      </w:r>
      <w:r>
        <w:t xml:space="preserve">Esercizi di forza per gli estensori del polso, graduali e ripetuti nel tempo, con un carico che sale man mano che il tendine ne regge di più.</w:t>
      </w:r>
    </w:p>
    <w:p>
      <w:pPr>
        <w:pStyle w:val="BodyText"/>
      </w:pPr>
      <w:r>
        <w:rPr>
          <w:b/>
          <w:bCs/>
        </w:rPr>
        <w:t xml:space="preserve">Su quale meccanismo agisce.</w:t>
      </w:r>
      <w:r>
        <w:t xml:space="preserve"> </w:t>
      </w:r>
      <w:r>
        <w:t xml:space="preserve">Sul primo, il tessuto che ha cambiato struttura. E sul terzo, il carico che arriva sempre nello stesso punto. Alza la capacità del tendine, così che il gesto quotidiano scenda sotto la soglia che lo danneggia.</w:t>
      </w:r>
    </w:p>
    <w:p>
      <w:pPr>
        <w:pStyle w:val="BodyText"/>
      </w:pPr>
      <w:r>
        <w:rPr>
          <w:b/>
          <w:bCs/>
        </w:rPr>
        <w:t xml:space="preserve">Cosa hanno misurato gli studi.</w:t>
      </w:r>
      <w:r>
        <w:t xml:space="preserve"> </w:t>
      </w:r>
      <w:r>
        <w:t xml:space="preserve">L’esercizio ha superato l’infiltrazione di cortisone su tutti gli esiti e in tutti i tempi, tranne il dolore a breve termine. La differenza clinicamente rilevante è sulla forza di presa senza dolore:</w:t>
      </w:r>
      <w:r>
        <w:t xml:space="preserve"> </w:t>
      </w:r>
      <w:r>
        <w:rPr>
          <w:b/>
          <w:bCs/>
        </w:rPr>
        <w:t xml:space="preserve">18 punti a lungo termine sulla misura aggregata</w:t>
      </w:r>
      <w:r>
        <w:t xml:space="preserve">. Quel numero non si confronta con la soglia in newton del tuo marker, perché gli studi aggregati non usano tutti la stessa unità. Con la sola attesa il vantaggio compare solo su alcuni esiti, e con</w:t>
      </w:r>
      <w:r>
        <w:t xml:space="preserve"> </w:t>
      </w:r>
      <w:r>
        <w:rPr>
          <w:b/>
          <w:bCs/>
        </w:rPr>
        <w:t xml:space="preserve">eterogeneità sostanziale</w:t>
      </w:r>
      <w:r>
        <w:t xml:space="preserve"> </w:t>
      </w:r>
      <w:r>
        <w:t xml:space="preserve">dei programmi (Karanasios, 2021, PMID 33148599).</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trenta randomizzati con direzione concorde, ma gli autori dichiarano la certezza delle prove</w:t>
      </w:r>
      <w:r>
        <w:t xml:space="preserve"> </w:t>
      </w:r>
      <w:r>
        <w:rPr>
          <w:b/>
          <w:bCs/>
        </w:rPr>
        <w:t xml:space="preserve">bassa e molto bassa</w:t>
      </w:r>
      <w:r>
        <w:t xml:space="preserve"> </w:t>
      </w:r>
      <w:r>
        <w:t xml:space="preserve">e l’effetto piccolo. Il confronto più solido è con l’infiltrazione; quello con la sola attesa è più fragile.</w:t>
      </w:r>
    </w:p>
    <w:p>
      <w:pPr>
        <w:pStyle w:val="FirstParagraph"/>
      </w:pPr>
      <w:r>
        <w:rPr>
          <w:b/>
          <w:bCs/>
        </w:rPr>
        <w:t xml:space="preserve">Cosa NON fa, e va detto per primo.</w:t>
      </w:r>
      <w:r>
        <w:t xml:space="preserve"> </w:t>
      </w:r>
      <w:r>
        <w:t xml:space="preserve">Non normalizza l’immagine ecografica. Non funziona se il gesto quotidiano che ha prodotto il sovraccarico resta identico. E soprattutto:</w:t>
      </w:r>
      <w:r>
        <w:t xml:space="preserve"> </w:t>
      </w:r>
      <w:r>
        <w:rPr>
          <w:b/>
          <w:bCs/>
        </w:rPr>
        <w:t xml:space="preserve">sopra la soglia individuale di dolore peggiora il sintomo</w:t>
      </w:r>
      <w:r>
        <w:t xml:space="preserve">. È misurato in 24 pazienti con questa condizione, con disegno e cifre nel modello Comportamentale di «La lettura osteopatica» (Coombes, 2016, PMID 26889612).</w:t>
      </w:r>
      <w:r>
        <w:t xml:space="preserve"> </w:t>
      </w:r>
      <w:r>
        <w:rPr>
          <w:b/>
          <w:bCs/>
        </w:rPr>
        <w:t xml:space="preserve">Per te:</w:t>
      </w:r>
      <w:r>
        <w:t xml:space="preserve"> </w:t>
      </w:r>
      <w:r>
        <w:t xml:space="preserve">la soglia non è un dettaglio di dosaggio. È la variabile che separa un esercizio utile da una riacutizzazione, e il paziente più spaventato è quello che la supera più facilmente.</w:t>
      </w:r>
    </w:p>
    <w:p>
      <w:pPr>
        <w:pStyle w:val="BodyText"/>
      </w:pPr>
      <w:r>
        <w:rPr>
          <w:b/>
          <w:bCs/>
        </w:rPr>
        <w:t xml:space="preserve">E un’eccezione che non si negozia:</w:t>
      </w:r>
      <w:r>
        <w:t xml:space="preserve"> </w:t>
      </w:r>
      <w:r>
        <w:t xml:space="preserve">con un fluorochinolone in corso o nell’ultimo mese, questo strumento</w:t>
      </w:r>
      <w:r>
        <w:t xml:space="preserve"> </w:t>
      </w:r>
      <w:r>
        <w:rPr>
          <w:b/>
          <w:bCs/>
        </w:rPr>
        <w:t xml:space="preserve">non si apre</w:t>
      </w:r>
      <w:r>
        <w:t xml:space="preserve"> </w:t>
      </w:r>
      <w:r>
        <w:t xml:space="preserve">finché il curante non risponde («Dove finisce il nostro campo»).</w:t>
      </w:r>
    </w:p>
    <w:p>
      <w:pPr>
        <w:pStyle w:val="BodyText"/>
      </w:pPr>
      <w:r>
        <w:rPr>
          <w:b/>
          <w:bCs/>
        </w:rPr>
        <w:t xml:space="preserve">E non è l’isometrico la variabile che decide.</w:t>
      </w:r>
      <w:r>
        <w:t xml:space="preserve"> </w:t>
      </w:r>
      <w:r>
        <w:t xml:space="preserve">Coombes 2016 e Vuvan 2020 usano entrambi protocolli isometrici, e chi li legge di fila ne esce convinto che la modalità sia quella. Non lo è. Sull’insieme delle tendinopatie l’isometrico non è superiore all’isotonico, e nel tendine sano comanda l’entità del carico, non il tipo di contrazione. Le due fonti, con i loro salti, stanno in «Cosa dice la scienza» e in «Come funziona quando funziona».</w:t>
      </w:r>
    </w:p>
    <w:p>
      <w:pPr>
        <w:pStyle w:val="BodyText"/>
      </w:pPr>
      <w:r>
        <w:rPr>
          <w:b/>
          <w:bCs/>
        </w:rPr>
        <w:t xml:space="preserve">Cos’è la soglia individuale.</w:t>
      </w:r>
      <w:r>
        <w:t xml:space="preserve"> </w:t>
      </w:r>
      <w:r>
        <w:t xml:space="preserve">Nello studio è una quantità, non un’impressione:</w:t>
      </w:r>
      <w:r>
        <w:t xml:space="preserve"> </w:t>
      </w:r>
      <w:r>
        <w:rPr>
          <w:b/>
          <w:bCs/>
        </w:rPr>
        <w:t xml:space="preserve">il carico in estensione resistita di polso al quale compare il dolore, rilevato prima di caricare.</w:t>
      </w:r>
      <w:r>
        <w:t xml:space="preserve"> </w:t>
      </w:r>
      <w:r>
        <w:t xml:space="preserve">I due bracci stavano al 20% sopra e al 20% sotto quel valore. È una misura, non una dose: è il termometro, non il termostato. Quanto carico dare a</w:t>
      </w:r>
      <w:r>
        <w:t xml:space="preserve"> </w:t>
      </w:r>
      <w:r>
        <w:rPr>
          <w:i/>
          <w:iCs/>
        </w:rPr>
        <w:t xml:space="preserve">questo</w:t>
      </w:r>
      <w:r>
        <w:t xml:space="preserve"> </w:t>
      </w:r>
      <w:r>
        <w:t xml:space="preserve">paziente sta nella Procedura, come si riconosce la soglia sta qui.</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per come la soglia è stata definita e misurata in quello studio.</w:t>
      </w:r>
      <w:r>
        <w:t xml:space="preserve"> </w:t>
      </w:r>
      <w:r>
        <w:rPr>
          <w:b/>
          <w:bCs/>
        </w:rPr>
        <w:t xml:space="preserve">RAGIONAMENTO</w:t>
      </w:r>
      <w:r>
        <w:t xml:space="preserve"> </w:t>
      </w:r>
      <w:r>
        <w:rPr>
          <w:i/>
          <w:iCs/>
        </w:rPr>
        <w:t xml:space="preserve">(cornice clinica, non una prova)</w:t>
      </w:r>
      <w:r>
        <w:t xml:space="preserve"> </w:t>
      </w:r>
      <w:r>
        <w:t xml:space="preserve">che rimisurarla seduta per seduta segua l’andamento della tolleranza.</w:t>
      </w:r>
    </w:p>
    <w:p>
      <w:pPr>
        <w:pStyle w:val="FirstParagraph"/>
      </w:pPr>
      <w:r>
        <w:rPr>
          <w:b/>
          <w:bCs/>
        </w:rPr>
        <w:t xml:space="preserve">E c’è un rovescio, che va scritto dove sta il numero grande.</w:t>
      </w:r>
      <w:r>
        <w:t xml:space="preserve"> </w:t>
      </w:r>
      <w:r>
        <w:t xml:space="preserve">Consegnato e basta, l’esercizio rende meno. Lo studio ha randomizzato 40 pazienti a una sola sessione di istruzione supervisionata, più otto settimane di programma non supervisionato, contro attesa. Il PRTEE è migliorato, ma</w:t>
      </w:r>
      <w:r>
        <w:t xml:space="preserve"> </w:t>
      </w:r>
      <w:r>
        <w:rPr>
          <w:b/>
          <w:bCs/>
        </w:rPr>
        <w:t xml:space="preserve">il giudizio globale di cambiamento e la presa senza dolore non si sono mossi</w:t>
      </w:r>
      <w:r>
        <w:t xml:space="preserve">. Gli autori concludono che è dubbio che funzioni da sola (Vuvan,</w:t>
      </w:r>
      <w:r>
        <w:t xml:space="preserve"> </w:t>
      </w:r>
      <w:r>
        <w:rPr>
          <w:i/>
          <w:iCs/>
        </w:rPr>
        <w:t xml:space="preserve">Med Sci Sports Exerc</w:t>
      </w:r>
      <w:r>
        <w:t xml:space="preserve"> </w:t>
      </w:r>
      <w:r>
        <w:t xml:space="preserve">2020, PMID 31425384). Nei trial da cui viene il numero grande, il programma era erogato in otto sedute con un clinico, in sei settimane (Bisset, 2006, PMID 17012266).</w:t>
      </w:r>
    </w:p>
    <w:p>
      <w:pPr>
        <w:pStyle w:val="BodyText"/>
      </w:pPr>
      <w:r>
        <w:rPr>
          <w:b/>
          <w:bCs/>
        </w:rPr>
        <w:t xml:space="preserve">E una cosa che nessuno ha misurato.</w:t>
      </w:r>
      <w:r>
        <w:t xml:space="preserve"> </w:t>
      </w:r>
      <w:r>
        <w:t xml:space="preserve">Su 104 studi di esercizio in questa condizione,</w:t>
      </w:r>
      <w:r>
        <w:t xml:space="preserve"> </w:t>
      </w:r>
      <w:r>
        <w:rPr>
          <w:b/>
          <w:bCs/>
        </w:rPr>
        <w:t xml:space="preserve">74 non riportano l’aderenza</w:t>
      </w:r>
      <w:r>
        <w:t xml:space="preserve"> </w:t>
      </w:r>
      <w:r>
        <w:t xml:space="preserve">(Taylor,</w:t>
      </w:r>
      <w:r>
        <w:t xml:space="preserve"> </w:t>
      </w:r>
      <w:r>
        <w:rPr>
          <w:i/>
          <w:iCs/>
        </w:rPr>
        <w:t xml:space="preserve">Musculoskelet Sci Pract</w:t>
      </w:r>
      <w:r>
        <w:t xml:space="preserve"> </w:t>
      </w:r>
      <w:r>
        <w:t xml:space="preserve">2024, PMID 38820868). Il numero di Karanasios è la media di programmi la cui esecuzione reale è ignota in sette casi su dieci.</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che l’aderenza sia la variabile mancante di quel numero: il dato è che non è stata riportata, non che sia stata scarsa.</w:t>
      </w:r>
    </w:p>
    <w:p>
      <w:pPr>
        <w:pStyle w:val="FirstParagraph"/>
      </w:pPr>
      <w:r>
        <w:rPr>
          <w:b/>
          <w:bCs/>
        </w:rPr>
        <w:t xml:space="preserve">Per te:</w:t>
      </w:r>
      <w:r>
        <w:t xml:space="preserve"> </w:t>
      </w:r>
      <w:r>
        <w:t xml:space="preserve">la parte del percorso che nessuno ha misurato è quella che presidi tu.</w:t>
      </w:r>
    </w:p>
    <w:p>
      <w:pPr>
        <w:pStyle w:val="BodyText"/>
      </w:pPr>
      <w:r>
        <w:rPr>
          <w:b/>
          <w:bCs/>
        </w:rPr>
        <w:t xml:space="preserve">Cosa succede quando il paziente smette.</w:t>
      </w:r>
      <w:r>
        <w:t xml:space="preserve"> </w:t>
      </w:r>
      <w:r>
        <w:t xml:space="preserve">Il tendine perde in poche settimane ciò che guadagna in mesi.</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tessuto collagene perda proprietà meccaniche sotto scarico, con il salto dichiarato al passo 4 di «Come funziona quando funziona» (de Boer, 2007, PMID 17656438).</w:t>
      </w:r>
      <w:r>
        <w:t xml:space="preserve"> </w:t>
      </w:r>
      <w:r>
        <w:rPr>
          <w:b/>
          <w:bCs/>
        </w:rPr>
        <w:t xml:space="preserve">RAGIONAMENTO</w:t>
      </w:r>
      <w:r>
        <w:t xml:space="preserve"> </w:t>
      </w:r>
      <w:r>
        <w:rPr>
          <w:i/>
          <w:iCs/>
        </w:rPr>
        <w:t xml:space="preserve">(cornice clinica, non una prova)</w:t>
      </w:r>
      <w:r>
        <w:t xml:space="preserve"> </w:t>
      </w:r>
      <w:r>
        <w:t xml:space="preserve">che sia questo a spiegare la ricaduta di</w:t>
      </w:r>
      <w:r>
        <w:t xml:space="preserve"> </w:t>
      </w:r>
      <w:r>
        <w:rPr>
          <w:i/>
          <w:iCs/>
        </w:rPr>
        <w:t xml:space="preserve">questo</w:t>
      </w:r>
      <w:r>
        <w:t xml:space="preserve"> </w:t>
      </w:r>
      <w:r>
        <w:t xml:space="preserve">paziente quando smette.</w:t>
      </w:r>
    </w:p>
    <w:bookmarkEnd w:id="68"/>
    <w:bookmarkStart w:id="69" w:name="X9f41915f6e7307c52e91b3791ce1af97e456c76"/>
    <w:p>
      <w:pPr>
        <w:pStyle w:val="Heading3"/>
      </w:pPr>
      <w:r>
        <w:t xml:space="preserve">2. La gestione del carico quotidiano e del gesto</w:t>
      </w:r>
    </w:p>
    <w:p>
      <w:pPr>
        <w:pStyle w:val="FirstParagraph"/>
      </w:pPr>
      <w:r>
        <w:rPr>
          <w:b/>
          <w:bCs/>
        </w:rPr>
        <w:t xml:space="preserve">Cos’è.</w:t>
      </w:r>
      <w:r>
        <w:t xml:space="preserve"> </w:t>
      </w:r>
      <w:r>
        <w:t xml:space="preserve">Cambiare</w:t>
      </w:r>
      <w:r>
        <w:t xml:space="preserve"> </w:t>
      </w:r>
      <w:r>
        <w:rPr>
          <w:b/>
          <w:bCs/>
        </w:rPr>
        <w:t xml:space="preserve">come</w:t>
      </w:r>
      <w:r>
        <w:t xml:space="preserve"> </w:t>
      </w:r>
      <w:r>
        <w:t xml:space="preserve">il paziente esegue i gesti che ripete: posizione di gomito e avambraccio, forza di presa, pause, attrezzo.</w:t>
      </w:r>
    </w:p>
    <w:p>
      <w:pPr>
        <w:pStyle w:val="BodyText"/>
      </w:pPr>
      <w:r>
        <w:rPr>
          <w:b/>
          <w:bCs/>
        </w:rPr>
        <w:t xml:space="preserve">Su quale meccanismo agisce.</w:t>
      </w:r>
      <w:r>
        <w:t xml:space="preserve"> </w:t>
      </w:r>
      <w:r>
        <w:t xml:space="preserve">Sul terzo, il carico che arriva sempre nello stesso punto. E, per la via dell’evitamento, sul secondo: il sistema del dolore che si è allargato.</w:t>
      </w:r>
    </w:p>
    <w:p>
      <w:pPr>
        <w:pStyle w:val="BodyText"/>
      </w:pPr>
      <w:r>
        <w:rPr>
          <w:b/>
          <w:bCs/>
        </w:rPr>
        <w:t xml:space="preserve">Cosa hanno misurato gli studi.</w:t>
      </w:r>
      <w:r>
        <w:t xml:space="preserve"> </w:t>
      </w:r>
      <w:r>
        <w:t xml:space="preserve">Il braccio</w:t>
      </w:r>
      <w:r>
        <w:t xml:space="preserve"> </w:t>
      </w:r>
      <w:r>
        <w:rPr>
          <w:i/>
          <w:iCs/>
        </w:rPr>
        <w:t xml:space="preserve">wait-and-see</w:t>
      </w:r>
      <w:r>
        <w:t xml:space="preserve"> </w:t>
      </w:r>
      <w:r>
        <w:t xml:space="preserve">dello studio olandese era fatto di informazione e consigli di gestione del carico: è quello con l’83% di successo a 52 settimane riportato in «Che cos’è davvero» (Smidt, 2002, PMID 11879861). Chi riceveva il pacchetto di mano ed esercizio ha cercato meno trattamenti aggiuntivi e meno antinfiammatori (Bisset, 2006, PMID 17012266). E il fattore di esposizione più forte in popolazione resta la combinazione di ripetizione e forza (Shiri, 2006, PMID 16968862).</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l’esposizione combinata ripetizione-forza sia associata alla condizione.</w:t>
      </w:r>
      <w:r>
        <w:t xml:space="preserve"> </w:t>
      </w:r>
      <w:r>
        <w:rPr>
          <w:b/>
          <w:bCs/>
        </w:rPr>
        <w:t xml:space="preserve">PROBABILE</w:t>
      </w:r>
      <w:r>
        <w:t xml:space="preserve"> </w:t>
      </w:r>
      <w:r>
        <w:rPr>
          <w:i/>
          <w:iCs/>
        </w:rPr>
        <w:t xml:space="preserve">(razionale forte, prove parziali)</w:t>
      </w:r>
      <w:r>
        <w:t xml:space="preserve"> </w:t>
      </w:r>
      <w:r>
        <w:t xml:space="preserve">che informazione e gestione del carico producano un buon esito: il braccio di attesa è positivo, ma</w:t>
      </w:r>
      <w:r>
        <w:t xml:space="preserve"> </w:t>
      </w:r>
      <w:r>
        <w:rPr>
          <w:b/>
          <w:bCs/>
        </w:rPr>
        <w:t xml:space="preserve">non era un intervento randomizzato contro un’informazione assente</w:t>
      </w:r>
      <w:r>
        <w:t xml:space="preserve"> </w:t>
      </w:r>
      <w:r>
        <w:t xml:space="preserve">— era il comparatore.</w:t>
      </w:r>
      <w:r>
        <w:t xml:space="preserve"> </w:t>
      </w:r>
      <w:r>
        <w:rPr>
          <w:b/>
          <w:bCs/>
        </w:rPr>
        <w:t xml:space="preserve">IPOTESI</w:t>
      </w:r>
      <w:r>
        <w:t xml:space="preserve"> </w:t>
      </w:r>
      <w:r>
        <w:rPr>
          <w:i/>
          <w:iCs/>
        </w:rPr>
        <w:t xml:space="preserve">(meccanismo coerente, nessuno studio)</w:t>
      </w:r>
      <w:r>
        <w:t xml:space="preserve"> </w:t>
      </w:r>
      <w:r>
        <w:t xml:space="preserve">che modificare il gesto specifico di questo paziente sposti il suo esito.</w:t>
      </w:r>
    </w:p>
    <w:p>
      <w:pPr>
        <w:pStyle w:val="FirstParagraph"/>
      </w:pPr>
      <w:r>
        <w:rPr>
          <w:b/>
          <w:bCs/>
        </w:rPr>
        <w:t xml:space="preserve">Cosa NON fa.</w:t>
      </w:r>
      <w:r>
        <w:t xml:space="preserve"> </w:t>
      </w:r>
      <w:r>
        <w:t xml:space="preserve">Non richiede che il paziente smetta di lavorare: la sospensione è quello che ha già fallito. E non funziona se resta un elenco di divieti, invece di un modo diverso di fare la stessa cosa.</w:t>
      </w:r>
    </w:p>
    <w:p>
      <w:pPr>
        <w:pStyle w:val="BodyText"/>
      </w:pPr>
      <w:r>
        <w:rPr>
          <w:b/>
          <w:bCs/>
        </w:rPr>
        <w:t xml:space="preserve">Cosa succede quando il paziente smette.</w:t>
      </w:r>
      <w:r>
        <w:t xml:space="preserve"> </w:t>
      </w:r>
      <w:r>
        <w:t xml:space="preserve">Il gesto torna quello di prima, e con esso il carico. È la spiegazione più semplice della ricaduta dopo un ciclo riuscito.</w:t>
      </w:r>
    </w:p>
    <w:bookmarkEnd w:id="69"/>
    <w:bookmarkStart w:id="70" w:name="X3f60cbf5936911ebb6d52c9cdcd4ba1e63cd0a8"/>
    <w:p>
      <w:pPr>
        <w:pStyle w:val="Heading3"/>
      </w:pPr>
      <w:r>
        <w:t xml:space="preserve">3. La fascia epicondiloidea (ortesi di avambraccio)</w:t>
      </w:r>
    </w:p>
    <w:p>
      <w:pPr>
        <w:pStyle w:val="FirstParagraph"/>
      </w:pPr>
      <w:r>
        <w:rPr>
          <w:b/>
          <w:bCs/>
        </w:rPr>
        <w:t xml:space="preserve">Cos’è.</w:t>
      </w:r>
      <w:r>
        <w:t xml:space="preserve"> </w:t>
      </w:r>
      <w:r>
        <w:t xml:space="preserve">Una fascia sull’avambraccio prossimale che redistribuisce la trazione degli estensori.</w:t>
      </w:r>
    </w:p>
    <w:p>
      <w:pPr>
        <w:pStyle w:val="BodyText"/>
      </w:pPr>
      <w:r>
        <w:rPr>
          <w:b/>
          <w:bCs/>
        </w:rPr>
        <w:t xml:space="preserve">Su quale meccanismo agisce.</w:t>
      </w:r>
      <w:r>
        <w:t xml:space="preserve"> </w:t>
      </w:r>
      <w:r>
        <w:t xml:space="preserve">Sul terzo, il carico che arriva sempre nello stesso punto. E solo mentre è indossata.</w:t>
      </w:r>
    </w:p>
    <w:p>
      <w:pPr>
        <w:pStyle w:val="BodyText"/>
      </w:pPr>
      <w:r>
        <w:rPr>
          <w:b/>
          <w:bCs/>
        </w:rPr>
        <w:t xml:space="preserve">Cosa hanno misurato gli studi.</w:t>
      </w:r>
      <w:r>
        <w:t xml:space="preserve"> </w:t>
      </w:r>
      <w:r>
        <w:t xml:space="preserve">Sette randomizzati incrociati hanno misurato l’</w:t>
      </w:r>
      <w:r>
        <w:rPr>
          <w:b/>
          <w:bCs/>
        </w:rPr>
        <w:t xml:space="preserve">effetto immediato</w:t>
      </w:r>
      <w:r>
        <w:t xml:space="preserve">. L’ortesi di avambraccio ha ridotto il dolore durante la contrazione rispetto a controllo o placebo, fra −0,65 e −0,83.</w:t>
      </w:r>
      <w:r>
        <w:t xml:space="preserve"> </w:t>
      </w:r>
      <w:r>
        <w:rPr>
          <w:b/>
          <w:bCs/>
        </w:rPr>
        <w:t xml:space="preserve">Ha migliorato anche la forza di presa senza dolore</w:t>
      </w:r>
      <w:r>
        <w:t xml:space="preserve">, 0,24-0,38, ma non la presa massimale. La qualità delle prove è</w:t>
      </w:r>
      <w:r>
        <w:t xml:space="preserve"> </w:t>
      </w:r>
      <w:r>
        <w:rPr>
          <w:b/>
          <w:bCs/>
        </w:rPr>
        <w:t xml:space="preserve">bassa</w:t>
      </w:r>
      <w:r>
        <w:t xml:space="preserve">. Nella stessa revisione compare l’</w:t>
      </w:r>
      <w:r>
        <w:rPr>
          <w:b/>
          <w:bCs/>
        </w:rPr>
        <w:t xml:space="preserve">ortesi statica di polso</w:t>
      </w:r>
      <w:r>
        <w:t xml:space="preserve">, cioè il polsino rigido da farmacia. Non migliora né la presa senza dolore né quella massimale (Heales,</w:t>
      </w:r>
      <w:r>
        <w:t xml:space="preserve"> </w:t>
      </w:r>
      <w:r>
        <w:rPr>
          <w:i/>
          <w:iCs/>
        </w:rPr>
        <w:t xml:space="preserve">Musculoskelet Sci Pract</w:t>
      </w:r>
      <w:r>
        <w:t xml:space="preserve"> </w:t>
      </w:r>
      <w:r>
        <w:t xml:space="preserve">2020, PMID 32452393).</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l’effetto immediato sul dolore durante la contrazione, con qualità delle prove bassa.</w:t>
      </w:r>
      <w:r>
        <w:t xml:space="preserve"> </w:t>
      </w:r>
      <w:r>
        <w:rPr>
          <w:b/>
          <w:bCs/>
        </w:rPr>
        <w:t xml:space="preserve">IPOTESI</w:t>
      </w:r>
      <w:r>
        <w:t xml:space="preserve"> </w:t>
      </w:r>
      <w:r>
        <w:rPr>
          <w:i/>
          <w:iCs/>
        </w:rPr>
        <w:t xml:space="preserve">(meccanismo coerente, nessuno studio)</w:t>
      </w:r>
      <w:r>
        <w:t xml:space="preserve"> </w:t>
      </w:r>
      <w:r>
        <w:t xml:space="preserve">qualunque effetto che duri oltre il tempo in cui è indossata.</w:t>
      </w:r>
    </w:p>
    <w:p>
      <w:pPr>
        <w:pStyle w:val="FirstParagraph"/>
      </w:pPr>
      <w:r>
        <w:rPr>
          <w:b/>
          <w:bCs/>
        </w:rPr>
        <w:t xml:space="preserve">Cosa NON fa, e va detto per primo.</w:t>
      </w:r>
      <w:r>
        <w:t xml:space="preserve"> </w:t>
      </w:r>
      <w:r>
        <w:t xml:space="preserve">Non cura niente, e</w:t>
      </w:r>
      <w:r>
        <w:t xml:space="preserve"> </w:t>
      </w:r>
      <w:r>
        <w:rPr>
          <w:b/>
          <w:bCs/>
        </w:rPr>
        <w:t xml:space="preserve">non è il polsino rigido</w:t>
      </w:r>
      <w:r>
        <w:t xml:space="preserve">: la revisione li separa. Il paziente che ti dice</w:t>
      </w:r>
      <w:r>
        <w:t xml:space="preserve"> </w:t>
      </w:r>
      <w:r>
        <w:rPr>
          <w:i/>
          <w:iCs/>
        </w:rPr>
        <w:t xml:space="preserve">«la porto da mesi e appena la tolgo sono da capo»</w:t>
      </w:r>
      <w:r>
        <w:t xml:space="preserve"> </w:t>
      </w:r>
      <w:r>
        <w:t xml:space="preserve">sta descrivendo il comportamento atteso dello strumento, non un fallimento. Ed è un’informazione utile:</w:t>
      </w:r>
      <w:r>
        <w:t xml:space="preserve"> </w:t>
      </w:r>
      <w:r>
        <w:rPr>
          <w:b/>
          <w:bCs/>
        </w:rPr>
        <w:t xml:space="preserve">il sollievo che dà conferma che il problema è il carico sul tendine</w:t>
      </w:r>
      <w:r>
        <w:t xml:space="preserve">, ed è l’argomento migliore per introdurre il punto 1.</w:t>
      </w:r>
    </w:p>
    <w:p>
      <w:pPr>
        <w:pStyle w:val="BodyText"/>
      </w:pPr>
      <w:r>
        <w:rPr>
          <w:b/>
          <w:bCs/>
        </w:rPr>
        <w:t xml:space="preserve">Cosa succede quando il paziente smette.</w:t>
      </w:r>
      <w:r>
        <w:t xml:space="preserve"> </w:t>
      </w:r>
      <w:r>
        <w:t xml:space="preserve">Torna il dolore alla presa, immediatamente. Va detto prima, altrimenti la sospensione viene letta come una ricaduta.</w:t>
      </w:r>
    </w:p>
    <w:p>
      <w:pPr>
        <w:pStyle w:val="BodyText"/>
      </w:pPr>
      <w:r>
        <w:rPr>
          <w:b/>
          <w:bCs/>
        </w:rPr>
        <w:t xml:space="preserve">E una conseguenza sul tuo marker.</w:t>
      </w:r>
      <w:r>
        <w:t xml:space="preserve"> </w:t>
      </w:r>
      <w:r>
        <w:t xml:space="preserve">Poiché la fascia migliora da sola la presa senza dolore, la misura si fa</w:t>
      </w:r>
      <w:r>
        <w:t xml:space="preserve"> </w:t>
      </w:r>
      <w:r>
        <w:rPr>
          <w:b/>
          <w:bCs/>
        </w:rPr>
        <w:t xml:space="preserve">sempre senza</w:t>
      </w:r>
      <w:r>
        <w:t xml:space="preserve">, in entrambi i tempi (marker 1 di «Come ragiono davanti a questo paziente»).</w:t>
      </w:r>
    </w:p>
    <w:p>
      <w:pPr>
        <w:pStyle w:val="BodyText"/>
      </w:pPr>
      <w:r>
        <w:rPr>
          <w:b/>
          <w:bCs/>
        </w:rPr>
        <w:t xml:space="preserve">Sul quarto meccanismo — la catena a monte — non c’è uno strumento attivo in questo elenco, ed è una scelta e non una dimenticanza:</w:t>
      </w:r>
      <w:r>
        <w:t xml:space="preserve"> </w:t>
      </w:r>
      <w:r>
        <w:t xml:space="preserve">l’unico randomizzato che ha aggiunto il rinforzo scapolare non ha trovato differenze (Day, 2021, PMID 33440342).</w:t>
      </w:r>
      <w:r>
        <w:t xml:space="preserve"> </w:t>
      </w:r>
      <w:r>
        <w:rPr>
          <w:b/>
          <w:bCs/>
        </w:rPr>
        <w:t xml:space="preserve">Sul quinto — il nervo — non c’è nulla che il paziente faccia da solo:</w:t>
      </w:r>
      <w:r>
        <w:t xml:space="preserve"> </w:t>
      </w:r>
      <w:r>
        <w:t xml:space="preserve">lì la misura che decide è elettrofisiologica.</w:t>
      </w:r>
    </w:p>
    <w:p>
      <w:pPr>
        <w:pStyle w:val="BodyText"/>
      </w:pPr>
      <w:r>
        <w:rPr>
          <w:b/>
          <w:bCs/>
        </w:rPr>
        <w:t xml:space="preserve">Sul sottotipo con dolore allargato i tre strumenti restano validi, ma cambia il punto di partenza:</w:t>
      </w:r>
      <w:r>
        <w:t xml:space="preserve"> </w:t>
      </w:r>
      <w:r>
        <w:t xml:space="preserve">la soglia individuale è più bassa. E ci sono leve che il paziente gestisce da solo senza essere strumenti tuoi — fumo, cortisone sistemico, glicemia, sonno, fluorochinoloni — con il campo già scritto nel modello Metabolico-Energetico.</w:t>
      </w:r>
    </w:p>
    <w:p>
      <w:pPr>
        <w:pStyle w:val="BodyText"/>
      </w:pPr>
      <w:r>
        <w:rPr>
          <w:b/>
          <w:bCs/>
        </w:rPr>
        <w:t xml:space="preserve">Come e quando consegnare tutto questo al tuo paziente sta nella Procedura.</w:t>
      </w:r>
    </w:p>
    <w:p>
      <w:pPr>
        <w:pStyle w:val="BodyText"/>
      </w:pPr>
      <w:r>
        <w:rPr>
          <w:b/>
          <w:bCs/>
        </w:rPr>
        <w:t xml:space="preserve">Le tre cose da ricordare, più una</w:t>
      </w:r>
    </w:p>
    <w:p>
      <w:pPr>
        <w:pStyle w:val="Compact"/>
        <w:numPr>
          <w:ilvl w:val="0"/>
          <w:numId w:val="1040"/>
        </w:numPr>
      </w:pPr>
      <w:r>
        <w:t xml:space="preserve">La leva con le prove migliori di questo documento non è la tua mano: è il carico che il paziente si somministra da solo.</w:t>
      </w:r>
    </w:p>
    <w:p>
      <w:pPr>
        <w:pStyle w:val="Compact"/>
        <w:numPr>
          <w:ilvl w:val="0"/>
          <w:numId w:val="1040"/>
        </w:numPr>
      </w:pPr>
      <w:r>
        <w:t xml:space="preserve">La soglia di dolore individuale separa un esercizio utile da una riacutizzazione, e il paziente spaventato la supera più facilmente.</w:t>
      </w:r>
    </w:p>
    <w:p>
      <w:pPr>
        <w:pStyle w:val="Compact"/>
        <w:numPr>
          <w:ilvl w:val="0"/>
          <w:numId w:val="1040"/>
        </w:numPr>
      </w:pPr>
      <w:r>
        <w:t xml:space="preserve">La fascia non cura: il sollievo che dà è la conferma del meccanismo, e va usata come argomento.</w:t>
      </w:r>
    </w:p>
    <w:p>
      <w:pPr>
        <w:pStyle w:val="Compact"/>
        <w:numPr>
          <w:ilvl w:val="0"/>
          <w:numId w:val="1040"/>
        </w:numPr>
      </w:pPr>
      <w:r>
        <w:rPr>
          <w:b/>
          <w:bCs/>
        </w:rPr>
        <w:t xml:space="preserve">Perché ci sei tu.</w:t>
      </w:r>
      <w:r>
        <w:t xml:space="preserve"> </w:t>
      </w:r>
      <w:r>
        <w:t xml:space="preserve">La sola differenza clinicamente rilevante a tutti e tre i tempi è quella sulla</w:t>
      </w:r>
      <w:r>
        <w:t xml:space="preserve"> </w:t>
      </w:r>
      <w:r>
        <w:rPr>
          <w:b/>
          <w:bCs/>
        </w:rPr>
        <w:t xml:space="preserve">forza di presa senza dolore</w:t>
      </w:r>
      <w:r>
        <w:t xml:space="preserve">, a favore dell’esercizio (Karanasios, 2021, PMID 33148599).</w:t>
      </w:r>
      <w:r>
        <w:t xml:space="preserve"> </w:t>
      </w:r>
      <w:r>
        <w:rPr>
          <w:b/>
          <w:bCs/>
        </w:rPr>
        <w:t xml:space="preserve">Per te:</w:t>
      </w:r>
      <w:r>
        <w:t xml:space="preserve"> </w:t>
      </w:r>
      <w:r>
        <w:t xml:space="preserve">l’esercizio è ciò che insegni, correggi e verifichi seduta per seduta, e non arriva dal medico né dalla farmacia. Ti autorizza a mettere il carico al centro e a rivendicarne l’insegnamento. Non ti autorizza a presentarlo come un effetto grande: la certezza delle prove è bassa, e gli autori scrivono che l’effetto è piccolo.</w:t>
      </w:r>
    </w:p>
    <w:p>
      <w:r>
        <w:pict>
          <v:rect style="width:0;height:1.5pt" o:hralign="center" o:hrstd="t" o:hr="t"/>
        </w:pict>
      </w:r>
    </w:p>
    <w:bookmarkEnd w:id="70"/>
    <w:bookmarkEnd w:id="71"/>
    <w:bookmarkStart w:id="76" w:name="capitolo-13-cosa-dire-al-paziente"/>
    <w:p>
      <w:pPr>
        <w:pStyle w:val="Heading2"/>
      </w:pPr>
      <w:r>
        <w:t xml:space="preserve">Capitolo 13 — Cosa dire al paziente</w:t>
      </w:r>
    </w:p>
    <w:p>
      <w:pPr>
        <w:pStyle w:val="BlockText"/>
      </w:pPr>
      <w:r>
        <w:rPr>
          <w:b/>
          <w:bCs/>
        </w:rPr>
        <w:t xml:space="preserve">In una riga:</w:t>
      </w:r>
      <w:r>
        <w:t xml:space="preserve"> </w:t>
      </w:r>
      <w:r>
        <w:t xml:space="preserve">su questa condizione le parole giuste non servono a convincere, servono a togliere di mezzo tre idee sbagliate che stanno mantenendo il problema.</w:t>
      </w:r>
    </w:p>
    <w:bookmarkStart w:id="72" w:name="lo-script"/>
    <w:p>
      <w:pPr>
        <w:pStyle w:val="Heading3"/>
      </w:pPr>
      <w:r>
        <w:t xml:space="preserve">Lo script</w:t>
      </w:r>
    </w:p>
    <w:p>
      <w:pPr>
        <w:pStyle w:val="BlockText"/>
      </w:pPr>
      <w:r>
        <w:rPr>
          <w:i/>
          <w:iCs/>
        </w:rPr>
        <w:t xml:space="preserve">«Il suo tendine è come il cavo del caricabatterie vicino allo spinotto: si gonfia proprio dove si piega mille volte al giorno, e quel rigonfiamento non è un rinforzo, è un cedimento. Ecco perché stare fermo un mese non è bastato: fermarsi non lo ripara, lo rende più debole per quando ricomincia. Il lavoro è doppio. Da una parte guardiamo come il braccio arriva al gesto — spalla, avambraccio, polso. Dall’altra rimettiamo carico a piccoli passi, così che il gesto di ogni giorno torni sotto quello che lui regge. Non è veloce, e la parte che conta la fa lei.»</w:t>
      </w:r>
    </w:p>
    <w:bookmarkEnd w:id="72"/>
    <w:bookmarkStart w:id="73" w:name="le-obiezioni-e-le-risposte-oneste"/>
    <w:p>
      <w:pPr>
        <w:pStyle w:val="Heading3"/>
      </w:pPr>
      <w:r>
        <w:t xml:space="preserve">Le obiezioni, e le risposte oneste</w:t>
      </w:r>
    </w:p>
    <w:p>
      <w:pPr>
        <w:pStyle w:val="FirstParagraph"/>
      </w:pPr>
      <w:r>
        <w:rPr>
          <w:b/>
          <w:bCs/>
        </w:rPr>
        <w:t xml:space="preserve">«Sono stato fermo un mese: identico.»</w:t>
      </w:r>
      <w:r>
        <w:t xml:space="preserve"> </w:t>
      </w:r>
      <w:r>
        <w:rPr>
          <w:i/>
          <w:iCs/>
        </w:rPr>
        <w:t xml:space="preserve">«È quello che succede quasi sempre, e non è colpa sua. Il tendine si costruisce in mesi e si smonta in poche settimane: dopo un mese fermo lei è tornato allo stesso gesto con un tendine che ne reggeva meno di prima. Il problema non era quanto lo usava, era come, e su quello nessuno ha ancora lavorato.»</w:t>
      </w:r>
    </w:p>
    <w:p>
      <w:pPr>
        <w:pStyle w:val="BodyText"/>
      </w:pPr>
      <w:r>
        <w:rPr>
          <w:b/>
          <w:bCs/>
        </w:rPr>
        <w:t xml:space="preserve">«Ho fatto l’infiltrazione: sollievo e poi da capo.»</w:t>
      </w:r>
      <w:r>
        <w:t xml:space="preserve"> </w:t>
      </w:r>
      <w:r>
        <w:rPr>
          <w:i/>
          <w:iCs/>
        </w:rPr>
        <w:t xml:space="preserve">«Quello che è successo a lei è stato misurato. In uno studio su 165 persone con lo stesso problema, il cortisone ha dato un sollievo netto nelle prime settimane e a un anno chi l’aveva fatto stava mediamente peggio di chi aveva ricevuto una puntura di finta, con molte più ricadute. Non le sto dicendo che è stato un errore, e non sono io a decidere sulle infiltrazioni: le sto dicendo perché il sollievo è tornato indietro. La spalla, il gesto e il carico erano rimasti dov’erano.»</w:t>
      </w:r>
    </w:p>
    <w:p>
      <w:pPr>
        <w:pStyle w:val="BodyText"/>
      </w:pPr>
      <w:r>
        <w:rPr>
          <w:b/>
          <w:bCs/>
        </w:rPr>
        <w:t xml:space="preserve">«Porto la fascia da mesi.»</w:t>
      </w:r>
      <w:r>
        <w:t xml:space="preserve"> </w:t>
      </w:r>
      <w:r>
        <w:rPr>
          <w:i/>
          <w:iCs/>
        </w:rPr>
        <w:t xml:space="preserve">«E le dà sollievo finché ce l’ha. Quella è un’informazione, non un fallimento: significa che il problema è la trazione su quel punto, perché appena la scarichi il dolore cala. La fascia scarica, non costruisce.»</w:t>
      </w:r>
    </w:p>
    <w:p>
      <w:pPr>
        <w:pStyle w:val="BodyText"/>
      </w:pPr>
      <w:r>
        <w:rPr>
          <w:b/>
          <w:bCs/>
        </w:rPr>
        <w:t xml:space="preserve">«Uso il braccio per lavoro, non posso fermarmi.»</w:t>
      </w:r>
      <w:r>
        <w:t xml:space="preserve"> </w:t>
      </w:r>
      <w:r>
        <w:rPr>
          <w:i/>
          <w:iCs/>
        </w:rPr>
        <w:t xml:space="preserve">«Non serve che si fermi, e chi si è fermato non è andato meglio. Lavoriamo su come quel gesto arriva al gomito — quanta strada fa la spalla, in che posizione tiene l’avambraccio, con quanta forza stringe — e sul rimettere capacità un gradino alla volta. L’obiettivo non è evitare il lavoro: è che il lavoro smetta di arrivare tutto lì.»</w:t>
      </w:r>
    </w:p>
    <w:p>
      <w:pPr>
        <w:pStyle w:val="BodyText"/>
      </w:pPr>
      <w:r>
        <w:rPr>
          <w:b/>
          <w:bCs/>
        </w:rPr>
        <w:t xml:space="preserve">E la convivenza, con le stesse parole del triage.</w:t>
      </w:r>
      <w:r>
        <w:t xml:space="preserve"> </w:t>
      </w:r>
      <w:r>
        <w:rPr>
          <w:i/>
          <w:iCs/>
        </w:rPr>
        <w:t xml:space="preserve">«Io lavoro sul carico e sulla componente meccanica che ho trovato. Il dolore va comunque inquadrato dal suo medico, e nel frattempo io non aspetto.»</w:t>
      </w:r>
    </w:p>
    <w:p>
      <w:pPr>
        <w:pStyle w:val="BodyText"/>
      </w:pPr>
      <w:r>
        <w:rPr>
          <w:b/>
          <w:bCs/>
        </w:rPr>
        <w:t xml:space="preserve">«E allora io cosa ci vengo a fare da lei?»</w:t>
      </w:r>
      <w:r>
        <w:t xml:space="preserve"> </w:t>
      </w:r>
      <w:r>
        <w:rPr>
          <w:i/>
          <w:iCs/>
        </w:rPr>
        <w:t xml:space="preserve">«Domanda giusta. Faccio tre cose che lei da solo non fa. Cerco dov’è il freno — spalla, avambraccio, collo — e lo tolgo, così che quel gesto le costi meno. Le misuro un numero prima e dopo e glielo mostro, così sappiamo se stiamo andando nella direzione giusta invece di indovinare. E le insegno il carico, glielo correggo e le verifico la soglia seduta per seduta: il carico funziona se è fatto giusto, e</w:t>
      </w:r>
      <w:r>
        <w:rPr>
          <w:i/>
          <w:iCs/>
        </w:rPr>
        <w:t xml:space="preserve"> </w:t>
      </w:r>
      <w:r>
        <w:rPr>
          <w:i/>
          <w:iCs/>
        </w:rPr>
        <w:t xml:space="preserve">“fatto giusto”</w:t>
      </w:r>
      <w:r>
        <w:rPr>
          <w:i/>
          <w:iCs/>
        </w:rPr>
        <w:t xml:space="preserve"> </w:t>
      </w:r>
      <w:r>
        <w:rPr>
          <w:i/>
          <w:iCs/>
        </w:rPr>
        <w:t xml:space="preserve">non si impara da un foglio.»</w:t>
      </w:r>
    </w:p>
    <w:bookmarkEnd w:id="73"/>
    <w:bookmarkStart w:id="74" w:name="Xe5f792e5b9269d395c809e90009a8b4c70e8d95"/>
    <w:p>
      <w:pPr>
        <w:pStyle w:val="Heading3"/>
      </w:pPr>
      <w:r>
        <w:t xml:space="preserve">Quello che il paziente deve riconoscere a casa</w:t>
      </w:r>
    </w:p>
    <w:p>
      <w:pPr>
        <w:pStyle w:val="FirstParagraph"/>
      </w:pPr>
      <w:r>
        <w:t xml:space="preserve">Le bandiere rosse di «Dove finisce il nostro campo» sono tutte d’ingresso. Questa è l’altra metà, ed è conoscenza che appartiene a lui.</w:t>
      </w:r>
    </w:p>
    <w:p>
      <w:pPr>
        <w:pStyle w:val="Compact"/>
        <w:numPr>
          <w:ilvl w:val="0"/>
          <w:numId w:val="1041"/>
        </w:numPr>
      </w:pPr>
      <w:r>
        <w:rPr>
          <w:b/>
          <w:bCs/>
        </w:rPr>
        <w:t xml:space="preserve">Dopo un lavoro sul collo, entro 48 ore:</w:t>
      </w:r>
      <w:r>
        <w:t xml:space="preserve"> </w:t>
      </w:r>
      <w:r>
        <w:t xml:space="preserve">cefalea o dolore cervicale</w:t>
      </w:r>
      <w:r>
        <w:t xml:space="preserve"> </w:t>
      </w:r>
      <w:r>
        <w:rPr>
          <w:b/>
          <w:bCs/>
        </w:rPr>
        <w:t xml:space="preserve">nuovi e in netto aumento</w:t>
      </w:r>
      <w:r>
        <w:t xml:space="preserve">, vertigine, nausea o vomito, disturbi visivi o della parola, alterazione della sensibilità →</w:t>
      </w:r>
      <w:r>
        <w:t xml:space="preserve"> </w:t>
      </w:r>
      <w:r>
        <w:rPr>
          <w:b/>
          <w:bCs/>
        </w:rPr>
        <w:t xml:space="preserve">pronto soccorso</w:t>
      </w:r>
      <w:r>
        <w:t xml:space="preserve">, non «aspettiamo la prossima seduta».</w:t>
      </w:r>
    </w:p>
    <w:p>
      <w:pPr>
        <w:pStyle w:val="Compact"/>
        <w:numPr>
          <w:ilvl w:val="0"/>
          <w:numId w:val="1041"/>
        </w:numPr>
      </w:pPr>
      <w:r>
        <w:rPr>
          <w:b/>
          <w:bCs/>
        </w:rPr>
        <w:t xml:space="preserve">Perdita improvvisa di forza</w:t>
      </w:r>
      <w:r>
        <w:t xml:space="preserve"> </w:t>
      </w:r>
      <w:r>
        <w:t xml:space="preserve">nell’estensione di dita o polso → medico, oggi.</w:t>
      </w:r>
    </w:p>
    <w:p>
      <w:pPr>
        <w:pStyle w:val="Compact"/>
        <w:numPr>
          <w:ilvl w:val="0"/>
          <w:numId w:val="1041"/>
        </w:numPr>
      </w:pPr>
      <w:r>
        <w:rPr>
          <w:b/>
          <w:bCs/>
        </w:rPr>
        <w:t xml:space="preserve">Gomito che diventa caldo o gonfio</w:t>
      </w:r>
      <w:r>
        <w:t xml:space="preserve">, con o senza febbre → pronto soccorso.</w:t>
      </w:r>
    </w:p>
    <w:bookmarkEnd w:id="74"/>
    <w:bookmarkStart w:id="75" w:name="cosa-non-promettere-mai"/>
    <w:p>
      <w:pPr>
        <w:pStyle w:val="Heading3"/>
      </w:pPr>
      <w:r>
        <w:t xml:space="preserve">Cosa non promettere mai</w:t>
      </w:r>
    </w:p>
    <w:p>
      <w:pPr>
        <w:pStyle w:val="FirstParagraph"/>
      </w:pPr>
      <w:r>
        <w:t xml:space="preserve">Non promettere la scomparsa del dolore, né un tempo. Non promettere che il tendine tornerà come l’ecografia di prima. Non dire mai che l’infiltrazione è stata un errore, o che non deve farne altre: quella conversazione è con chi gliela prescrive, e dirla tu è fuori dal tuo perimetro.</w:t>
      </w:r>
    </w:p>
    <w:p>
      <w:pPr>
        <w:pStyle w:val="BodyText"/>
      </w:pPr>
      <w:r>
        <w:rPr>
          <w:b/>
          <w:bCs/>
        </w:rPr>
        <w:t xml:space="preserve">Le tre cose da ricordare, più una</w:t>
      </w:r>
    </w:p>
    <w:p>
      <w:pPr>
        <w:pStyle w:val="Compact"/>
        <w:numPr>
          <w:ilvl w:val="0"/>
          <w:numId w:val="1042"/>
        </w:numPr>
      </w:pPr>
      <w:r>
        <w:t xml:space="preserve">Le tre idee da smontare sono: che sia un’infiammazione, che il riposo curi, che la fascia sia una terapia.</w:t>
      </w:r>
    </w:p>
    <w:p>
      <w:pPr>
        <w:pStyle w:val="Compact"/>
        <w:numPr>
          <w:ilvl w:val="0"/>
          <w:numId w:val="1042"/>
        </w:numPr>
      </w:pPr>
      <w:r>
        <w:t xml:space="preserve">Il dato sull’infiltrazione si dà come dato, mai come consiglio.</w:t>
      </w:r>
    </w:p>
    <w:p>
      <w:pPr>
        <w:pStyle w:val="Compact"/>
        <w:numPr>
          <w:ilvl w:val="0"/>
          <w:numId w:val="1042"/>
        </w:numPr>
      </w:pPr>
      <w:r>
        <w:t xml:space="preserve">La convivenza fra il tuo reperto e l’inquadramento medico si dice al paziente con le stesse parole con cui la scrivi in cartella.</w:t>
      </w:r>
    </w:p>
    <w:p>
      <w:pPr>
        <w:pStyle w:val="Compact"/>
        <w:numPr>
          <w:ilvl w:val="0"/>
          <w:numId w:val="1042"/>
        </w:numPr>
      </w:pPr>
      <w:r>
        <w:rPr>
          <w:b/>
          <w:bCs/>
        </w:rPr>
        <w:t xml:space="preserve">Perché ci sei tu.</w:t>
      </w:r>
      <w:r>
        <w:t xml:space="preserve"> </w:t>
      </w:r>
      <w:r>
        <w:t xml:space="preserve">Alla domanda che il paziente si porta dietro da mesi esiste una risposta fattuale, ed è il numero riportato qui sopra (Coombes, 2013, PMID 23385272).</w:t>
      </w:r>
      <w:r>
        <w:t xml:space="preserve"> </w:t>
      </w:r>
      <w:r>
        <w:rPr>
          <w:b/>
          <w:bCs/>
        </w:rPr>
        <w:t xml:space="preserve">Per te:</w:t>
      </w:r>
      <w:r>
        <w:t xml:space="preserve"> </w:t>
      </w:r>
      <w:r>
        <w:t xml:space="preserve">cambia il clima della prima seduta, perché finora quella domanda ha ricevuto solo opinioni. Ti autorizza a spiegare perché il sollievo è tornato indietro. Non ti autorizza a sconsigliare un’infiltrazione futura: quella decisione è del prescrittore.</w:t>
      </w:r>
    </w:p>
    <w:p>
      <w:r>
        <w:pict>
          <v:rect style="width:0;height:1.5pt" o:hralign="center" o:hrstd="t" o:hr="t"/>
        </w:pict>
      </w:r>
    </w:p>
    <w:bookmarkEnd w:id="75"/>
    <w:bookmarkEnd w:id="76"/>
    <w:bookmarkStart w:id="78" w:name="capitolo-14-cosa-fare-adesso"/>
    <w:p>
      <w:pPr>
        <w:pStyle w:val="Heading2"/>
      </w:pPr>
      <w:r>
        <w:t xml:space="preserve">Capitolo 14 — Cosa fare adesso</w:t>
      </w:r>
    </w:p>
    <w:p>
      <w:pPr>
        <w:pStyle w:val="BlockText"/>
      </w:pPr>
      <w:r>
        <w:rPr>
          <w:b/>
          <w:bCs/>
        </w:rPr>
        <w:t xml:space="preserve">In una riga:</w:t>
      </w:r>
      <w:r>
        <w:t xml:space="preserve"> </w:t>
      </w:r>
      <w:r>
        <w:t xml:space="preserve">hai un paziente che ha già provato tutto, un meccanismo che nessun farmaco copre, una leva piccola nelle tue mani e una grande nelle sue.</w:t>
      </w:r>
    </w:p>
    <w:p>
      <w:pPr>
        <w:pStyle w:val="FirstParagraph"/>
      </w:pPr>
      <w:r>
        <w:rPr>
          <w:b/>
          <w:bCs/>
        </w:rPr>
        <w:t xml:space="preserve">Il filo.</w:t>
      </w:r>
      <w:r>
        <w:t xml:space="preserve"> </w:t>
      </w:r>
      <w:r>
        <w:t xml:space="preserve">Non è un’infiammazione: è un tessuto che ha cambiato struttura sotto un carico che arriva sempre nella stessa posizione. Se dura da mesi, il sistema del dolore si è allargato. In due casi su dieci c’è anche un nervo. Le tue mani aprono la finestra, il carico fa il lavoro che dura, e su due sottotipi serve un invio.</w:t>
      </w:r>
    </w:p>
    <w:p>
      <w:pPr>
        <w:pStyle w:val="BodyText"/>
      </w:pPr>
      <w:r>
        <w:rPr>
          <w:b/>
          <w:bCs/>
        </w:rPr>
        <w:t xml:space="preserve">Le tre cose che cambi da lunedì.</w:t>
      </w:r>
    </w:p>
    <w:p>
      <w:pPr>
        <w:pStyle w:val="Compact"/>
        <w:numPr>
          <w:ilvl w:val="0"/>
          <w:numId w:val="1043"/>
        </w:numPr>
      </w:pPr>
      <w:r>
        <w:rPr>
          <w:b/>
          <w:bCs/>
        </w:rPr>
        <w:t xml:space="preserve">Guarda il gesto.</w:t>
      </w:r>
      <w:r>
        <w:t xml:space="preserve"> </w:t>
      </w:r>
      <w:r>
        <w:t xml:space="preserve">Non chiedere che lavoro fa: fatti mostrare come tiene l’attrezzo, in che posizione e con quanta forza. È la domanda che nessuno gli ha fatto in sei mesi.</w:t>
      </w:r>
    </w:p>
    <w:p>
      <w:pPr>
        <w:pStyle w:val="Compact"/>
        <w:numPr>
          <w:ilvl w:val="0"/>
          <w:numId w:val="1043"/>
        </w:numPr>
      </w:pPr>
      <w:r>
        <w:rPr>
          <w:b/>
          <w:bCs/>
        </w:rPr>
        <w:t xml:space="preserve">Quando te lo chiede, dai il numero dell’infiltrazione.</w:t>
      </w:r>
      <w:r>
        <w:t xml:space="preserve"> </w:t>
      </w:r>
      <w:r>
        <w:t xml:space="preserve">83% contro 96% a un anno, ricadute 54% contro 12%. Solo in risposta a una sua domanda, come dato e mai come consiglio, mai contro chi gliel’ha prescritta, e</w:t>
      </w:r>
      <w:r>
        <w:t xml:space="preserve"> </w:t>
      </w:r>
      <w:r>
        <w:rPr>
          <w:b/>
          <w:bCs/>
        </w:rPr>
        <w:t xml:space="preserve">mai a un paziente che ha già un’infiltrazione in programma</w:t>
      </w:r>
      <w:r>
        <w:t xml:space="preserve">: lì la conversazione è con il prescrittore.</w:t>
      </w:r>
    </w:p>
    <w:p>
      <w:pPr>
        <w:pStyle w:val="Compact"/>
        <w:numPr>
          <w:ilvl w:val="0"/>
          <w:numId w:val="1043"/>
        </w:numPr>
      </w:pPr>
      <w:r>
        <w:rPr>
          <w:b/>
          <w:bCs/>
        </w:rPr>
        <w:t xml:space="preserve">Smetti di usare la parola</w:t>
      </w:r>
      <w:r>
        <w:rPr>
          <w:b/>
          <w:bCs/>
        </w:rPr>
        <w:t xml:space="preserve"> </w:t>
      </w:r>
      <w:r>
        <w:rPr>
          <w:b/>
          <w:bCs/>
        </w:rPr>
        <w:t xml:space="preserve">“infiammazione”</w:t>
      </w:r>
      <w:r>
        <w:rPr>
          <w:b/>
          <w:bCs/>
        </w:rPr>
        <w:t xml:space="preserve">.</w:t>
      </w:r>
      <w:r>
        <w:t xml:space="preserve"> </w:t>
      </w:r>
      <w:r>
        <w:t xml:space="preserve">Sul referto ci resta, e non è un tuo problema. Nella tua bocca no, perché è la parola che ha giustificato il mese di riposo che non ha funzionato.</w:t>
      </w:r>
    </w:p>
    <w:p>
      <w:pPr>
        <w:pStyle w:val="FirstParagraph"/>
      </w:pPr>
      <w:r>
        <w:rPr>
          <w:b/>
          <w:bCs/>
        </w:rPr>
        <w:t xml:space="preserve">Quando sei autonomo.</w:t>
      </w:r>
      <w:r>
        <w:t xml:space="preserve"> </w:t>
      </w:r>
      <w:r>
        <w:rPr>
          <w:i/>
          <w:iCs/>
        </w:rPr>
        <w:t xml:space="preserve">Non quando l’hai letta tutta. Quando distingui il reattivo recente dal persistente senza esitare, quando riconosci alla prima seduta i due sottotipi che vanno inviati, e quando sai dire a un medico cosa possiamo affermare e cosa no. Il paziente che non somiglia a nessuno dei tre pazienti-tipo si affronta con la Road Map e un marker scelto prima: quella è la regola, i casi sono solo esempi.</w:t>
      </w:r>
    </w:p>
    <w:p>
      <w:pPr>
        <w:pStyle w:val="BodyText"/>
      </w:pPr>
      <w:r>
        <w:rPr>
          <w:i/>
          <w:iCs/>
        </w:rPr>
        <w:t xml:space="preserve">Su questa condizione non stai riempiendo un silenzio: stai lavorando accanto a una letteratura che ha già detto di no a parecchie cose, e che ti lascia due spazi netti. Il primo è essere il punto del percorso di questo paziente in cui qualcuno guarda come quel braccio lavora davvero. Il secondo è insegnare la leva migliore che questa condizione possiede a una persona che dovrà usarla da sola, per settimane, quando tu non ci sei. Nessuno dei due è spettacolare. Sono i due che spostano il quadro.</w:t>
      </w:r>
    </w:p>
    <w:p>
      <w:pPr>
        <w:pStyle w:val="BodyText"/>
      </w:pPr>
      <w:r>
        <w:rPr>
          <w:b/>
          <w:bCs/>
        </w:rPr>
        <w:t xml:space="preserve">Le tre cose da ricordare, più una</w:t>
      </w:r>
    </w:p>
    <w:p>
      <w:pPr>
        <w:pStyle w:val="Compact"/>
        <w:numPr>
          <w:ilvl w:val="0"/>
          <w:numId w:val="1044"/>
        </w:numPr>
      </w:pPr>
      <w:r>
        <w:t xml:space="preserve">Fatti mostrare il gesto, non fartelo raccontare.</w:t>
      </w:r>
    </w:p>
    <w:p>
      <w:pPr>
        <w:pStyle w:val="Compact"/>
        <w:numPr>
          <w:ilvl w:val="0"/>
          <w:numId w:val="1044"/>
        </w:numPr>
      </w:pPr>
      <w:r>
        <w:t xml:space="preserve">Dai il numero dell’infiltrazione quando te lo chiede, come dato e mai come consiglio.</w:t>
      </w:r>
    </w:p>
    <w:p>
      <w:pPr>
        <w:pStyle w:val="Compact"/>
        <w:numPr>
          <w:ilvl w:val="0"/>
          <w:numId w:val="1044"/>
        </w:numPr>
      </w:pPr>
      <w:r>
        <w:t xml:space="preserve">Togli</w:t>
      </w:r>
      <w:r>
        <w:t xml:space="preserve"> </w:t>
      </w:r>
      <w:r>
        <w:t xml:space="preserve">“infiammazione”</w:t>
      </w:r>
      <w:r>
        <w:t xml:space="preserve"> </w:t>
      </w:r>
      <w:r>
        <w:t xml:space="preserve">dal tuo vocabolario su questa condizione.</w:t>
      </w:r>
    </w:p>
    <w:p>
      <w:pPr>
        <w:pStyle w:val="Heading2"/>
        <w:numPr>
          <w:ilvl w:val="0"/>
          <w:numId w:val="1044"/>
        </w:numPr>
      </w:pPr>
      <w:bookmarkStart w:id="77" w:name="X9bd2643187451a45b4ea3d4e6dcb9f3bf195703"/>
      <w:r>
        <w:rPr>
          <w:b/>
          <w:bCs/>
        </w:rPr>
        <w:t xml:space="preserve">Perché ci sei tu.</w:t>
      </w:r>
      <w:r>
        <w:t xml:space="preserve"> </w:t>
      </w:r>
      <w:r>
        <w:t xml:space="preserve">Nel trial su 198 pazienti, chi riceveva il pacchetto di mano ed esercizio</w:t>
      </w:r>
      <w:r>
        <w:t xml:space="preserve"> </w:t>
      </w:r>
      <w:r>
        <w:rPr>
          <w:b/>
          <w:bCs/>
        </w:rPr>
        <w:t xml:space="preserve">ha cercato meno trattamenti aggiuntivi e meno antinfiammatori</w:t>
      </w:r>
      <w:r>
        <w:t xml:space="preserve"> </w:t>
      </w:r>
      <w:r>
        <w:t xml:space="preserve">degli altri due gruppi (Bisset, 2006, PMID 17012266).</w:t>
      </w:r>
      <w:r>
        <w:t xml:space="preserve"> </w:t>
      </w:r>
      <w:r>
        <w:rPr>
          <w:b/>
          <w:bCs/>
        </w:rPr>
        <w:t xml:space="preserve">Per te:</w:t>
      </w:r>
      <w:r>
        <w:t xml:space="preserve"> </w:t>
      </w:r>
      <w:r>
        <w:t xml:space="preserve">occupare le prime sei settimane con qualcosa che il paziente sa rifare riduce il consumo di altro, ed è un esito misurato. Ti autorizza a considerarti parte utile del percorso dall’inizio. Non ti autorizza a promettere il risultato a un anno: nello stesso studio, a 52 settimane la differenza rispetto all’attesa non c’era più.</w:t>
      </w:r>
      <w:bookmarkEnd w:id="77"/>
    </w:p>
    <w:bookmarkEnd w:id="78"/>
    <w:bookmarkStart w:id="79" w:name="appendice-a-glossario"/>
    <w:p>
      <w:pPr>
        <w:pStyle w:val="Heading2"/>
      </w:pPr>
      <w:r>
        <w:t xml:space="preserve">Appendice A — Glossario</w:t>
      </w:r>
    </w:p>
    <w:p>
      <w:pPr>
        <w:pStyle w:val="FirstParagraph"/>
      </w:pPr>
      <w:r>
        <w:rPr>
          <w:b/>
          <w:bCs/>
        </w:rPr>
        <w:t xml:space="preserve">Catena</w:t>
      </w:r>
      <w:r>
        <w:t xml:space="preserve"> </w:t>
      </w:r>
      <w:r>
        <w:t xml:space="preserve">— 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BodyText"/>
      </w:pPr>
      <w:r>
        <w:rPr>
          <w:b/>
          <w:bCs/>
        </w:rPr>
        <w:t xml:space="preserve">Certezza delle prove</w:t>
      </w:r>
      <w:r>
        <w:t xml:space="preserve"> </w:t>
      </w:r>
      <w:r>
        <w:t xml:space="preserve">— Giudizio su quanto è affidabile il risultato complessivo di una revisione, indipendente dalla dimensione dell’effetto.</w:t>
      </w:r>
      <w:r>
        <w:t xml:space="preserve"> </w:t>
      </w:r>
      <w:r>
        <w:t xml:space="preserve">“Bassa”</w:t>
      </w:r>
      <w:r>
        <w:t xml:space="preserve"> </w:t>
      </w:r>
      <w:r>
        <w:t xml:space="preserve">significa che nuovi studi potrebbero cambiarlo.</w:t>
      </w:r>
    </w:p>
    <w:p>
      <w:pPr>
        <w:pStyle w:val="BodyText"/>
      </w:pPr>
      <w:r>
        <w:rPr>
          <w:b/>
          <w:bCs/>
        </w:rPr>
        <w:t xml:space="preserve">Chiave di volta (prova della)</w:t>
      </w:r>
      <w:r>
        <w:t xml:space="preserve"> </w:t>
      </w:r>
      <w:r>
        <w:t xml:space="preserve">— Verifica in cui tratti un solo piano e rimisuri un segno che appartiene a un altro. Se quel segno si muove, il piano trattato reggeva anche gli altri.</w:t>
      </w:r>
    </w:p>
    <w:p>
      <w:pPr>
        <w:pStyle w:val="BodyText"/>
      </w:pPr>
      <w:r>
        <w:rPr>
          <w:b/>
          <w:bCs/>
        </w:rPr>
        <w:t xml:space="preserve">Chinesiofobia</w:t>
      </w:r>
      <w:r>
        <w:t xml:space="preserve"> </w:t>
      </w:r>
      <w:r>
        <w:t xml:space="preserve">— Paura del movimento, legata alla convinzione che muoversi produca danno.</w:t>
      </w:r>
    </w:p>
    <w:p>
      <w:pPr>
        <w:pStyle w:val="BodyText"/>
      </w:pPr>
      <w:r>
        <w:rPr>
          <w:b/>
          <w:bCs/>
        </w:rPr>
        <w:t xml:space="preserve">Compenso</w:t>
      </w:r>
      <w:r>
        <w:t xml:space="preserve"> </w:t>
      </w:r>
      <w:r>
        <w:t xml:space="preserve">— 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Crossover</w:t>
      </w:r>
      <w:r>
        <w:t xml:space="preserve"> </w:t>
      </w:r>
      <w:r>
        <w:t xml:space="preserve">— Disegno di studio in cui ogni partecipante riceve, in tempi diversi, tutti i trattamenti a confronto, e fa da controllo a se stesso. Riduce la variabilità fra le persone, ma su campioni piccoli non sostituisce un gruppo di controllo separato.</w:t>
      </w:r>
    </w:p>
    <w:p>
      <w:pPr>
        <w:pStyle w:val="BodyText"/>
      </w:pPr>
      <w:r>
        <w:rPr>
          <w:b/>
          <w:bCs/>
        </w:rPr>
        <w:t xml:space="preserve">Differenza minima rilevabile</w:t>
      </w:r>
      <w:r>
        <w:t xml:space="preserve"> </w:t>
      </w:r>
      <w:r>
        <w:t xml:space="preserve">— Il cambiamento più piccolo che si può attribuire a un effetto reale, e non all’errore dello strumento e dell’operatore. Sotto quella cifra, un numero che si muove non dice niente.</w:t>
      </w:r>
    </w:p>
    <w:p>
      <w:pPr>
        <w:pStyle w:val="BodyText"/>
      </w:pPr>
      <w:r>
        <w:rPr>
          <w:b/>
          <w:bCs/>
        </w:rPr>
        <w:t xml:space="preserve">Dimensione d’effetto</w:t>
      </w:r>
      <w:r>
        <w:t xml:space="preserve"> </w:t>
      </w:r>
      <w:r>
        <w:t xml:space="preserve">— Numero che dice quanto è grande una differenza fra due gruppi, indipendentemente dall’unità di misura. Sotto 0,5 si considera piccola.</w:t>
      </w:r>
    </w:p>
    <w:p>
      <w:pPr>
        <w:pStyle w:val="BodyText"/>
      </w:pPr>
      <w:r>
        <w:rPr>
          <w:b/>
          <w:bCs/>
        </w:rPr>
        <w:t xml:space="preserve">DIMOSTRATO</w:t>
      </w:r>
      <w:r>
        <w:t xml:space="preserve"> </w:t>
      </w:r>
      <w:r>
        <w:t xml:space="preserve">— Etichetta di solidità:</w:t>
      </w:r>
      <w:r>
        <w:t xml:space="preserve"> </w:t>
      </w:r>
      <w:r>
        <w:rPr>
          <w:i/>
          <w:iCs/>
        </w:rPr>
        <w:t xml:space="preserve">(studi sull’uomo, solidi)</w:t>
      </w:r>
      <w:r>
        <w:t xml:space="preserve">. RCT o revisioni sistematiche solide, con fonte citata.</w:t>
      </w:r>
    </w:p>
    <w:p>
      <w:pPr>
        <w:pStyle w:val="BodyText"/>
      </w:pPr>
      <w:r>
        <w:rPr>
          <w:b/>
          <w:bCs/>
        </w:rPr>
        <w:t xml:space="preserve">Disfunzione somatica</w:t>
      </w:r>
      <w:r>
        <w:t xml:space="preserve"> </w:t>
      </w:r>
      <w:r>
        <w:t xml:space="preserve">— 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BodyText"/>
      </w:pPr>
      <w:r>
        <w:rPr>
          <w:b/>
          <w:bCs/>
        </w:rPr>
        <w:t xml:space="preserve">ECRB</w:t>
      </w:r>
      <w:r>
        <w:t xml:space="preserve"> </w:t>
      </w:r>
      <w:r>
        <w:t xml:space="preserve">— Estensore radiale breve del carpo. È il muscolo la cui origine sull’epicondilo laterale è la sede del guasto in questa condizione.</w:t>
      </w:r>
    </w:p>
    <w:p>
      <w:pPr>
        <w:pStyle w:val="BodyText"/>
      </w:pPr>
      <w:r>
        <w:rPr>
          <w:b/>
          <w:bCs/>
        </w:rPr>
        <w:t xml:space="preserve">EDC</w:t>
      </w:r>
      <w:r>
        <w:t xml:space="preserve"> </w:t>
      </w:r>
      <w:r>
        <w:t xml:space="preserve">— Estensore comune delle dita. La sua porzione diretta al dito medio origina dall’epicondilo laterale, ed è la base del test di Maudsley.</w:t>
      </w:r>
    </w:p>
    <w:p>
      <w:pPr>
        <w:pStyle w:val="BodyText"/>
      </w:pPr>
      <w:r>
        <w:rPr>
          <w:b/>
          <w:bCs/>
        </w:rPr>
        <w:t xml:space="preserve">Entesi</w:t>
      </w:r>
      <w:r>
        <w:t xml:space="preserve"> </w:t>
      </w:r>
      <w:r>
        <w:t xml:space="preserve">— Zona di transizione fra tendine e osso.</w:t>
      </w:r>
    </w:p>
    <w:p>
      <w:pPr>
        <w:pStyle w:val="BodyText"/>
      </w:pPr>
      <w:r>
        <w:rPr>
          <w:b/>
          <w:bCs/>
        </w:rPr>
        <w:t xml:space="preserve">Epicondilalgia laterale</w:t>
      </w:r>
      <w:r>
        <w:t xml:space="preserve"> </w:t>
      </w:r>
      <w:r>
        <w:t xml:space="preserve">— Dolore sull’epicondilo laterale dell’omero da tendinopatia dell’origine degli estensori del polso. Termine preferito a</w:t>
      </w:r>
      <w:r>
        <w:t xml:space="preserve"> </w:t>
      </w:r>
      <w:r>
        <w:t xml:space="preserve">“epicondilite”</w:t>
      </w:r>
      <w:r>
        <w:t xml:space="preserve">.</w:t>
      </w:r>
    </w:p>
    <w:p>
      <w:pPr>
        <w:pStyle w:val="BodyText"/>
      </w:pPr>
      <w:r>
        <w:rPr>
          <w:b/>
          <w:bCs/>
        </w:rPr>
        <w:t xml:space="preserve">Errore tipico</w:t>
      </w:r>
      <w:r>
        <w:t xml:space="preserve"> </w:t>
      </w:r>
      <w:r>
        <w:t xml:space="preserve">— Quanto una misura ripetuta oscilla per il solo fatto di essere ripetuta. Una soglia utile sta sopra il doppio dell’errore tipico.</w:t>
      </w:r>
    </w:p>
    <w:p>
      <w:pPr>
        <w:pStyle w:val="BodyText"/>
      </w:pPr>
      <w:r>
        <w:rPr>
          <w:b/>
          <w:bCs/>
        </w:rPr>
        <w:t xml:space="preserve">Eterogeneità</w:t>
      </w:r>
      <w:r>
        <w:t xml:space="preserve"> </w:t>
      </w:r>
      <w:r>
        <w:t xml:space="preserve">— Quanto gli studi messi insieme in una revisione differiscono fra loro.</w:t>
      </w:r>
      <w:r>
        <w:t xml:space="preserve"> </w:t>
      </w:r>
      <w:r>
        <w:t xml:space="preserve">“Sostanziale”</w:t>
      </w:r>
      <w:r>
        <w:t xml:space="preserve"> </w:t>
      </w:r>
      <w:r>
        <w:t xml:space="preserve">significa che la media che ne esce riassume cose diverse.</w:t>
      </w:r>
    </w:p>
    <w:p>
      <w:pPr>
        <w:pStyle w:val="BodyText"/>
      </w:pPr>
      <w:r>
        <w:rPr>
          <w:b/>
          <w:bCs/>
        </w:rPr>
        <w:t xml:space="preserve">GRADE</w:t>
      </w:r>
      <w:r>
        <w:t xml:space="preserve"> </w:t>
      </w:r>
      <w:r>
        <w:t xml:space="preserve">— Sistema con cui le revisioni sistematiche dichiarano quanta fiducia si può avere in un risultato: alta, moderata, bassa o molto bassa. Riguarda l’affidabilità del risultato, non la sua dimensione.</w:t>
      </w:r>
    </w:p>
    <w:p>
      <w:pPr>
        <w:pStyle w:val="BodyText"/>
      </w:pPr>
      <w:r>
        <w:rPr>
          <w:b/>
          <w:bCs/>
        </w:rPr>
        <w:t xml:space="preserve">Interosseo posteriore</w:t>
      </w:r>
      <w:r>
        <w:t xml:space="preserve"> </w:t>
      </w:r>
      <w:r>
        <w:t xml:space="preserve">— Ramo profondo del nervo radiale, che attraversa il supinatore vicino all’epicondilo.</w:t>
      </w:r>
    </w:p>
    <w:p>
      <w:pPr>
        <w:pStyle w:val="BodyText"/>
      </w:pPr>
      <w:r>
        <w:rPr>
          <w:b/>
          <w:bCs/>
        </w:rPr>
        <w:t xml:space="preserve">Iperalgesia</w:t>
      </w:r>
      <w:r>
        <w:t xml:space="preserve"> </w:t>
      </w:r>
      <w:r>
        <w:t xml:space="preserve">— Risposta di dolore aumentata rispetto al normale, per uno stesso stimolo.</w:t>
      </w:r>
    </w:p>
    <w:p>
      <w:pPr>
        <w:pStyle w:val="BodyText"/>
      </w:pPr>
      <w:r>
        <w:rPr>
          <w:b/>
          <w:bCs/>
        </w:rPr>
        <w:t xml:space="preserve">Ipoalgesia</w:t>
      </w:r>
      <w:r>
        <w:t xml:space="preserve"> </w:t>
      </w:r>
      <w:r>
        <w:t xml:space="preserve">— Riduzione della sensibilità al dolore.</w:t>
      </w:r>
    </w:p>
    <w:p>
      <w:pPr>
        <w:pStyle w:val="BodyText"/>
      </w:pPr>
      <w:r>
        <w:rPr>
          <w:b/>
          <w:bCs/>
        </w:rPr>
        <w:t xml:space="preserve">Ipoestesia</w:t>
      </w:r>
      <w:r>
        <w:t xml:space="preserve"> </w:t>
      </w:r>
      <w:r>
        <w:t xml:space="preserve">— Riduzione della sensibilità della pelle a uno stimolo: il paziente percepisce meno il tocco o la puntura in una zona.</w:t>
      </w:r>
    </w:p>
    <w:p>
      <w:pPr>
        <w:pStyle w:val="BodyText"/>
      </w:pPr>
      <w:r>
        <w:rPr>
          <w:b/>
          <w:bCs/>
        </w:rPr>
        <w:t xml:space="preserve">IPOTESI</w:t>
      </w:r>
      <w:r>
        <w:t xml:space="preserve"> </w:t>
      </w:r>
      <w:r>
        <w:t xml:space="preserve">— Etichetta di solidità:</w:t>
      </w:r>
      <w:r>
        <w:t xml:space="preserve"> </w:t>
      </w:r>
      <w:r>
        <w:rPr>
          <w:i/>
          <w:iCs/>
        </w:rPr>
        <w:t xml:space="preserve">(meccanismo coerente, nessuno studio)</w:t>
      </w:r>
      <w:r>
        <w:t xml:space="preserve">. Meccanismo fisiologico coerente, nessuno studio diretto sul punto. L’etichetta non si declina: quando esistono prove contrarie, restano IPOTESI e la prova contraria si scrive nella frase.</w:t>
      </w:r>
    </w:p>
    <w:p>
      <w:pPr>
        <w:pStyle w:val="BodyText"/>
      </w:pPr>
      <w:r>
        <w:rPr>
          <w:b/>
          <w:bCs/>
        </w:rPr>
        <w:t xml:space="preserve">kPa</w:t>
      </w:r>
      <w:r>
        <w:t xml:space="preserve"> </w:t>
      </w:r>
      <w:r>
        <w:t xml:space="preserve">— Kilopascal, unità di pressione con cui si esprime la soglia algometrica. Su un avambraccio sano i valori tipici stanno nell’ordine delle centinaia di kPa.</w:t>
      </w:r>
    </w:p>
    <w:p>
      <w:pPr>
        <w:pStyle w:val="BodyText"/>
      </w:pPr>
      <w:r>
        <w:rPr>
          <w:b/>
          <w:bCs/>
        </w:rPr>
        <w:t xml:space="preserve">Lesione primaria</w:t>
      </w:r>
      <w:r>
        <w:t xml:space="preserve"> </w:t>
      </w:r>
      <w:r>
        <w:t xml:space="preserve">— 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odyText"/>
      </w:pPr>
      <w:r>
        <w:rPr>
          <w:b/>
          <w:bCs/>
        </w:rPr>
        <w:t xml:space="preserve">Livello di attivazione</w:t>
      </w:r>
      <w:r>
        <w:t xml:space="preserve"> </w:t>
      </w:r>
      <w:r>
        <w:t xml:space="preserve">— Quanto il sistema nervoso di questo paziente sta amplificando il segnale. Non è un sesto meccanismo: è il modo in cui il sistema del dolore allargato si presenta come piano di lavoro.</w:t>
      </w:r>
    </w:p>
    <w:p>
      <w:pPr>
        <w:pStyle w:val="BodyText"/>
      </w:pPr>
      <w:r>
        <w:rPr>
          <w:b/>
          <w:bCs/>
        </w:rPr>
        <w:t xml:space="preserve">Manipolazione di Mill</w:t>
      </w:r>
      <w:r>
        <w:t xml:space="preserve"> </w:t>
      </w:r>
      <w:r>
        <w:t xml:space="preserve">— Spinta rapida e di piccola ampiezza portata a fine corsa di estensione di gomito, con avambraccio pronato e polso flesso.</w:t>
      </w:r>
    </w:p>
    <w:p>
      <w:pPr>
        <w:pStyle w:val="BodyText"/>
      </w:pPr>
      <w:r>
        <w:rPr>
          <w:b/>
          <w:bCs/>
        </w:rPr>
        <w:t xml:space="preserve">Marker</w:t>
      </w:r>
      <w:r>
        <w:t xml:space="preserve"> </w:t>
      </w:r>
      <w:r>
        <w:t xml:space="preserve">— 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Meccanosensibilità</w:t>
      </w:r>
      <w:r>
        <w:t xml:space="preserve"> </w:t>
      </w:r>
      <w:r>
        <w:t xml:space="preserve">— Tendenza di un nervo a rispondere con dolore alle posizioni che lo mettono in tensione.</w:t>
      </w:r>
    </w:p>
    <w:p>
      <w:pPr>
        <w:pStyle w:val="BodyText"/>
      </w:pPr>
      <w:r>
        <w:rPr>
          <w:b/>
          <w:bCs/>
        </w:rPr>
        <w:t xml:space="preserve">Mobilizzazione con movimento</w:t>
      </w:r>
      <w:r>
        <w:t xml:space="preserve"> </w:t>
      </w:r>
      <w:r>
        <w:t xml:space="preserve">— Tecnica in cui l’operatore applica una spinta accessoria mentre il paziente esegue attivamente il movimento doloroso.</w:t>
      </w:r>
    </w:p>
    <w:p>
      <w:pPr>
        <w:pStyle w:val="BodyText"/>
      </w:pPr>
      <w:r>
        <w:rPr>
          <w:b/>
          <w:bCs/>
        </w:rPr>
        <w:t xml:space="preserve">Modulazione condizionata del dolore</w:t>
      </w:r>
      <w:r>
        <w:t xml:space="preserve"> </w:t>
      </w:r>
      <w:r>
        <w:t xml:space="preserve">— Capacità del sistema nervoso di ridurre un dolore quando ne è presente un altro altrove.</w:t>
      </w:r>
    </w:p>
    <w:p>
      <w:pPr>
        <w:pStyle w:val="BodyText"/>
      </w:pPr>
      <w:r>
        <w:rPr>
          <w:b/>
          <w:bCs/>
        </w:rPr>
        <w:t xml:space="preserve">Neuropatico</w:t>
      </w:r>
      <w:r>
        <w:t xml:space="preserve"> </w:t>
      </w:r>
      <w:r>
        <w:t xml:space="preserve">— Dolore che richiede, per definizione, una lesione o una malattia del sistema somatosensoriale.</w:t>
      </w:r>
    </w:p>
    <w:p>
      <w:pPr>
        <w:pStyle w:val="BodyText"/>
      </w:pPr>
      <w:r>
        <w:rPr>
          <w:b/>
          <w:bCs/>
        </w:rPr>
        <w:t xml:space="preserve">Nocicettivo</w:t>
      </w:r>
      <w:r>
        <w:t xml:space="preserve"> </w:t>
      </w:r>
      <w:r>
        <w:t xml:space="preserve">— Dolore che nasce da un danno o da un carico eccessivo su un tessuto, proporzionato allo stimolo che lo provoca.</w:t>
      </w:r>
    </w:p>
    <w:p>
      <w:pPr>
        <w:pStyle w:val="BodyText"/>
      </w:pPr>
      <w:r>
        <w:rPr>
          <w:b/>
          <w:bCs/>
        </w:rPr>
        <w:t xml:space="preserve">Nociplastico</w:t>
      </w:r>
      <w:r>
        <w:t xml:space="preserve"> </w:t>
      </w:r>
      <w:r>
        <w:t xml:space="preserve">— Dolore che nasce da un’alterazione del modo in cui il sistema nervoso elabora il segnale, senza lesione del sistema somatosensoriale.</w:t>
      </w:r>
    </w:p>
    <w:p>
      <w:pPr>
        <w:pStyle w:val="BodyText"/>
      </w:pPr>
      <w:r>
        <w:rPr>
          <w:b/>
          <w:bCs/>
        </w:rPr>
        <w:t xml:space="preserve">Odds ratio</w:t>
      </w:r>
      <w:r>
        <w:t xml:space="preserve"> </w:t>
      </w:r>
      <w:r>
        <w:t xml:space="preserve">— Misura di associazione fra un’esposizione e una condizione. Un valore di 5 indica un rischio circa cinque volte maggiore.</w:t>
      </w:r>
    </w:p>
    <w:p>
      <w:pPr>
        <w:pStyle w:val="BodyText"/>
      </w:pPr>
      <w:r>
        <w:rPr>
          <w:b/>
          <w:bCs/>
        </w:rPr>
        <w:t xml:space="preserve">Ortesi di avambraccio</w:t>
      </w:r>
      <w:r>
        <w:t xml:space="preserve"> </w:t>
      </w:r>
      <w:r>
        <w:t xml:space="preserve">— La fascia epicondiloidea: una banda sull’avambraccio prossimale. È diversa dal polsino rigido, che è un’ortesi statica di polso.</w:t>
      </w:r>
    </w:p>
    <w:p>
      <w:pPr>
        <w:pStyle w:val="BodyText"/>
      </w:pPr>
      <w:r>
        <w:rPr>
          <w:b/>
          <w:bCs/>
        </w:rPr>
        <w:t xml:space="preserve">PROBABILE</w:t>
      </w:r>
      <w:r>
        <w:t xml:space="preserve"> </w:t>
      </w:r>
      <w:r>
        <w:t xml:space="preserve">— Etichetta di solidità:</w:t>
      </w:r>
      <w:r>
        <w:t xml:space="preserve"> </w:t>
      </w:r>
      <w:r>
        <w:rPr>
          <w:i/>
          <w:iCs/>
        </w:rPr>
        <w:t xml:space="preserve">(razionale forte, prove parziali)</w:t>
      </w:r>
      <w:r>
        <w:t xml:space="preserve">. Razionale forte con evidenza parziale, indiretta o solo animale.</w:t>
      </w:r>
    </w:p>
    <w:p>
      <w:pPr>
        <w:pStyle w:val="BodyText"/>
      </w:pPr>
      <w:r>
        <w:rPr>
          <w:b/>
          <w:bCs/>
        </w:rPr>
        <w:t xml:space="preserve">PRP</w:t>
      </w:r>
      <w:r>
        <w:t xml:space="preserve"> </w:t>
      </w:r>
      <w:r>
        <w:t xml:space="preserve">—</w:t>
      </w:r>
      <w:r>
        <w:t xml:space="preserve"> </w:t>
      </w:r>
      <w:r>
        <w:rPr>
          <w:i/>
          <w:iCs/>
        </w:rPr>
        <w:t xml:space="preserve">Platelet-rich plasma</w:t>
      </w:r>
      <w:r>
        <w:t xml:space="preserve">, plasma ricco di piastrine. È un’iniezione preparata dal sangue del paziente. Su questa condizione, con certezza moderata, non produce un miglioramento clinicamente rilevante rispetto all’iniezione placebo.</w:t>
      </w:r>
    </w:p>
    <w:p>
      <w:pPr>
        <w:pStyle w:val="BodyText"/>
      </w:pPr>
      <w:r>
        <w:rPr>
          <w:b/>
          <w:bCs/>
        </w:rPr>
        <w:t xml:space="preserve">PRTEE</w:t>
      </w:r>
      <w:r>
        <w:t xml:space="preserve"> </w:t>
      </w:r>
      <w:r>
        <w:t xml:space="preserve">—</w:t>
      </w:r>
      <w:r>
        <w:t xml:space="preserve"> </w:t>
      </w:r>
      <w:r>
        <w:rPr>
          <w:i/>
          <w:iCs/>
        </w:rPr>
        <w:t xml:space="preserve">Patient-Rated Tennis Elbow Evaluation</w:t>
      </w:r>
      <w:r>
        <w:t xml:space="preserve">. Questionario di dolore e funzione specifico per questa condizione, da 0 a 100.</w:t>
      </w:r>
    </w:p>
    <w:p>
      <w:pPr>
        <w:pStyle w:val="BodyText"/>
      </w:pPr>
      <w:r>
        <w:rPr>
          <w:b/>
          <w:bCs/>
        </w:rPr>
        <w:t xml:space="preserve">RAGIONAMENTO</w:t>
      </w:r>
      <w:r>
        <w:t xml:space="preserve"> </w:t>
      </w:r>
      <w:r>
        <w:t xml:space="preserve">— Etichetta di solidità:</w:t>
      </w:r>
      <w:r>
        <w:t xml:space="preserve"> </w:t>
      </w:r>
      <w:r>
        <w:rPr>
          <w:i/>
          <w:iCs/>
        </w:rPr>
        <w:t xml:space="preserve">(cornice clinica, non una prova)</w:t>
      </w:r>
      <w:r>
        <w:t xml:space="preserve">. Cornice clinica interna: si scrive come ipotesi, mai come fatto.</w:t>
      </w:r>
    </w:p>
    <w:p>
      <w:pPr>
        <w:pStyle w:val="BodyText"/>
      </w:pPr>
      <w:r>
        <w:rPr>
          <w:b/>
          <w:bCs/>
        </w:rPr>
        <w:t xml:space="preserve">Reperto disfunzionale</w:t>
      </w:r>
      <w:r>
        <w:t xml:space="preserve"> </w:t>
      </w:r>
      <w:r>
        <w:t xml:space="preserve">— 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Sistema dominante</w:t>
      </w:r>
      <w:r>
        <w:t xml:space="preserve"> </w:t>
      </w:r>
      <w:r>
        <w:t xml:space="preserve">— Il</w:t>
      </w:r>
      <w:r>
        <w:t xml:space="preserve"> </w:t>
      </w:r>
      <w:r>
        <w:rPr>
          <w:b/>
          <w:bCs/>
        </w:rPr>
        <w:t xml:space="preserve">sistema dominante</w:t>
      </w:r>
      <w:r>
        <w:t xml:space="preserve"> </w:t>
      </w:r>
      <w:r>
        <w:t xml:space="preserve">è il meccanismo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di pressione</w:t>
      </w:r>
      <w:r>
        <w:t xml:space="preserve"> </w:t>
      </w:r>
      <w:r>
        <w:t xml:space="preserve">— Pressione minima alla quale uno stimolo diventa doloroso, misurata con un algometro.</w:t>
      </w:r>
    </w:p>
    <w:p>
      <w:pPr>
        <w:pStyle w:val="BodyText"/>
      </w:pPr>
      <w:r>
        <w:rPr>
          <w:b/>
          <w:bCs/>
        </w:rPr>
        <w:t xml:space="preserve">Sommazione temporale</w:t>
      </w:r>
      <w:r>
        <w:t xml:space="preserve"> </w:t>
      </w:r>
      <w:r>
        <w:t xml:space="preserve">— Aumento del dolore percepito quando uno stimolo identico si ripete a breve distanza.</w:t>
      </w:r>
    </w:p>
    <w:p>
      <w:pPr>
        <w:pStyle w:val="BodyText"/>
      </w:pPr>
      <w:r>
        <w:rPr>
          <w:b/>
          <w:bCs/>
        </w:rPr>
        <w:t xml:space="preserve">Sostanza P e CGRP</w:t>
      </w:r>
      <w:r>
        <w:t xml:space="preserve"> </w:t>
      </w:r>
      <w:r>
        <w:t xml:space="preserve">— Neuropeptidi rilasciati dalle terminazioni nervose sensitive, coinvolti nella trasmissione del dolore e nella permeabilità dei microvasi.</w:t>
      </w:r>
    </w:p>
    <w:p>
      <w:pPr>
        <w:pStyle w:val="BodyText"/>
      </w:pPr>
      <w:r>
        <w:rPr>
          <w:b/>
          <w:bCs/>
        </w:rPr>
        <w:t xml:space="preserve">Tendinopatia</w:t>
      </w:r>
      <w:r>
        <w:t xml:space="preserve"> </w:t>
      </w:r>
      <w:r>
        <w:t xml:space="preserve">— Condizione dolorosa del tendine con alterazione della sua struttura, senza il quadro di flogosi acuta che il suffisso</w:t>
      </w:r>
      <w:r>
        <w:t xml:space="preserve"> </w:t>
      </w:r>
      <w:r>
        <w:rPr>
          <w:i/>
          <w:iCs/>
        </w:rPr>
        <w:t xml:space="preserve">-ite</w:t>
      </w:r>
      <w:r>
        <w:t xml:space="preserve"> </w:t>
      </w:r>
      <w:r>
        <w:t xml:space="preserve">implica.</w:t>
      </w:r>
    </w:p>
    <w:p>
      <w:pPr>
        <w:pStyle w:val="BodyText"/>
      </w:pPr>
      <w:r>
        <w:rPr>
          <w:b/>
          <w:bCs/>
        </w:rPr>
        <w:t xml:space="preserve">Test di Maudsley</w:t>
      </w:r>
      <w:r>
        <w:t xml:space="preserve"> </w:t>
      </w:r>
      <w:r>
        <w:t xml:space="preserve">— Estensione resistita del terzo dito.</w:t>
      </w:r>
    </w:p>
    <w:p>
      <w:pPr>
        <w:pStyle w:val="BodyText"/>
      </w:pPr>
      <w:r>
        <w:rPr>
          <w:b/>
          <w:bCs/>
        </w:rPr>
        <w:t xml:space="preserve">Test neurodinamico del radiale</w:t>
      </w:r>
      <w:r>
        <w:t xml:space="preserve"> </w:t>
      </w:r>
      <w:r>
        <w:t xml:space="preserve">— Sequenza di posizioni di spalla, gomito, avambraccio e polso che mette in tensione il nervo radiale, per vedere se riproduce il sintomo.</w:t>
      </w:r>
    </w:p>
    <w:p>
      <w:pPr>
        <w:pStyle w:val="BodyText"/>
      </w:pPr>
      <w:r>
        <w:rPr>
          <w:b/>
          <w:bCs/>
        </w:rPr>
        <w:t xml:space="preserve">Wait-and-see</w:t>
      </w:r>
      <w:r>
        <w:t xml:space="preserve"> </w:t>
      </w:r>
      <w:r>
        <w:t xml:space="preserve">— Braccio di studio in cui i pazienti ricevono informazione e consigli di gestione del carico, senza trattamento attivo.</w:t>
      </w:r>
    </w:p>
    <w:bookmarkEnd w:id="79"/>
    <w:bookmarkStart w:id="143" w:name="appendice-b-le-fonti"/>
    <w:p>
      <w:pPr>
        <w:pStyle w:val="Heading2"/>
      </w:pPr>
      <w:r>
        <w:t xml:space="preserve">Appendice B — Le fonti</w:t>
      </w:r>
    </w:p>
    <w:p>
      <w:pPr>
        <w:pStyle w:val="FirstParagraph"/>
      </w:pPr>
      <w:r>
        <w:t xml:space="preserve">Nell’ordine in cui compaiono nel testo.</w:t>
      </w:r>
    </w:p>
    <w:p>
      <w:pPr>
        <w:pStyle w:val="Compact"/>
        <w:numPr>
          <w:ilvl w:val="0"/>
          <w:numId w:val="1045"/>
        </w:numPr>
      </w:pPr>
      <w:r>
        <w:t xml:space="preserve">Karanasios S, Korakakis V, Whiteley R, et al. </w:t>
      </w:r>
      <w:r>
        <w:rPr>
          <w:i/>
          <w:iCs/>
        </w:rPr>
        <w:t xml:space="preserve">Exercise interventions in lateral elbow tendinopathy have better outcomes than passive interventions, but the effects are small: a systematic review and meta-analysis of 2123 subjects in 30 trials.</w:t>
      </w:r>
      <w:r>
        <w:t xml:space="preserve"> </w:t>
      </w:r>
      <w:r>
        <w:t xml:space="preserve">Br J Sports Med 2021;55(9):477-485.</w:t>
      </w:r>
      <w:r>
        <w:t xml:space="preserve"> </w:t>
      </w:r>
      <w:hyperlink r:id="rId80">
        <w:r>
          <w:rPr>
            <w:rStyle w:val="Hyperlink"/>
          </w:rPr>
          <w:t xml:space="preserve">PMID 33148599</w:t>
        </w:r>
      </w:hyperlink>
    </w:p>
    <w:p>
      <w:pPr>
        <w:pStyle w:val="Compact"/>
        <w:numPr>
          <w:ilvl w:val="0"/>
          <w:numId w:val="1045"/>
        </w:numPr>
      </w:pPr>
      <w:r>
        <w:t xml:space="preserve">Bot SD, van der Waal JM, Terwee CB, et al. </w:t>
      </w:r>
      <w:r>
        <w:rPr>
          <w:i/>
          <w:iCs/>
        </w:rPr>
        <w:t xml:space="preserve">Course and prognosis of elbow complaints: a cohort study in general practice.</w:t>
      </w:r>
      <w:r>
        <w:t xml:space="preserve"> </w:t>
      </w:r>
      <w:r>
        <w:t xml:space="preserve">Ann Rheum Dis 2005;64(9):1331-1336.</w:t>
      </w:r>
      <w:r>
        <w:t xml:space="preserve"> </w:t>
      </w:r>
      <w:hyperlink r:id="rId81">
        <w:r>
          <w:rPr>
            <w:rStyle w:val="Hyperlink"/>
          </w:rPr>
          <w:t xml:space="preserve">PMID 15708885</w:t>
        </w:r>
      </w:hyperlink>
    </w:p>
    <w:p>
      <w:pPr>
        <w:pStyle w:val="Compact"/>
        <w:numPr>
          <w:ilvl w:val="0"/>
          <w:numId w:val="1045"/>
        </w:numPr>
      </w:pPr>
      <w:r>
        <w:t xml:space="preserve">Millar NL, Silbernagel KG, Thorborg K, et al. </w:t>
      </w:r>
      <w:r>
        <w:rPr>
          <w:i/>
          <w:iCs/>
        </w:rPr>
        <w:t xml:space="preserve">Tendinopathy.</w:t>
      </w:r>
      <w:r>
        <w:t xml:space="preserve"> </w:t>
      </w:r>
      <w:r>
        <w:t xml:space="preserve">Nat Rev Dis Primers 2021;7(1):1.</w:t>
      </w:r>
      <w:r>
        <w:t xml:space="preserve"> </w:t>
      </w:r>
      <w:hyperlink r:id="rId82">
        <w:r>
          <w:rPr>
            <w:rStyle w:val="Hyperlink"/>
          </w:rPr>
          <w:t xml:space="preserve">PMID 33414454</w:t>
        </w:r>
      </w:hyperlink>
    </w:p>
    <w:p>
      <w:pPr>
        <w:pStyle w:val="Compact"/>
        <w:numPr>
          <w:ilvl w:val="0"/>
          <w:numId w:val="1045"/>
        </w:numPr>
      </w:pPr>
      <w:r>
        <w:t xml:space="preserve">Ljung BO, Forsgren S, Fridén J.</w:t>
      </w:r>
      <w:r>
        <w:t xml:space="preserve"> </w:t>
      </w:r>
      <w:r>
        <w:rPr>
          <w:i/>
          <w:iCs/>
        </w:rPr>
        <w:t xml:space="preserve">Substance P and calcitonin gene-related peptide expression at the extensor carpi radialis brevis muscle origin: implications for the etiology of tennis elbow.</w:t>
      </w:r>
      <w:r>
        <w:t xml:space="preserve"> </w:t>
      </w:r>
      <w:r>
        <w:t xml:space="preserve">J Orthop Res 1999;17(4):554-559.</w:t>
      </w:r>
      <w:r>
        <w:t xml:space="preserve"> </w:t>
      </w:r>
      <w:hyperlink r:id="rId83">
        <w:r>
          <w:rPr>
            <w:rStyle w:val="Hyperlink"/>
          </w:rPr>
          <w:t xml:space="preserve">PMID 10459762</w:t>
        </w:r>
      </w:hyperlink>
    </w:p>
    <w:p>
      <w:pPr>
        <w:pStyle w:val="Compact"/>
        <w:numPr>
          <w:ilvl w:val="0"/>
          <w:numId w:val="1045"/>
        </w:numPr>
      </w:pPr>
      <w:r>
        <w:t xml:space="preserve">Khan KM, Cook JL, Kannus P, et al. </w:t>
      </w:r>
      <w:r>
        <w:rPr>
          <w:i/>
          <w:iCs/>
        </w:rPr>
        <w:t xml:space="preserve">Time to abandon the</w:t>
      </w:r>
      <w:r>
        <w:rPr>
          <w:i/>
          <w:iCs/>
        </w:rPr>
        <w:t xml:space="preserve"> </w:t>
      </w:r>
      <w:r>
        <w:rPr>
          <w:i/>
          <w:iCs/>
        </w:rPr>
        <w:t xml:space="preserve">“tendinitis”</w:t>
      </w:r>
      <w:r>
        <w:rPr>
          <w:i/>
          <w:iCs/>
        </w:rPr>
        <w:t xml:space="preserve"> </w:t>
      </w:r>
      <w:r>
        <w:rPr>
          <w:i/>
          <w:iCs/>
        </w:rPr>
        <w:t xml:space="preserve">myth.</w:t>
      </w:r>
      <w:r>
        <w:t xml:space="preserve"> </w:t>
      </w:r>
      <w:r>
        <w:t xml:space="preserve">BMJ 2002;324(7338):626-627.</w:t>
      </w:r>
      <w:r>
        <w:t xml:space="preserve"> </w:t>
      </w:r>
      <w:hyperlink r:id="rId84">
        <w:r>
          <w:rPr>
            <w:rStyle w:val="Hyperlink"/>
          </w:rPr>
          <w:t xml:space="preserve">PMID 11895810</w:t>
        </w:r>
      </w:hyperlink>
    </w:p>
    <w:p>
      <w:pPr>
        <w:pStyle w:val="Compact"/>
        <w:numPr>
          <w:ilvl w:val="0"/>
          <w:numId w:val="1045"/>
        </w:numPr>
      </w:pPr>
      <w:r>
        <w:t xml:space="preserve">Millar NL, Murrell GAC, McInnes IB.</w:t>
      </w:r>
      <w:r>
        <w:t xml:space="preserve"> </w:t>
      </w:r>
      <w:r>
        <w:rPr>
          <w:i/>
          <w:iCs/>
        </w:rPr>
        <w:t xml:space="preserve">Inflammatory mechanisms in tendinopathy — towards translation.</w:t>
      </w:r>
      <w:r>
        <w:t xml:space="preserve"> </w:t>
      </w:r>
      <w:r>
        <w:t xml:space="preserve">Nat Rev Rheumatol 2017;13(2):110-122.</w:t>
      </w:r>
      <w:r>
        <w:t xml:space="preserve"> </w:t>
      </w:r>
      <w:hyperlink r:id="rId85">
        <w:r>
          <w:rPr>
            <w:rStyle w:val="Hyperlink"/>
          </w:rPr>
          <w:t xml:space="preserve">PMID 28119539</w:t>
        </w:r>
      </w:hyperlink>
    </w:p>
    <w:p>
      <w:pPr>
        <w:pStyle w:val="Compact"/>
        <w:numPr>
          <w:ilvl w:val="0"/>
          <w:numId w:val="1045"/>
        </w:numPr>
      </w:pPr>
      <w:r>
        <w:t xml:space="preserve">Shiri R, Viikari-Juntura E, Varonen H, Heliövaara M.</w:t>
      </w:r>
      <w:r>
        <w:t xml:space="preserve"> </w:t>
      </w:r>
      <w:r>
        <w:rPr>
          <w:i/>
          <w:iCs/>
        </w:rPr>
        <w:t xml:space="preserve">Prevalence and determinants of lateral and medial epicondylitis: a population study.</w:t>
      </w:r>
      <w:r>
        <w:t xml:space="preserve"> </w:t>
      </w:r>
      <w:r>
        <w:t xml:space="preserve">Am J Epidemiol 2006;164(11):1065-1074.</w:t>
      </w:r>
      <w:r>
        <w:t xml:space="preserve"> </w:t>
      </w:r>
      <w:hyperlink r:id="rId86">
        <w:r>
          <w:rPr>
            <w:rStyle w:val="Hyperlink"/>
          </w:rPr>
          <w:t xml:space="preserve">PMID 16968862</w:t>
        </w:r>
      </w:hyperlink>
    </w:p>
    <w:p>
      <w:pPr>
        <w:pStyle w:val="Compact"/>
        <w:numPr>
          <w:ilvl w:val="0"/>
          <w:numId w:val="1045"/>
        </w:numPr>
      </w:pPr>
      <w:r>
        <w:t xml:space="preserve">Titchener AG, Fakis A, Tambe AA, et al. </w:t>
      </w:r>
      <w:r>
        <w:rPr>
          <w:i/>
          <w:iCs/>
        </w:rPr>
        <w:t xml:space="preserve">Risk factors in lateral epicondylitis (tennis elbow): a case-control study.</w:t>
      </w:r>
      <w:r>
        <w:t xml:space="preserve"> </w:t>
      </w:r>
      <w:r>
        <w:t xml:space="preserve">J Hand Surg Eur Vol 2013;38(2):159-164.</w:t>
      </w:r>
      <w:r>
        <w:t xml:space="preserve"> </w:t>
      </w:r>
      <w:hyperlink r:id="rId87">
        <w:r>
          <w:rPr>
            <w:rStyle w:val="Hyperlink"/>
          </w:rPr>
          <w:t xml:space="preserve">PMID 22490998</w:t>
        </w:r>
      </w:hyperlink>
    </w:p>
    <w:p>
      <w:pPr>
        <w:pStyle w:val="Compact"/>
        <w:numPr>
          <w:ilvl w:val="0"/>
          <w:numId w:val="1045"/>
        </w:numPr>
      </w:pPr>
      <w:r>
        <w:t xml:space="preserve">Smidt N, van der Windt DA, Assendelft WJ, et al. </w:t>
      </w:r>
      <w:r>
        <w:rPr>
          <w:i/>
          <w:iCs/>
        </w:rPr>
        <w:t xml:space="preserve">Corticosteroid injections, physiotherapy, or a wait-and-see policy for lateral epicondylitis: a randomised controlled trial.</w:t>
      </w:r>
      <w:r>
        <w:t xml:space="preserve"> </w:t>
      </w:r>
      <w:r>
        <w:t xml:space="preserve">Lancet 2002;359(9307):657-662.</w:t>
      </w:r>
      <w:r>
        <w:t xml:space="preserve"> </w:t>
      </w:r>
      <w:hyperlink r:id="rId88">
        <w:r>
          <w:rPr>
            <w:rStyle w:val="Hyperlink"/>
          </w:rPr>
          <w:t xml:space="preserve">PMID 11879861</w:t>
        </w:r>
      </w:hyperlink>
    </w:p>
    <w:p>
      <w:pPr>
        <w:pStyle w:val="Compact"/>
        <w:numPr>
          <w:ilvl w:val="0"/>
          <w:numId w:val="1045"/>
        </w:numPr>
      </w:pPr>
      <w:r>
        <w:t xml:space="preserve">Sanders TL Jr, Maradit Kremers H, Bryan AJ, et al. </w:t>
      </w:r>
      <w:r>
        <w:rPr>
          <w:i/>
          <w:iCs/>
        </w:rPr>
        <w:t xml:space="preserve">The epidemiology and health care burden of tennis elbow: a population-based study.</w:t>
      </w:r>
      <w:r>
        <w:t xml:space="preserve"> </w:t>
      </w:r>
      <w:r>
        <w:t xml:space="preserve">Am J Sports Med 2015;43(5):1066-1071.</w:t>
      </w:r>
      <w:r>
        <w:t xml:space="preserve"> </w:t>
      </w:r>
      <w:hyperlink r:id="rId89">
        <w:r>
          <w:rPr>
            <w:rStyle w:val="Hyperlink"/>
          </w:rPr>
          <w:t xml:space="preserve">PMID 25656546</w:t>
        </w:r>
      </w:hyperlink>
    </w:p>
    <w:p>
      <w:pPr>
        <w:pStyle w:val="Compact"/>
        <w:numPr>
          <w:ilvl w:val="0"/>
          <w:numId w:val="1045"/>
        </w:numPr>
      </w:pPr>
      <w:r>
        <w:t xml:space="preserve">Krogh TP, Fredberg U, Stengaard-Pedersen K, et al. </w:t>
      </w:r>
      <w:r>
        <w:rPr>
          <w:i/>
          <w:iCs/>
        </w:rPr>
        <w:t xml:space="preserve">Treatment of lateral epicondylitis with platelet-rich plasma, glucocorticoid, or saline: a randomized, double-blind, placebo-controlled trial.</w:t>
      </w:r>
      <w:r>
        <w:t xml:space="preserve"> </w:t>
      </w:r>
      <w:r>
        <w:t xml:space="preserve">Am J Sports Med 2013;41(3):625-635.</w:t>
      </w:r>
      <w:r>
        <w:t xml:space="preserve"> </w:t>
      </w:r>
      <w:hyperlink r:id="rId90">
        <w:r>
          <w:rPr>
            <w:rStyle w:val="Hyperlink"/>
          </w:rPr>
          <w:t xml:space="preserve">PMID 23328738</w:t>
        </w:r>
      </w:hyperlink>
    </w:p>
    <w:p>
      <w:pPr>
        <w:pStyle w:val="Compact"/>
        <w:numPr>
          <w:ilvl w:val="0"/>
          <w:numId w:val="1045"/>
        </w:numPr>
      </w:pPr>
      <w:r>
        <w:t xml:space="preserve">Çilingiroğlu Ç, Bilgilisoy Filiz M, Doğan ŞK, et al. </w:t>
      </w:r>
      <w:r>
        <w:rPr>
          <w:i/>
          <w:iCs/>
        </w:rPr>
        <w:t xml:space="preserve">Frequency of posterior interosseous nerve syndrome and its impact on clinical outcomes in patients with lateral epicondylitis: a prospective, controlled, electrophysiological study.</w:t>
      </w:r>
      <w:r>
        <w:t xml:space="preserve"> </w:t>
      </w:r>
      <w:r>
        <w:t xml:space="preserve">Acta Neurol Belg 2026;126(1):131-138.</w:t>
      </w:r>
      <w:r>
        <w:t xml:space="preserve"> </w:t>
      </w:r>
      <w:hyperlink r:id="rId91">
        <w:r>
          <w:rPr>
            <w:rStyle w:val="Hyperlink"/>
          </w:rPr>
          <w:t xml:space="preserve">PMID 40853587</w:t>
        </w:r>
      </w:hyperlink>
    </w:p>
    <w:p>
      <w:pPr>
        <w:pStyle w:val="Compact"/>
        <w:numPr>
          <w:ilvl w:val="0"/>
          <w:numId w:val="1045"/>
        </w:numPr>
      </w:pPr>
      <w:r>
        <w:t xml:space="preserve">Fairbank SM, Corlett RJ.</w:t>
      </w:r>
      <w:r>
        <w:t xml:space="preserve"> </w:t>
      </w:r>
      <w:r>
        <w:rPr>
          <w:i/>
          <w:iCs/>
        </w:rPr>
        <w:t xml:space="preserve">The role of the extensor digitorum communis muscle in lateral epicondylitis.</w:t>
      </w:r>
      <w:r>
        <w:t xml:space="preserve"> </w:t>
      </w:r>
      <w:r>
        <w:t xml:space="preserve">J Hand Surg Br 2002;27(5):405-409.</w:t>
      </w:r>
      <w:r>
        <w:t xml:space="preserve"> </w:t>
      </w:r>
      <w:hyperlink r:id="rId92">
        <w:r>
          <w:rPr>
            <w:rStyle w:val="Hyperlink"/>
          </w:rPr>
          <w:t xml:space="preserve">PMID 12367535</w:t>
        </w:r>
      </w:hyperlink>
    </w:p>
    <w:p>
      <w:pPr>
        <w:pStyle w:val="Compact"/>
        <w:numPr>
          <w:ilvl w:val="0"/>
          <w:numId w:val="1045"/>
        </w:numPr>
      </w:pPr>
      <w:r>
        <w:t xml:space="preserve">Bunata RE, Brown DS, Capelo R.</w:t>
      </w:r>
      <w:r>
        <w:t xml:space="preserve"> </w:t>
      </w:r>
      <w:r>
        <w:rPr>
          <w:i/>
          <w:iCs/>
        </w:rPr>
        <w:t xml:space="preserve">Anatomic factors related to the cause of tennis elbow.</w:t>
      </w:r>
      <w:r>
        <w:t xml:space="preserve"> </w:t>
      </w:r>
      <w:r>
        <w:t xml:space="preserve">J Bone Joint Surg Am 2007;89(9):1955-1963.</w:t>
      </w:r>
      <w:r>
        <w:t xml:space="preserve"> </w:t>
      </w:r>
      <w:hyperlink r:id="rId93">
        <w:r>
          <w:rPr>
            <w:rStyle w:val="Hyperlink"/>
          </w:rPr>
          <w:t xml:space="preserve">PMID 17768192</w:t>
        </w:r>
      </w:hyperlink>
    </w:p>
    <w:p>
      <w:pPr>
        <w:pStyle w:val="Compact"/>
        <w:numPr>
          <w:ilvl w:val="0"/>
          <w:numId w:val="1045"/>
        </w:numPr>
      </w:pPr>
      <w:r>
        <w:t xml:space="preserve">Day JM, Bush H, Nitz AJ, Uhl TL.</w:t>
      </w:r>
      <w:r>
        <w:t xml:space="preserve"> </w:t>
      </w:r>
      <w:r>
        <w:rPr>
          <w:i/>
          <w:iCs/>
        </w:rPr>
        <w:t xml:space="preserve">Scapular muscle performance in individuals with lateral epicondylalgia.</w:t>
      </w:r>
      <w:r>
        <w:t xml:space="preserve"> </w:t>
      </w:r>
      <w:r>
        <w:t xml:space="preserve">J Orthop Sports Phys Ther 2015;45(5):414-424.</w:t>
      </w:r>
      <w:r>
        <w:t xml:space="preserve"> </w:t>
      </w:r>
      <w:hyperlink r:id="rId94">
        <w:r>
          <w:rPr>
            <w:rStyle w:val="Hyperlink"/>
          </w:rPr>
          <w:t xml:space="preserve">PMID 25579691</w:t>
        </w:r>
      </w:hyperlink>
    </w:p>
    <w:p>
      <w:pPr>
        <w:pStyle w:val="Compact"/>
        <w:numPr>
          <w:ilvl w:val="0"/>
          <w:numId w:val="1045"/>
        </w:numPr>
      </w:pPr>
      <w:r>
        <w:t xml:space="preserve">Berglund KM, Persson BH, Denison E.</w:t>
      </w:r>
      <w:r>
        <w:t xml:space="preserve"> </w:t>
      </w:r>
      <w:r>
        <w:rPr>
          <w:i/>
          <w:iCs/>
        </w:rPr>
        <w:t xml:space="preserve">Prevalence of pain and dysfunction in the cervical and thoracic spine in persons with and without lateral elbow pain.</w:t>
      </w:r>
      <w:r>
        <w:t xml:space="preserve"> </w:t>
      </w:r>
      <w:r>
        <w:t xml:space="preserve">Man Ther 2008;13(4):295-299.</w:t>
      </w:r>
      <w:r>
        <w:t xml:space="preserve"> </w:t>
      </w:r>
      <w:hyperlink r:id="rId95">
        <w:r>
          <w:rPr>
            <w:rStyle w:val="Hyperlink"/>
          </w:rPr>
          <w:t xml:space="preserve">PMID 17942362</w:t>
        </w:r>
      </w:hyperlink>
    </w:p>
    <w:p>
      <w:pPr>
        <w:pStyle w:val="Compact"/>
        <w:numPr>
          <w:ilvl w:val="0"/>
          <w:numId w:val="1045"/>
        </w:numPr>
      </w:pPr>
      <w:r>
        <w:t xml:space="preserve">de Boer MD, Maganaris CN, Seynnes OR, Rennie MJ, Narici MV.</w:t>
      </w:r>
      <w:r>
        <w:t xml:space="preserve"> </w:t>
      </w:r>
      <w:r>
        <w:rPr>
          <w:i/>
          <w:iCs/>
        </w:rPr>
        <w:t xml:space="preserve">Time course of muscular, neural and tendinous adaptations to 23 day unilateral lower-limb suspension in young men.</w:t>
      </w:r>
      <w:r>
        <w:t xml:space="preserve"> </w:t>
      </w:r>
      <w:r>
        <w:t xml:space="preserve">J Physiol 2007;583(Pt 3):1079-1091.</w:t>
      </w:r>
      <w:r>
        <w:t xml:space="preserve"> </w:t>
      </w:r>
      <w:hyperlink r:id="rId96">
        <w:r>
          <w:rPr>
            <w:rStyle w:val="Hyperlink"/>
          </w:rPr>
          <w:t xml:space="preserve">PMID 17656438</w:t>
        </w:r>
      </w:hyperlink>
    </w:p>
    <w:p>
      <w:pPr>
        <w:pStyle w:val="Compact"/>
        <w:numPr>
          <w:ilvl w:val="0"/>
          <w:numId w:val="1045"/>
        </w:numPr>
      </w:pPr>
      <w:r>
        <w:t xml:space="preserve">Bohm S, Mersmann F, Arampatzis A.</w:t>
      </w:r>
      <w:r>
        <w:t xml:space="preserve"> </w:t>
      </w:r>
      <w:r>
        <w:rPr>
          <w:i/>
          <w:iCs/>
        </w:rPr>
        <w:t xml:space="preserve">Human tendon adaptation in response to mechanical loading: a systematic review and meta-analysis of exercise intervention studies on healthy adults.</w:t>
      </w:r>
      <w:r>
        <w:t xml:space="preserve"> </w:t>
      </w:r>
      <w:r>
        <w:t xml:space="preserve">Sports Med Open 2015;1(1):7.</w:t>
      </w:r>
      <w:r>
        <w:t xml:space="preserve"> </w:t>
      </w:r>
      <w:hyperlink r:id="rId97">
        <w:r>
          <w:rPr>
            <w:rStyle w:val="Hyperlink"/>
          </w:rPr>
          <w:t xml:space="preserve">PMID 27747846</w:t>
        </w:r>
      </w:hyperlink>
    </w:p>
    <w:p>
      <w:pPr>
        <w:pStyle w:val="Compact"/>
        <w:numPr>
          <w:ilvl w:val="0"/>
          <w:numId w:val="1045"/>
        </w:numPr>
      </w:pPr>
      <w:r>
        <w:t xml:space="preserve">Smidt N, van der Windt DA, Assendelft WJ, et al. </w:t>
      </w:r>
      <w:r>
        <w:rPr>
          <w:i/>
          <w:iCs/>
        </w:rPr>
        <w:t xml:space="preserve">Interobserver reproducibility of the assessment of severity of complaints, grip strength, and pressure pain threshold in patients with lateral epicondylitis.</w:t>
      </w:r>
      <w:r>
        <w:t xml:space="preserve"> </w:t>
      </w:r>
      <w:r>
        <w:t xml:space="preserve">Arch Phys Med Rehabil 2002;83(8):1145-1150.</w:t>
      </w:r>
      <w:r>
        <w:t xml:space="preserve"> </w:t>
      </w:r>
      <w:hyperlink r:id="rId98">
        <w:r>
          <w:rPr>
            <w:rStyle w:val="Hyperlink"/>
          </w:rPr>
          <w:t xml:space="preserve">PMID 12161838</w:t>
        </w:r>
      </w:hyperlink>
    </w:p>
    <w:p>
      <w:pPr>
        <w:pStyle w:val="Compact"/>
        <w:numPr>
          <w:ilvl w:val="0"/>
          <w:numId w:val="1045"/>
        </w:numPr>
      </w:pPr>
      <w:r>
        <w:t xml:space="preserve">Krogh TP, Fredberg U, Ammitzbøl C, Ellingsen T.</w:t>
      </w:r>
      <w:r>
        <w:t xml:space="preserve"> </w:t>
      </w:r>
      <w:r>
        <w:rPr>
          <w:i/>
          <w:iCs/>
        </w:rPr>
        <w:t xml:space="preserve">Ultrasonographic characteristics of the common extensor tendon of the elbow in asymptomatic individuals: thickness, color Doppler activity, and bony spurs.</w:t>
      </w:r>
      <w:r>
        <w:t xml:space="preserve"> </w:t>
      </w:r>
      <w:r>
        <w:t xml:space="preserve">Orthop J Sports Med 2017;5(5):2325967117704186.</w:t>
      </w:r>
      <w:r>
        <w:t xml:space="preserve"> </w:t>
      </w:r>
      <w:hyperlink r:id="rId99">
        <w:r>
          <w:rPr>
            <w:rStyle w:val="Hyperlink"/>
          </w:rPr>
          <w:t xml:space="preserve">PMID 28540316</w:t>
        </w:r>
      </w:hyperlink>
    </w:p>
    <w:p>
      <w:pPr>
        <w:pStyle w:val="Compact"/>
        <w:numPr>
          <w:ilvl w:val="0"/>
          <w:numId w:val="1045"/>
        </w:numPr>
      </w:pPr>
      <w:r>
        <w:t xml:space="preserve">Heales LJ, Lim EC, Hodges PW, Vicenzino B.</w:t>
      </w:r>
      <w:r>
        <w:t xml:space="preserve"> </w:t>
      </w:r>
      <w:r>
        <w:rPr>
          <w:i/>
          <w:iCs/>
        </w:rPr>
        <w:t xml:space="preserve">Sensory and motor deficits exist on the non-injured side of patients with unilateral tendon pain and disability — implications for central nervous system involvement: a systematic review with meta-analysis.</w:t>
      </w:r>
      <w:r>
        <w:t xml:space="preserve"> </w:t>
      </w:r>
      <w:r>
        <w:t xml:space="preserve">Br J Sports Med 2014;48(19):1400-1406.</w:t>
      </w:r>
      <w:r>
        <w:t xml:space="preserve"> </w:t>
      </w:r>
      <w:hyperlink r:id="rId100">
        <w:r>
          <w:rPr>
            <w:rStyle w:val="Hyperlink"/>
          </w:rPr>
          <w:t xml:space="preserve">PMID 24144533</w:t>
        </w:r>
      </w:hyperlink>
    </w:p>
    <w:p>
      <w:pPr>
        <w:pStyle w:val="Compact"/>
        <w:numPr>
          <w:ilvl w:val="0"/>
          <w:numId w:val="1045"/>
        </w:numPr>
      </w:pPr>
      <w:r>
        <w:t xml:space="preserve">Bisset L, Carty M, Smith A.</w:t>
      </w:r>
      <w:r>
        <w:t xml:space="preserve"> </w:t>
      </w:r>
      <w:r>
        <w:rPr>
          <w:i/>
          <w:iCs/>
        </w:rPr>
        <w:t xml:space="preserve">Unilateral lateral epicondylalgia shows a pro-nociceptive pain profile: a case-control observational study.</w:t>
      </w:r>
      <w:r>
        <w:t xml:space="preserve"> </w:t>
      </w:r>
      <w:r>
        <w:t xml:space="preserve">Clin J Pain 2018;34(10):954-959.</w:t>
      </w:r>
      <w:r>
        <w:t xml:space="preserve"> </w:t>
      </w:r>
      <w:hyperlink r:id="rId101">
        <w:r>
          <w:rPr>
            <w:rStyle w:val="Hyperlink"/>
          </w:rPr>
          <w:t xml:space="preserve">PMID 29620559</w:t>
        </w:r>
      </w:hyperlink>
    </w:p>
    <w:p>
      <w:pPr>
        <w:pStyle w:val="Compact"/>
        <w:numPr>
          <w:ilvl w:val="0"/>
          <w:numId w:val="1045"/>
        </w:numPr>
      </w:pPr>
      <w:r>
        <w:t xml:space="preserve">Coombes BK, Bisset L, Vicenzino B.</w:t>
      </w:r>
      <w:r>
        <w:t xml:space="preserve"> </w:t>
      </w:r>
      <w:r>
        <w:rPr>
          <w:i/>
          <w:iCs/>
        </w:rPr>
        <w:t xml:space="preserve">Cold hyperalgesia associated with poorer prognosis in lateral epicondylalgia: a 1-year prognostic study of physical and psychological factors.</w:t>
      </w:r>
      <w:r>
        <w:t xml:space="preserve"> </w:t>
      </w:r>
      <w:r>
        <w:t xml:space="preserve">Clin J Pain 2015;31(1):30-35.</w:t>
      </w:r>
      <w:r>
        <w:t xml:space="preserve"> </w:t>
      </w:r>
      <w:hyperlink r:id="rId102">
        <w:r>
          <w:rPr>
            <w:rStyle w:val="Hyperlink"/>
          </w:rPr>
          <w:t xml:space="preserve">PMID 24480912</w:t>
        </w:r>
      </w:hyperlink>
    </w:p>
    <w:p>
      <w:pPr>
        <w:pStyle w:val="Compact"/>
        <w:numPr>
          <w:ilvl w:val="0"/>
          <w:numId w:val="1045"/>
        </w:numPr>
      </w:pPr>
      <w:r>
        <w:t xml:space="preserve">Alizadehkhaiyat O, Fisher AC, Kemp GJ, et al. </w:t>
      </w:r>
      <w:r>
        <w:rPr>
          <w:i/>
          <w:iCs/>
        </w:rPr>
        <w:t xml:space="preserve">Upper limb muscle imbalance in tennis elbow: a functional and electromyographic assessment.</w:t>
      </w:r>
      <w:r>
        <w:t xml:space="preserve"> </w:t>
      </w:r>
      <w:r>
        <w:t xml:space="preserve">J Orthop Res 2007;25(12):1651-1657.</w:t>
      </w:r>
      <w:r>
        <w:t xml:space="preserve"> </w:t>
      </w:r>
      <w:hyperlink r:id="rId103">
        <w:r>
          <w:rPr>
            <w:rStyle w:val="Hyperlink"/>
          </w:rPr>
          <w:t xml:space="preserve">PMID 17600835</w:t>
        </w:r>
      </w:hyperlink>
    </w:p>
    <w:p>
      <w:pPr>
        <w:pStyle w:val="Compact"/>
        <w:numPr>
          <w:ilvl w:val="0"/>
          <w:numId w:val="1045"/>
        </w:numPr>
      </w:pPr>
      <w:r>
        <w:t xml:space="preserve">Day JM, Lucado AM, Dale RB, et al. </w:t>
      </w:r>
      <w:r>
        <w:rPr>
          <w:i/>
          <w:iCs/>
        </w:rPr>
        <w:t xml:space="preserve">The effect of scapular muscle strengthening on functional recovery in patients with lateral elbow tendinopathy: a pilot randomized controlled trial.</w:t>
      </w:r>
      <w:r>
        <w:t xml:space="preserve"> </w:t>
      </w:r>
      <w:r>
        <w:t xml:space="preserve">J Sport Rehabil 2021;30(5):744-753.</w:t>
      </w:r>
      <w:r>
        <w:t xml:space="preserve"> </w:t>
      </w:r>
      <w:hyperlink r:id="rId104">
        <w:r>
          <w:rPr>
            <w:rStyle w:val="Hyperlink"/>
          </w:rPr>
          <w:t xml:space="preserve">PMID 33440342</w:t>
        </w:r>
      </w:hyperlink>
    </w:p>
    <w:p>
      <w:pPr>
        <w:pStyle w:val="Compact"/>
        <w:numPr>
          <w:ilvl w:val="0"/>
          <w:numId w:val="1045"/>
        </w:numPr>
      </w:pPr>
      <w:r>
        <w:t xml:space="preserve">Muhsen A, Moss P, Gibson W, et al. </w:t>
      </w:r>
      <w:r>
        <w:rPr>
          <w:i/>
          <w:iCs/>
        </w:rPr>
        <w:t xml:space="preserve">The influence of a positive empathetic interaction on conditioned pain modulation and manipulation-induced analgesia in people with lateral epicondylalgia.</w:t>
      </w:r>
      <w:r>
        <w:t xml:space="preserve"> </w:t>
      </w:r>
      <w:r>
        <w:t xml:space="preserve">Clin J Pain 2020;36(6):411-419.</w:t>
      </w:r>
      <w:r>
        <w:t xml:space="preserve"> </w:t>
      </w:r>
      <w:hyperlink r:id="rId105">
        <w:r>
          <w:rPr>
            <w:rStyle w:val="Hyperlink"/>
          </w:rPr>
          <w:t xml:space="preserve">PMID 32079999</w:t>
        </w:r>
      </w:hyperlink>
    </w:p>
    <w:p>
      <w:pPr>
        <w:pStyle w:val="Compact"/>
        <w:numPr>
          <w:ilvl w:val="0"/>
          <w:numId w:val="1045"/>
        </w:numPr>
      </w:pPr>
      <w:r>
        <w:t xml:space="preserve">Kroslak M, Murrell GAC.</w:t>
      </w:r>
      <w:r>
        <w:t xml:space="preserve"> </w:t>
      </w:r>
      <w:r>
        <w:rPr>
          <w:i/>
          <w:iCs/>
        </w:rPr>
        <w:t xml:space="preserve">Surgical treatment of lateral epicondylitis: a prospective, randomized, double-blinded, placebo-controlled clinical trial.</w:t>
      </w:r>
      <w:r>
        <w:t xml:space="preserve"> </w:t>
      </w:r>
      <w:r>
        <w:t xml:space="preserve">Am J Sports Med 2018;46(5):1106-1113.</w:t>
      </w:r>
      <w:r>
        <w:t xml:space="preserve"> </w:t>
      </w:r>
      <w:hyperlink r:id="rId106">
        <w:r>
          <w:rPr>
            <w:rStyle w:val="Hyperlink"/>
          </w:rPr>
          <w:t xml:space="preserve">PMID 29498885</w:t>
        </w:r>
      </w:hyperlink>
    </w:p>
    <w:p>
      <w:pPr>
        <w:pStyle w:val="Compact"/>
        <w:numPr>
          <w:ilvl w:val="0"/>
          <w:numId w:val="1045"/>
        </w:numPr>
      </w:pPr>
      <w:r>
        <w:t xml:space="preserve">Lucado AM, Dale RB, Vincent J, Day JM.</w:t>
      </w:r>
      <w:r>
        <w:t xml:space="preserve"> </w:t>
      </w:r>
      <w:r>
        <w:rPr>
          <w:i/>
          <w:iCs/>
        </w:rPr>
        <w:t xml:space="preserve">Do joint mobilizations assist in the recovery of lateral elbow tendinopathy? A systematic review and meta-analysis.</w:t>
      </w:r>
      <w:r>
        <w:t xml:space="preserve"> </w:t>
      </w:r>
      <w:r>
        <w:t xml:space="preserve">J Hand Ther 2019;32(2):262-276.</w:t>
      </w:r>
      <w:r>
        <w:t xml:space="preserve"> </w:t>
      </w:r>
      <w:hyperlink r:id="rId107">
        <w:r>
          <w:rPr>
            <w:rStyle w:val="Hyperlink"/>
          </w:rPr>
          <w:t xml:space="preserve">PMID 29705077</w:t>
        </w:r>
      </w:hyperlink>
    </w:p>
    <w:p>
      <w:pPr>
        <w:pStyle w:val="Compact"/>
        <w:numPr>
          <w:ilvl w:val="0"/>
          <w:numId w:val="1045"/>
        </w:numPr>
      </w:pPr>
      <w:r>
        <w:t xml:space="preserve">Vicenzino B, Collins D, Wright A.</w:t>
      </w:r>
      <w:r>
        <w:t xml:space="preserve"> </w:t>
      </w:r>
      <w:r>
        <w:rPr>
          <w:i/>
          <w:iCs/>
        </w:rPr>
        <w:t xml:space="preserve">The initial effects of a cervical spine manipulative physiotherapy treatment on the pain and dysfunction of lateral epicondylalgia.</w:t>
      </w:r>
      <w:r>
        <w:t xml:space="preserve"> </w:t>
      </w:r>
      <w:r>
        <w:t xml:space="preserve">Pain 1996;68(1):69-74.</w:t>
      </w:r>
      <w:r>
        <w:t xml:space="preserve"> </w:t>
      </w:r>
      <w:hyperlink r:id="rId108">
        <w:r>
          <w:rPr>
            <w:rStyle w:val="Hyperlink"/>
          </w:rPr>
          <w:t xml:space="preserve">PMID 9252000</w:t>
        </w:r>
      </w:hyperlink>
    </w:p>
    <w:p>
      <w:pPr>
        <w:pStyle w:val="Compact"/>
        <w:numPr>
          <w:ilvl w:val="0"/>
          <w:numId w:val="1045"/>
        </w:numPr>
      </w:pPr>
      <w:r>
        <w:t xml:space="preserve">Paungmali A, O’Leary S, Souvlis T, Vicenzino B.</w:t>
      </w:r>
      <w:r>
        <w:t xml:space="preserve"> </w:t>
      </w:r>
      <w:r>
        <w:rPr>
          <w:i/>
          <w:iCs/>
        </w:rPr>
        <w:t xml:space="preserve">Hypoalgesic and sympathoexcitatory effects of mobilization with movement for lateral epicondylalgia.</w:t>
      </w:r>
      <w:r>
        <w:t xml:space="preserve"> </w:t>
      </w:r>
      <w:r>
        <w:t xml:space="preserve">Phys Ther 2003;83(4):374-383.</w:t>
      </w:r>
      <w:r>
        <w:t xml:space="preserve"> </w:t>
      </w:r>
      <w:hyperlink r:id="rId109">
        <w:r>
          <w:rPr>
            <w:rStyle w:val="Hyperlink"/>
          </w:rPr>
          <w:t xml:space="preserve">PMID 12665408</w:t>
        </w:r>
      </w:hyperlink>
    </w:p>
    <w:p>
      <w:pPr>
        <w:pStyle w:val="Compact"/>
        <w:numPr>
          <w:ilvl w:val="0"/>
          <w:numId w:val="1045"/>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1998;21(7):448-453.</w:t>
      </w:r>
      <w:r>
        <w:t xml:space="preserve"> </w:t>
      </w:r>
      <w:hyperlink r:id="rId110">
        <w:r>
          <w:rPr>
            <w:rStyle w:val="Hyperlink"/>
          </w:rPr>
          <w:t xml:space="preserve">PMID 9777544</w:t>
        </w:r>
      </w:hyperlink>
    </w:p>
    <w:p>
      <w:pPr>
        <w:pStyle w:val="Compact"/>
        <w:numPr>
          <w:ilvl w:val="0"/>
          <w:numId w:val="1045"/>
        </w:numPr>
      </w:pPr>
      <w:r>
        <w:t xml:space="preserve">Coombes BK, Wiebusch M, Heales L, et al. </w:t>
      </w:r>
      <w:r>
        <w:rPr>
          <w:i/>
          <w:iCs/>
        </w:rPr>
        <w:t xml:space="preserve">Isometric exercise above but not below an individual’s pain threshold influences pain perception in people with lateral epicondylalgia.</w:t>
      </w:r>
      <w:r>
        <w:t xml:space="preserve"> </w:t>
      </w:r>
      <w:r>
        <w:t xml:space="preserve">Clin J Pain 2016;32(12):1069-1075.</w:t>
      </w:r>
      <w:r>
        <w:t xml:space="preserve"> </w:t>
      </w:r>
      <w:hyperlink r:id="rId111">
        <w:r>
          <w:rPr>
            <w:rStyle w:val="Hyperlink"/>
          </w:rPr>
          <w:t xml:space="preserve">PMID 26889612</w:t>
        </w:r>
      </w:hyperlink>
    </w:p>
    <w:p>
      <w:pPr>
        <w:pStyle w:val="Compact"/>
        <w:numPr>
          <w:ilvl w:val="0"/>
          <w:numId w:val="1045"/>
        </w:numPr>
      </w:pPr>
      <w:r>
        <w:t xml:space="preserve">Schrimpf M, Liegl G, Boeckle M, et al. </w:t>
      </w:r>
      <w:r>
        <w:rPr>
          <w:i/>
          <w:iCs/>
        </w:rPr>
        <w:t xml:space="preserve">The effect of sleep deprivation on pain perception in healthy subjects: a meta-analysis.</w:t>
      </w:r>
      <w:r>
        <w:t xml:space="preserve"> </w:t>
      </w:r>
      <w:r>
        <w:t xml:space="preserve">Sleep Med 2015;16(11):1313-1320.</w:t>
      </w:r>
      <w:r>
        <w:t xml:space="preserve"> </w:t>
      </w:r>
      <w:hyperlink r:id="rId112">
        <w:r>
          <w:rPr>
            <w:rStyle w:val="Hyperlink"/>
          </w:rPr>
          <w:t xml:space="preserve">PMID 26498229</w:t>
        </w:r>
      </w:hyperlink>
    </w:p>
    <w:p>
      <w:pPr>
        <w:pStyle w:val="Compact"/>
        <w:numPr>
          <w:ilvl w:val="0"/>
          <w:numId w:val="1045"/>
        </w:numPr>
      </w:pPr>
      <w:r>
        <w:t xml:space="preserve">Ranger TA, Wong AM, Cook JL, Gaida JE.</w:t>
      </w:r>
      <w:r>
        <w:t xml:space="preserve"> </w:t>
      </w:r>
      <w:r>
        <w:rPr>
          <w:i/>
          <w:iCs/>
        </w:rPr>
        <w:t xml:space="preserve">Is there an association between tendinopathy and diabetes mellitus? A systematic review with meta-analysis.</w:t>
      </w:r>
      <w:r>
        <w:t xml:space="preserve"> </w:t>
      </w:r>
      <w:r>
        <w:t xml:space="preserve">Br J Sports Med 2016;50(16):982-989.</w:t>
      </w:r>
      <w:r>
        <w:t xml:space="preserve"> </w:t>
      </w:r>
      <w:hyperlink r:id="rId113">
        <w:r>
          <w:rPr>
            <w:rStyle w:val="Hyperlink"/>
          </w:rPr>
          <w:t xml:space="preserve">PMID 26598716</w:t>
        </w:r>
      </w:hyperlink>
    </w:p>
    <w:p>
      <w:pPr>
        <w:pStyle w:val="Compact"/>
        <w:numPr>
          <w:ilvl w:val="0"/>
          <w:numId w:val="1045"/>
        </w:numPr>
      </w:pPr>
      <w:r>
        <w:t xml:space="preserve">Cooke N, Obst S, Vicenzino B, et al. </w:t>
      </w:r>
      <w:r>
        <w:rPr>
          <w:i/>
          <w:iCs/>
        </w:rPr>
        <w:t xml:space="preserve">Upper limb position affects pain-free grip strength in individuals with lateral elbow tendinopathy.</w:t>
      </w:r>
      <w:r>
        <w:t xml:space="preserve"> </w:t>
      </w:r>
      <w:r>
        <w:t xml:space="preserve">Physiother Res Int 2021;26(3):e1906.</w:t>
      </w:r>
      <w:r>
        <w:t xml:space="preserve"> </w:t>
      </w:r>
      <w:hyperlink r:id="rId114">
        <w:r>
          <w:rPr>
            <w:rStyle w:val="Hyperlink"/>
          </w:rPr>
          <w:t xml:space="preserve">PMID 33772973</w:t>
        </w:r>
      </w:hyperlink>
    </w:p>
    <w:p>
      <w:pPr>
        <w:pStyle w:val="Compact"/>
        <w:numPr>
          <w:ilvl w:val="0"/>
          <w:numId w:val="1045"/>
        </w:numPr>
      </w:pPr>
      <w:r>
        <w:t xml:space="preserve">Lucado AM, Day JM, Vincent JI, et al. </w:t>
      </w:r>
      <w:r>
        <w:rPr>
          <w:i/>
          <w:iCs/>
        </w:rPr>
        <w:t xml:space="preserve">Lateral elbow pain and muscle function impairments. Clinical practice guidelines.</w:t>
      </w:r>
      <w:r>
        <w:t xml:space="preserve"> </w:t>
      </w:r>
      <w:r>
        <w:t xml:space="preserve">J Orthop Sports Phys Ther 2022;52(12):CPG1-CPG111.</w:t>
      </w:r>
      <w:r>
        <w:t xml:space="preserve"> </w:t>
      </w:r>
      <w:hyperlink r:id="rId115">
        <w:r>
          <w:rPr>
            <w:rStyle w:val="Hyperlink"/>
          </w:rPr>
          <w:t xml:space="preserve">PMID 36453071</w:t>
        </w:r>
      </w:hyperlink>
    </w:p>
    <w:p>
      <w:pPr>
        <w:pStyle w:val="Compact"/>
        <w:numPr>
          <w:ilvl w:val="0"/>
          <w:numId w:val="1045"/>
        </w:numPr>
      </w:pPr>
      <w:r>
        <w:t xml:space="preserve">Rushton A, Carlesso LC, Flynn T, et al. </w:t>
      </w:r>
      <w:r>
        <w:rPr>
          <w:i/>
          <w:iCs/>
        </w:rPr>
        <w:t xml:space="preserve">International framework for examination of the cervical region for potential of vascular pathologies of the neck prior to musculoskeletal intervention.</w:t>
      </w:r>
      <w:r>
        <w:t xml:space="preserve"> </w:t>
      </w:r>
      <w:r>
        <w:t xml:space="preserve">J Orthop Sports Phys Ther 2023;53(1):7-22.</w:t>
      </w:r>
      <w:r>
        <w:t xml:space="preserve"> </w:t>
      </w:r>
      <w:hyperlink r:id="rId116">
        <w:r>
          <w:rPr>
            <w:rStyle w:val="Hyperlink"/>
          </w:rPr>
          <w:t xml:space="preserve">PMID 36099171</w:t>
        </w:r>
      </w:hyperlink>
    </w:p>
    <w:p>
      <w:pPr>
        <w:pStyle w:val="Compact"/>
        <w:numPr>
          <w:ilvl w:val="0"/>
          <w:numId w:val="1045"/>
        </w:numPr>
      </w:pPr>
      <w:r>
        <w:t xml:space="preserve">Slater H, Arendt-Nielsen L, Wright A, Graven-Nielsen T.</w:t>
      </w:r>
      <w:r>
        <w:t xml:space="preserve"> </w:t>
      </w:r>
      <w:r>
        <w:rPr>
          <w:i/>
          <w:iCs/>
        </w:rPr>
        <w:t xml:space="preserve">Effects of a manual therapy technique in experimental lateral epicondylalgia.</w:t>
      </w:r>
      <w:r>
        <w:t xml:space="preserve"> </w:t>
      </w:r>
      <w:r>
        <w:t xml:space="preserve">Man Ther 2006;11(2):107-117.</w:t>
      </w:r>
      <w:r>
        <w:t xml:space="preserve"> </w:t>
      </w:r>
      <w:hyperlink r:id="rId117">
        <w:r>
          <w:rPr>
            <w:rStyle w:val="Hyperlink"/>
          </w:rPr>
          <w:t xml:space="preserve">PMID 15914074</w:t>
        </w:r>
      </w:hyperlink>
    </w:p>
    <w:p>
      <w:pPr>
        <w:pStyle w:val="Compact"/>
        <w:numPr>
          <w:ilvl w:val="0"/>
          <w:numId w:val="1045"/>
        </w:numPr>
      </w:pPr>
      <w:r>
        <w:t xml:space="preserve">Coombes BK, Bisset L, Brooks P, et al. </w:t>
      </w:r>
      <w:r>
        <w:rPr>
          <w:i/>
          <w:iCs/>
        </w:rPr>
        <w:t xml:space="preserve">Effect of corticosteroid injection, physiotherapy, or both on clinical outcomes in patients with unilateral lateral epicondylalgia: a randomized controlled trial.</w:t>
      </w:r>
      <w:r>
        <w:t xml:space="preserve"> </w:t>
      </w:r>
      <w:r>
        <w:t xml:space="preserve">JAMA 2013;309(5):461-469.</w:t>
      </w:r>
      <w:r>
        <w:t xml:space="preserve"> </w:t>
      </w:r>
      <w:hyperlink r:id="rId118">
        <w:r>
          <w:rPr>
            <w:rStyle w:val="Hyperlink"/>
          </w:rPr>
          <w:t xml:space="preserve">PMID 23385272</w:t>
        </w:r>
      </w:hyperlink>
    </w:p>
    <w:p>
      <w:pPr>
        <w:pStyle w:val="Compact"/>
        <w:numPr>
          <w:ilvl w:val="0"/>
          <w:numId w:val="1045"/>
        </w:numPr>
      </w:pPr>
      <w:r>
        <w:t xml:space="preserve">Bisset L, Beller E, Jull G, et al. </w:t>
      </w:r>
      <w:r>
        <w:rPr>
          <w:i/>
          <w:iCs/>
        </w:rPr>
        <w:t xml:space="preserve">Mobilisation with movement and exercise, corticosteroid injection, or wait and see for tennis elbow: randomised trial.</w:t>
      </w:r>
      <w:r>
        <w:t xml:space="preserve"> </w:t>
      </w:r>
      <w:r>
        <w:t xml:space="preserve">BMJ 2006;333(7575):939.</w:t>
      </w:r>
      <w:r>
        <w:t xml:space="preserve"> </w:t>
      </w:r>
      <w:hyperlink r:id="rId119">
        <w:r>
          <w:rPr>
            <w:rStyle w:val="Hyperlink"/>
          </w:rPr>
          <w:t xml:space="preserve">PMID 17012266</w:t>
        </w:r>
      </w:hyperlink>
    </w:p>
    <w:p>
      <w:pPr>
        <w:pStyle w:val="Compact"/>
        <w:numPr>
          <w:ilvl w:val="0"/>
          <w:numId w:val="1045"/>
        </w:numPr>
      </w:pPr>
      <w:r>
        <w:t xml:space="preserve">Karjalainen TV, Silagy M, O’Bryan E, et al. </w:t>
      </w:r>
      <w:r>
        <w:rPr>
          <w:i/>
          <w:iCs/>
        </w:rPr>
        <w:t xml:space="preserve">Autologous blood and platelet-rich plasma injection therapy for lateral elbow pain.</w:t>
      </w:r>
      <w:r>
        <w:t xml:space="preserve"> </w:t>
      </w:r>
      <w:r>
        <w:t xml:space="preserve">Cochrane Database Syst Rev 2021;9:CD010951.</w:t>
      </w:r>
      <w:r>
        <w:t xml:space="preserve"> </w:t>
      </w:r>
      <w:hyperlink r:id="rId120">
        <w:r>
          <w:rPr>
            <w:rStyle w:val="Hyperlink"/>
          </w:rPr>
          <w:t xml:space="preserve">PMID 34590307</w:t>
        </w:r>
      </w:hyperlink>
    </w:p>
    <w:p>
      <w:pPr>
        <w:pStyle w:val="Compact"/>
        <w:numPr>
          <w:ilvl w:val="0"/>
          <w:numId w:val="1045"/>
        </w:numPr>
      </w:pPr>
      <w:r>
        <w:t xml:space="preserve">Bialosky JE, Bishop MD, Price DD, et al. </w:t>
      </w:r>
      <w:r>
        <w:rPr>
          <w:i/>
          <w:iCs/>
        </w:rPr>
        <w:t xml:space="preserve">The mechanisms of manual therapy in the treatment of musculoskeletal pain: a comprehensive model.</w:t>
      </w:r>
      <w:r>
        <w:t xml:space="preserve"> </w:t>
      </w:r>
      <w:r>
        <w:t xml:space="preserve">Man Ther 2009;14(5):531-538.</w:t>
      </w:r>
      <w:r>
        <w:t xml:space="preserve"> </w:t>
      </w:r>
      <w:hyperlink r:id="rId121">
        <w:r>
          <w:rPr>
            <w:rStyle w:val="Hyperlink"/>
          </w:rPr>
          <w:t xml:space="preserve">PMID 19027342</w:t>
        </w:r>
      </w:hyperlink>
    </w:p>
    <w:p>
      <w:pPr>
        <w:pStyle w:val="Compact"/>
        <w:numPr>
          <w:ilvl w:val="0"/>
          <w:numId w:val="1045"/>
        </w:numPr>
      </w:pPr>
      <w:r>
        <w:t xml:space="preserve">Naugle KM, Fillingim RB, Riley JL 3rd.</w:t>
      </w:r>
      <w:r>
        <w:t xml:space="preserve"> </w:t>
      </w:r>
      <w:r>
        <w:rPr>
          <w:i/>
          <w:iCs/>
        </w:rPr>
        <w:t xml:space="preserve">A meta-analytic review of the hypoalgesic effects of exercise.</w:t>
      </w:r>
      <w:r>
        <w:t xml:space="preserve"> </w:t>
      </w:r>
      <w:r>
        <w:t xml:space="preserve">J Pain 2012;13(12):1139-1150.</w:t>
      </w:r>
      <w:r>
        <w:t xml:space="preserve"> </w:t>
      </w:r>
      <w:hyperlink r:id="rId122">
        <w:r>
          <w:rPr>
            <w:rStyle w:val="Hyperlink"/>
          </w:rPr>
          <w:t xml:space="preserve">PMID 23141188</w:t>
        </w:r>
      </w:hyperlink>
    </w:p>
    <w:p>
      <w:pPr>
        <w:pStyle w:val="Compact"/>
        <w:numPr>
          <w:ilvl w:val="0"/>
          <w:numId w:val="1045"/>
        </w:numPr>
      </w:pPr>
      <w:r>
        <w:t xml:space="preserve">Rice D, Nijs J, Kosek E, et al. </w:t>
      </w:r>
      <w:r>
        <w:rPr>
          <w:i/>
          <w:iCs/>
        </w:rPr>
        <w:t xml:space="preserve">Exercise-induced hypoalgesia in pain-free and chronic pain populations: state of the art and future directions.</w:t>
      </w:r>
      <w:r>
        <w:t xml:space="preserve"> </w:t>
      </w:r>
      <w:r>
        <w:t xml:space="preserve">J Pain 2019;20(11):1249-1266.</w:t>
      </w:r>
      <w:r>
        <w:t xml:space="preserve"> </w:t>
      </w:r>
      <w:hyperlink r:id="rId123">
        <w:r>
          <w:rPr>
            <w:rStyle w:val="Hyperlink"/>
          </w:rPr>
          <w:t xml:space="preserve">PMID 30904519</w:t>
        </w:r>
      </w:hyperlink>
    </w:p>
    <w:p>
      <w:pPr>
        <w:pStyle w:val="Compact"/>
        <w:numPr>
          <w:ilvl w:val="0"/>
          <w:numId w:val="1045"/>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2013;93(4):470-478.</w:t>
      </w:r>
      <w:r>
        <w:t xml:space="preserve"> </w:t>
      </w:r>
      <w:hyperlink r:id="rId124">
        <w:r>
          <w:rPr>
            <w:rStyle w:val="Hyperlink"/>
          </w:rPr>
          <w:t xml:space="preserve">PMID 23139428</w:t>
        </w:r>
      </w:hyperlink>
    </w:p>
    <w:p>
      <w:pPr>
        <w:pStyle w:val="Compact"/>
        <w:numPr>
          <w:ilvl w:val="0"/>
          <w:numId w:val="1045"/>
        </w:numPr>
      </w:pPr>
      <w:r>
        <w:t xml:space="preserve">Heales LJ, McClintock SR, Maynard S, et al. </w:t>
      </w:r>
      <w:r>
        <w:rPr>
          <w:i/>
          <w:iCs/>
        </w:rPr>
        <w:t xml:space="preserve">Evaluating the immediate effect of forearm and wrist orthoses on pain and function in individuals with lateral elbow tendinopathy: a systematic review.</w:t>
      </w:r>
      <w:r>
        <w:t xml:space="preserve"> </w:t>
      </w:r>
      <w:r>
        <w:t xml:space="preserve">Musculoskelet Sci Pract 2020;47:102147.</w:t>
      </w:r>
      <w:r>
        <w:t xml:space="preserve"> </w:t>
      </w:r>
      <w:hyperlink r:id="rId125">
        <w:r>
          <w:rPr>
            <w:rStyle w:val="Hyperlink"/>
          </w:rPr>
          <w:t xml:space="preserve">PMID 32452393</w:t>
        </w:r>
      </w:hyperlink>
    </w:p>
    <w:p>
      <w:pPr>
        <w:pStyle w:val="Compact"/>
        <w:numPr>
          <w:ilvl w:val="0"/>
          <w:numId w:val="1045"/>
        </w:numPr>
      </w:pPr>
      <w:r>
        <w:t xml:space="preserve">Coombes BK, Bisset L, Vicenzino B.</w:t>
      </w:r>
      <w:r>
        <w:t xml:space="preserve"> </w:t>
      </w:r>
      <w:r>
        <w:rPr>
          <w:i/>
          <w:iCs/>
        </w:rPr>
        <w:t xml:space="preserve">Efficacy and safety of corticosteroid injections and other injections for management of tendinopathy: a systematic review of randomised controlled trials.</w:t>
      </w:r>
      <w:r>
        <w:t xml:space="preserve"> </w:t>
      </w:r>
      <w:r>
        <w:t xml:space="preserve">Lancet 2010;376(9754):1751-1767.</w:t>
      </w:r>
      <w:r>
        <w:t xml:space="preserve"> </w:t>
      </w:r>
      <w:hyperlink r:id="rId126">
        <w:r>
          <w:rPr>
            <w:rStyle w:val="Hyperlink"/>
          </w:rPr>
          <w:t xml:space="preserve">PMID 20970844</w:t>
        </w:r>
      </w:hyperlink>
    </w:p>
    <w:p>
      <w:pPr>
        <w:pStyle w:val="Compact"/>
        <w:numPr>
          <w:ilvl w:val="0"/>
          <w:numId w:val="1045"/>
        </w:numPr>
      </w:pPr>
      <w:r>
        <w:t xml:space="preserve">Wallis JA, Bourne AM, Jessup RL, et al. </w:t>
      </w:r>
      <w:r>
        <w:rPr>
          <w:i/>
          <w:iCs/>
        </w:rPr>
        <w:t xml:space="preserve">Manual therapy and exercise for lateral elbow pain.</w:t>
      </w:r>
      <w:r>
        <w:t xml:space="preserve"> </w:t>
      </w:r>
      <w:r>
        <w:t xml:space="preserve">Cochrane Database Syst Rev 2024;5:CD013042.</w:t>
      </w:r>
      <w:r>
        <w:t xml:space="preserve"> </w:t>
      </w:r>
      <w:hyperlink r:id="rId127">
        <w:r>
          <w:rPr>
            <w:rStyle w:val="Hyperlink"/>
          </w:rPr>
          <w:t xml:space="preserve">PMID 38802121</w:t>
        </w:r>
      </w:hyperlink>
    </w:p>
    <w:p>
      <w:pPr>
        <w:pStyle w:val="Compact"/>
        <w:numPr>
          <w:ilvl w:val="0"/>
          <w:numId w:val="1045"/>
        </w:numPr>
      </w:pPr>
      <w:r>
        <w:t xml:space="preserve">Hill CE, Heales LJ, Stanton R, Kean CO.</w:t>
      </w:r>
      <w:r>
        <w:t xml:space="preserve"> </w:t>
      </w:r>
      <w:r>
        <w:rPr>
          <w:i/>
          <w:iCs/>
        </w:rPr>
        <w:t xml:space="preserve">Pain-free grip strength in individuals with lateral elbow tendinopathy: between- and within-session reliability of one versus three trials.</w:t>
      </w:r>
      <w:r>
        <w:t xml:space="preserve"> </w:t>
      </w:r>
      <w:r>
        <w:t xml:space="preserve">Physiother Theory Pract 2023;39(5):1007-1015.</w:t>
      </w:r>
      <w:r>
        <w:t xml:space="preserve"> </w:t>
      </w:r>
      <w:hyperlink r:id="rId128">
        <w:r>
          <w:rPr>
            <w:rStyle w:val="Hyperlink"/>
          </w:rPr>
          <w:t xml:space="preserve">PMID 35114892</w:t>
        </w:r>
      </w:hyperlink>
    </w:p>
    <w:p>
      <w:pPr>
        <w:pStyle w:val="Compact"/>
        <w:numPr>
          <w:ilvl w:val="0"/>
          <w:numId w:val="1045"/>
        </w:numPr>
      </w:pPr>
      <w:r>
        <w:t xml:space="preserve">Vuvan V, Vicenzino B, Mellor R, Heales LJ, Coombes BK.</w:t>
      </w:r>
      <w:r>
        <w:t xml:space="preserve"> </w:t>
      </w:r>
      <w:r>
        <w:rPr>
          <w:i/>
          <w:iCs/>
        </w:rPr>
        <w:t xml:space="preserve">Unsupervised isometric exercise versus wait-and-see for lateral elbow tendinopathy.</w:t>
      </w:r>
      <w:r>
        <w:t xml:space="preserve"> </w:t>
      </w:r>
      <w:r>
        <w:t xml:space="preserve">Med Sci Sports Exerc 2020;52(2):287-295.</w:t>
      </w:r>
      <w:r>
        <w:t xml:space="preserve"> </w:t>
      </w:r>
      <w:hyperlink r:id="rId129">
        <w:r>
          <w:rPr>
            <w:rStyle w:val="Hyperlink"/>
          </w:rPr>
          <w:t xml:space="preserve">PMID 31425384</w:t>
        </w:r>
      </w:hyperlink>
    </w:p>
    <w:p>
      <w:pPr>
        <w:pStyle w:val="Compact"/>
        <w:numPr>
          <w:ilvl w:val="0"/>
          <w:numId w:val="1045"/>
        </w:numPr>
      </w:pPr>
      <w:r>
        <w:t xml:space="preserve">Clifford C, Challoumas D, Paul L, Syme G, Millar NL.</w:t>
      </w:r>
      <w:r>
        <w:t xml:space="preserve"> </w:t>
      </w:r>
      <w:r>
        <w:rPr>
          <w:i/>
          <w:iCs/>
        </w:rPr>
        <w:t xml:space="preserve">Effectiveness of isometric exercise in the management of tendinopathy: a systematic review and meta-analysis of randomised trials.</w:t>
      </w:r>
      <w:r>
        <w:t xml:space="preserve"> </w:t>
      </w:r>
      <w:r>
        <w:t xml:space="preserve">BMJ Open Sport Exerc Med 2020;6(1):e000760.</w:t>
      </w:r>
      <w:r>
        <w:t xml:space="preserve"> </w:t>
      </w:r>
      <w:hyperlink r:id="rId130">
        <w:r>
          <w:rPr>
            <w:rStyle w:val="Hyperlink"/>
          </w:rPr>
          <w:t xml:space="preserve">PMID 32818059</w:t>
        </w:r>
      </w:hyperlink>
    </w:p>
    <w:p>
      <w:pPr>
        <w:pStyle w:val="Compact"/>
        <w:numPr>
          <w:ilvl w:val="0"/>
          <w:numId w:val="1045"/>
        </w:numPr>
      </w:pPr>
      <w:r>
        <w:t xml:space="preserve">Taylor L, Wiebusch M, Bisset LM, Coombes BK.</w:t>
      </w:r>
      <w:r>
        <w:t xml:space="preserve"> </w:t>
      </w:r>
      <w:r>
        <w:rPr>
          <w:i/>
          <w:iCs/>
        </w:rPr>
        <w:t xml:space="preserve">Adherence to exercise in lateral elbow tendinopathy: a scoping review.</w:t>
      </w:r>
      <w:r>
        <w:t xml:space="preserve"> </w:t>
      </w:r>
      <w:r>
        <w:t xml:space="preserve">Musculoskelet Sci Pract 2024;72:102978.</w:t>
      </w:r>
      <w:r>
        <w:t xml:space="preserve"> </w:t>
      </w:r>
      <w:hyperlink r:id="rId131">
        <w:r>
          <w:rPr>
            <w:rStyle w:val="Hyperlink"/>
          </w:rPr>
          <w:t xml:space="preserve">PMID 38820868</w:t>
        </w:r>
      </w:hyperlink>
    </w:p>
    <w:p>
      <w:pPr>
        <w:pStyle w:val="Compact"/>
        <w:numPr>
          <w:ilvl w:val="0"/>
          <w:numId w:val="1045"/>
        </w:numPr>
      </w:pPr>
      <w:r>
        <w:t xml:space="preserve">Otoshi K, Takegami M, Sekiguchi M, et al. </w:t>
      </w:r>
      <w:r>
        <w:rPr>
          <w:i/>
          <w:iCs/>
        </w:rPr>
        <w:t xml:space="preserve">Association between kyphosis and subacromial impingement syndrome: LOHAS study.</w:t>
      </w:r>
      <w:r>
        <w:t xml:space="preserve"> </w:t>
      </w:r>
      <w:r>
        <w:t xml:space="preserve">— dato usato: glicemia ed epicondilite laterale nella coorte LOHAS. SpringerPlus 2015;4:407.</w:t>
      </w:r>
      <w:r>
        <w:t xml:space="preserve"> </w:t>
      </w:r>
      <w:hyperlink r:id="rId132">
        <w:r>
          <w:rPr>
            <w:rStyle w:val="Hyperlink"/>
          </w:rPr>
          <w:t xml:space="preserve">PMID 26266078</w:t>
        </w:r>
      </w:hyperlink>
    </w:p>
    <w:p>
      <w:pPr>
        <w:pStyle w:val="Compact"/>
        <w:numPr>
          <w:ilvl w:val="0"/>
          <w:numId w:val="1045"/>
        </w:numPr>
      </w:pPr>
      <w:r>
        <w:t xml:space="preserve">Persson R, Jick S.</w:t>
      </w:r>
      <w:r>
        <w:t xml:space="preserve"> </w:t>
      </w:r>
      <w:r>
        <w:rPr>
          <w:i/>
          <w:iCs/>
        </w:rPr>
        <w:t xml:space="preserve">Clinical implications of the association between fluoroquinolones and tendon rupture: the magnitude of the effect with and without corticosteroids.</w:t>
      </w:r>
      <w:r>
        <w:t xml:space="preserve"> </w:t>
      </w:r>
      <w:r>
        <w:t xml:space="preserve">Br J Clin Pharmacol 2019;85(5):949-959.</w:t>
      </w:r>
      <w:r>
        <w:t xml:space="preserve"> </w:t>
      </w:r>
      <w:hyperlink r:id="rId133">
        <w:r>
          <w:rPr>
            <w:rStyle w:val="Hyperlink"/>
          </w:rPr>
          <w:t xml:space="preserve">PMID 30682225</w:t>
        </w:r>
      </w:hyperlink>
    </w:p>
    <w:p>
      <w:pPr>
        <w:pStyle w:val="Compact"/>
        <w:numPr>
          <w:ilvl w:val="0"/>
          <w:numId w:val="1045"/>
        </w:numPr>
      </w:pPr>
      <w:r>
        <w:t xml:space="preserve">Margaretten ME, Kohlwes J, Moore D, Bent S.</w:t>
      </w:r>
      <w:r>
        <w:t xml:space="preserve"> </w:t>
      </w:r>
      <w:r>
        <w:rPr>
          <w:i/>
          <w:iCs/>
        </w:rPr>
        <w:t xml:space="preserve">Does this adult patient have septic arthritis?</w:t>
      </w:r>
      <w:r>
        <w:t xml:space="preserve"> </w:t>
      </w:r>
      <w:r>
        <w:t xml:space="preserve">JAMA 2007;297(13):1478-1488.</w:t>
      </w:r>
      <w:r>
        <w:t xml:space="preserve"> </w:t>
      </w:r>
      <w:hyperlink r:id="rId134">
        <w:r>
          <w:rPr>
            <w:rStyle w:val="Hyperlink"/>
          </w:rPr>
          <w:t xml:space="preserve">PMID 17405973</w:t>
        </w:r>
      </w:hyperlink>
    </w:p>
    <w:p>
      <w:pPr>
        <w:pStyle w:val="Compact"/>
        <w:numPr>
          <w:ilvl w:val="0"/>
          <w:numId w:val="1045"/>
        </w:numPr>
      </w:pPr>
      <w:r>
        <w:t xml:space="preserve">Leung B, Treleaven J, Dinsdale A, Marsh L, Thomas L.</w:t>
      </w:r>
      <w:r>
        <w:t xml:space="preserve"> </w:t>
      </w:r>
      <w:r>
        <w:rPr>
          <w:i/>
          <w:iCs/>
        </w:rPr>
        <w:t xml:space="preserve">Serious adverse events associated with conservative physical procedures directed towards the cervical spine: a systematic review.</w:t>
      </w:r>
      <w:r>
        <w:t xml:space="preserve"> </w:t>
      </w:r>
      <w:r>
        <w:t xml:space="preserve">J Bodyw Mov Ther 2025;41:56-77.</w:t>
      </w:r>
      <w:r>
        <w:t xml:space="preserve"> </w:t>
      </w:r>
      <w:hyperlink r:id="rId135">
        <w:r>
          <w:rPr>
            <w:rStyle w:val="Hyperlink"/>
          </w:rPr>
          <w:t xml:space="preserve">PMID 39663097</w:t>
        </w:r>
      </w:hyperlink>
    </w:p>
    <w:p>
      <w:pPr>
        <w:pStyle w:val="Compact"/>
        <w:numPr>
          <w:ilvl w:val="0"/>
          <w:numId w:val="1045"/>
        </w:numPr>
      </w:pPr>
      <w:r>
        <w:t xml:space="preserve">Moon DK, D’Lima DD, Bang JY.</w:t>
      </w:r>
      <w:r>
        <w:t xml:space="preserve"> </w:t>
      </w:r>
      <w:r>
        <w:rPr>
          <w:i/>
          <w:iCs/>
        </w:rPr>
        <w:t xml:space="preserve">Clinical outcomes of radial collateral ligament repair in recalcitrant lateral epicondylitis with mild elbow instability following repeated steroid injections.</w:t>
      </w:r>
      <w:r>
        <w:t xml:space="preserve"> </w:t>
      </w:r>
      <w:r>
        <w:t xml:space="preserve">J Clin Med 2025.</w:t>
      </w:r>
      <w:r>
        <w:t xml:space="preserve"> </w:t>
      </w:r>
      <w:hyperlink r:id="rId136">
        <w:r>
          <w:rPr>
            <w:rStyle w:val="Hyperlink"/>
          </w:rPr>
          <w:t xml:space="preserve">PMID 41010677</w:t>
        </w:r>
      </w:hyperlink>
    </w:p>
    <w:p>
      <w:pPr>
        <w:pStyle w:val="Compact"/>
        <w:numPr>
          <w:ilvl w:val="0"/>
          <w:numId w:val="1045"/>
        </w:numPr>
      </w:pPr>
      <w:r>
        <w:t xml:space="preserve">Kosek E, Clauw D, Nijs J, et al. </w:t>
      </w:r>
      <w:r>
        <w:rPr>
          <w:i/>
          <w:iCs/>
        </w:rPr>
        <w:t xml:space="preserve">Chronic nociplastic pain affecting the musculoskeletal system: clinical criteria and grading system.</w:t>
      </w:r>
      <w:r>
        <w:t xml:space="preserve"> </w:t>
      </w:r>
      <w:r>
        <w:t xml:space="preserve">Pain 2021;162(11):2629-2634.</w:t>
      </w:r>
      <w:r>
        <w:t xml:space="preserve"> </w:t>
      </w:r>
      <w:hyperlink r:id="rId137">
        <w:r>
          <w:rPr>
            <w:rStyle w:val="Hyperlink"/>
          </w:rPr>
          <w:t xml:space="preserve">PMID 33974577</w:t>
        </w:r>
      </w:hyperlink>
    </w:p>
    <w:p>
      <w:pPr>
        <w:pStyle w:val="Compact"/>
        <w:numPr>
          <w:ilvl w:val="0"/>
          <w:numId w:val="1045"/>
        </w:numPr>
      </w:pPr>
      <w:r>
        <w:t xml:space="preserve">Lim ECW, Sterling M, Vicenzino B.</w:t>
      </w:r>
      <w:r>
        <w:t xml:space="preserve"> </w:t>
      </w:r>
      <w:r>
        <w:rPr>
          <w:i/>
          <w:iCs/>
        </w:rPr>
        <w:t xml:space="preserve">Chronic lateral epicondylalgia does not exhibit mechanical pain modulation in response to noxious conditioning heat stimulus.</w:t>
      </w:r>
      <w:r>
        <w:t xml:space="preserve"> </w:t>
      </w:r>
      <w:r>
        <w:t xml:space="preserve">Clin J Pain 2017;33(1):32-39.</w:t>
      </w:r>
      <w:r>
        <w:t xml:space="preserve"> </w:t>
      </w:r>
      <w:hyperlink r:id="rId138">
        <w:r>
          <w:rPr>
            <w:rStyle w:val="Hyperlink"/>
          </w:rPr>
          <w:t xml:space="preserve">PMID 28060194</w:t>
        </w:r>
      </w:hyperlink>
    </w:p>
    <w:p>
      <w:pPr>
        <w:pStyle w:val="Compact"/>
        <w:numPr>
          <w:ilvl w:val="0"/>
          <w:numId w:val="1045"/>
        </w:numPr>
      </w:pPr>
      <w:r>
        <w:t xml:space="preserve">Paungmali A, O’Leary S, Souvlis T, Vicenzino B.</w:t>
      </w:r>
      <w:r>
        <w:t xml:space="preserve"> </w:t>
      </w:r>
      <w:r>
        <w:rPr>
          <w:i/>
          <w:iCs/>
        </w:rPr>
        <w:t xml:space="preserve">Naloxone fails to antagonize initial hypoalgesic effect of a manual therapy treatment for lateral epicondylalgia.</w:t>
      </w:r>
      <w:r>
        <w:t xml:space="preserve"> </w:t>
      </w:r>
      <w:r>
        <w:t xml:space="preserve">J Manipulative Physiol Ther 2004;27(3):180-185.</w:t>
      </w:r>
      <w:r>
        <w:t xml:space="preserve"> </w:t>
      </w:r>
      <w:hyperlink r:id="rId139">
        <w:r>
          <w:rPr>
            <w:rStyle w:val="Hyperlink"/>
          </w:rPr>
          <w:t xml:space="preserve">PMID 15129200</w:t>
        </w:r>
      </w:hyperlink>
    </w:p>
    <w:p>
      <w:pPr>
        <w:pStyle w:val="Compact"/>
        <w:numPr>
          <w:ilvl w:val="0"/>
          <w:numId w:val="1045"/>
        </w:numPr>
      </w:pPr>
      <w:r>
        <w:t xml:space="preserve">Paungmali A, Vicenzino B, Smith M.</w:t>
      </w:r>
      <w:r>
        <w:t xml:space="preserve"> </w:t>
      </w:r>
      <w:r>
        <w:rPr>
          <w:i/>
          <w:iCs/>
        </w:rPr>
        <w:t xml:space="preserve">Hypoalgesia induced by elbow manipulation in lateral epicondylalgia does not exhibit tolerance.</w:t>
      </w:r>
      <w:r>
        <w:t xml:space="preserve"> </w:t>
      </w:r>
      <w:r>
        <w:t xml:space="preserve">J Pain 2003;4(8):448-454.</w:t>
      </w:r>
      <w:r>
        <w:t xml:space="preserve"> </w:t>
      </w:r>
      <w:hyperlink r:id="rId140">
        <w:r>
          <w:rPr>
            <w:rStyle w:val="Hyperlink"/>
          </w:rPr>
          <w:t xml:space="preserve">PMID 14622665</w:t>
        </w:r>
      </w:hyperlink>
    </w:p>
    <w:p>
      <w:pPr>
        <w:pStyle w:val="Compact"/>
        <w:numPr>
          <w:ilvl w:val="0"/>
          <w:numId w:val="1045"/>
        </w:numPr>
      </w:pPr>
      <w:r>
        <w:t xml:space="preserve">Smidt N, Lewis M, van der Windt DAWM, et al. </w:t>
      </w:r>
      <w:r>
        <w:rPr>
          <w:i/>
          <w:iCs/>
        </w:rPr>
        <w:t xml:space="preserve">Lateral epicondylitis in general practice: course and prognostic indicators of outcome.</w:t>
      </w:r>
      <w:r>
        <w:t xml:space="preserve"> </w:t>
      </w:r>
      <w:r>
        <w:t xml:space="preserve">J Rheumatol 2006;33(10):2053-2059.</w:t>
      </w:r>
      <w:r>
        <w:t xml:space="preserve"> </w:t>
      </w:r>
      <w:hyperlink r:id="rId141">
        <w:r>
          <w:rPr>
            <w:rStyle w:val="Hyperlink"/>
          </w:rPr>
          <w:t xml:space="preserve">PMID 16881095</w:t>
        </w:r>
      </w:hyperlink>
    </w:p>
    <w:p>
      <w:pPr>
        <w:pStyle w:val="Compact"/>
        <w:numPr>
          <w:ilvl w:val="0"/>
          <w:numId w:val="1045"/>
        </w:numPr>
      </w:pPr>
      <w:r>
        <w:t xml:space="preserve">Silbernagel KG, Thomeé R, Eriksson BI, Karlsson J.</w:t>
      </w:r>
      <w:r>
        <w:t xml:space="preserve"> </w:t>
      </w:r>
      <w:r>
        <w:rPr>
          <w:i/>
          <w:iCs/>
        </w:rPr>
        <w:t xml:space="preserve">Continued sports activity, using a pain-monitoring model, during rehabilitation in patients with Achilles tendinopathy: a randomized controlled study.</w:t>
      </w:r>
      <w:r>
        <w:t xml:space="preserve"> </w:t>
      </w:r>
      <w:r>
        <w:t xml:space="preserve">Am J Sports Med 2007;35(6):897-906.</w:t>
      </w:r>
      <w:r>
        <w:t xml:space="preserve"> </w:t>
      </w:r>
      <w:hyperlink r:id="rId142">
        <w:r>
          <w:rPr>
            <w:rStyle w:val="Hyperlink"/>
          </w:rPr>
          <w:t xml:space="preserve">PMID 17307888</w:t>
        </w:r>
      </w:hyperlink>
    </w:p>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3" Target="https://pubmed.ncbi.nlm.nih.gov/10459762/" TargetMode="External" /><Relationship Type="http://schemas.openxmlformats.org/officeDocument/2006/relationships/hyperlink" Id="rId88" Target="https://pubmed.ncbi.nlm.nih.gov/11879861/" TargetMode="External" /><Relationship Type="http://schemas.openxmlformats.org/officeDocument/2006/relationships/hyperlink" Id="rId84" Target="https://pubmed.ncbi.nlm.nih.gov/11895810/" TargetMode="External" /><Relationship Type="http://schemas.openxmlformats.org/officeDocument/2006/relationships/hyperlink" Id="rId98" Target="https://pubmed.ncbi.nlm.nih.gov/12161838/" TargetMode="External" /><Relationship Type="http://schemas.openxmlformats.org/officeDocument/2006/relationships/hyperlink" Id="rId92" Target="https://pubmed.ncbi.nlm.nih.gov/12367535/" TargetMode="External" /><Relationship Type="http://schemas.openxmlformats.org/officeDocument/2006/relationships/hyperlink" Id="rId109" Target="https://pubmed.ncbi.nlm.nih.gov/12665408/" TargetMode="External" /><Relationship Type="http://schemas.openxmlformats.org/officeDocument/2006/relationships/hyperlink" Id="rId140" Target="https://pubmed.ncbi.nlm.nih.gov/14622665/" TargetMode="External" /><Relationship Type="http://schemas.openxmlformats.org/officeDocument/2006/relationships/hyperlink" Id="rId139" Target="https://pubmed.ncbi.nlm.nih.gov/15129200/" TargetMode="External" /><Relationship Type="http://schemas.openxmlformats.org/officeDocument/2006/relationships/hyperlink" Id="rId81" Target="https://pubmed.ncbi.nlm.nih.gov/15708885/" TargetMode="External" /><Relationship Type="http://schemas.openxmlformats.org/officeDocument/2006/relationships/hyperlink" Id="rId117" Target="https://pubmed.ncbi.nlm.nih.gov/15914074/" TargetMode="External" /><Relationship Type="http://schemas.openxmlformats.org/officeDocument/2006/relationships/hyperlink" Id="rId141" Target="https://pubmed.ncbi.nlm.nih.gov/16881095/" TargetMode="External" /><Relationship Type="http://schemas.openxmlformats.org/officeDocument/2006/relationships/hyperlink" Id="rId86" Target="https://pubmed.ncbi.nlm.nih.gov/16968862/" TargetMode="External" /><Relationship Type="http://schemas.openxmlformats.org/officeDocument/2006/relationships/hyperlink" Id="rId119" Target="https://pubmed.ncbi.nlm.nih.gov/17012266/" TargetMode="External" /><Relationship Type="http://schemas.openxmlformats.org/officeDocument/2006/relationships/hyperlink" Id="rId142" Target="https://pubmed.ncbi.nlm.nih.gov/17307888/" TargetMode="External" /><Relationship Type="http://schemas.openxmlformats.org/officeDocument/2006/relationships/hyperlink" Id="rId134" Target="https://pubmed.ncbi.nlm.nih.gov/17405973/" TargetMode="External" /><Relationship Type="http://schemas.openxmlformats.org/officeDocument/2006/relationships/hyperlink" Id="rId103" Target="https://pubmed.ncbi.nlm.nih.gov/17600835/" TargetMode="External" /><Relationship Type="http://schemas.openxmlformats.org/officeDocument/2006/relationships/hyperlink" Id="rId96" Target="https://pubmed.ncbi.nlm.nih.gov/17656438/" TargetMode="External" /><Relationship Type="http://schemas.openxmlformats.org/officeDocument/2006/relationships/hyperlink" Id="rId93" Target="https://pubmed.ncbi.nlm.nih.gov/17768192/" TargetMode="External" /><Relationship Type="http://schemas.openxmlformats.org/officeDocument/2006/relationships/hyperlink" Id="rId95" Target="https://pubmed.ncbi.nlm.nih.gov/17942362/" TargetMode="External" /><Relationship Type="http://schemas.openxmlformats.org/officeDocument/2006/relationships/hyperlink" Id="rId121" Target="https://pubmed.ncbi.nlm.nih.gov/19027342/" TargetMode="External" /><Relationship Type="http://schemas.openxmlformats.org/officeDocument/2006/relationships/hyperlink" Id="rId126" Target="https://pubmed.ncbi.nlm.nih.gov/20970844/" TargetMode="External" /><Relationship Type="http://schemas.openxmlformats.org/officeDocument/2006/relationships/hyperlink" Id="rId87" Target="https://pubmed.ncbi.nlm.nih.gov/22490998/" TargetMode="External" /><Relationship Type="http://schemas.openxmlformats.org/officeDocument/2006/relationships/hyperlink" Id="rId124" Target="https://pubmed.ncbi.nlm.nih.gov/23139428/" TargetMode="External" /><Relationship Type="http://schemas.openxmlformats.org/officeDocument/2006/relationships/hyperlink" Id="rId122" Target="https://pubmed.ncbi.nlm.nih.gov/23141188/" TargetMode="External" /><Relationship Type="http://schemas.openxmlformats.org/officeDocument/2006/relationships/hyperlink" Id="rId90" Target="https://pubmed.ncbi.nlm.nih.gov/23328738/" TargetMode="External" /><Relationship Type="http://schemas.openxmlformats.org/officeDocument/2006/relationships/hyperlink" Id="rId118" Target="https://pubmed.ncbi.nlm.nih.gov/23385272/" TargetMode="External" /><Relationship Type="http://schemas.openxmlformats.org/officeDocument/2006/relationships/hyperlink" Id="rId100" Target="https://pubmed.ncbi.nlm.nih.gov/24144533/" TargetMode="External" /><Relationship Type="http://schemas.openxmlformats.org/officeDocument/2006/relationships/hyperlink" Id="rId102" Target="https://pubmed.ncbi.nlm.nih.gov/24480912/" TargetMode="External" /><Relationship Type="http://schemas.openxmlformats.org/officeDocument/2006/relationships/hyperlink" Id="rId94" Target="https://pubmed.ncbi.nlm.nih.gov/25579691/" TargetMode="External" /><Relationship Type="http://schemas.openxmlformats.org/officeDocument/2006/relationships/hyperlink" Id="rId89" Target="https://pubmed.ncbi.nlm.nih.gov/25656546/" TargetMode="External" /><Relationship Type="http://schemas.openxmlformats.org/officeDocument/2006/relationships/hyperlink" Id="rId132" Target="https://pubmed.ncbi.nlm.nih.gov/26266078/" TargetMode="External" /><Relationship Type="http://schemas.openxmlformats.org/officeDocument/2006/relationships/hyperlink" Id="rId112" Target="https://pubmed.ncbi.nlm.nih.gov/26498229/" TargetMode="External" /><Relationship Type="http://schemas.openxmlformats.org/officeDocument/2006/relationships/hyperlink" Id="rId113" Target="https://pubmed.ncbi.nlm.nih.gov/26598716/" TargetMode="External" /><Relationship Type="http://schemas.openxmlformats.org/officeDocument/2006/relationships/hyperlink" Id="rId111" Target="https://pubmed.ncbi.nlm.nih.gov/26889612/" TargetMode="External" /><Relationship Type="http://schemas.openxmlformats.org/officeDocument/2006/relationships/hyperlink" Id="rId97" Target="https://pubmed.ncbi.nlm.nih.gov/27747846/" TargetMode="External" /><Relationship Type="http://schemas.openxmlformats.org/officeDocument/2006/relationships/hyperlink" Id="rId138" Target="https://pubmed.ncbi.nlm.nih.gov/28060194/" TargetMode="External" /><Relationship Type="http://schemas.openxmlformats.org/officeDocument/2006/relationships/hyperlink" Id="rId85" Target="https://pubmed.ncbi.nlm.nih.gov/28119539/" TargetMode="External" /><Relationship Type="http://schemas.openxmlformats.org/officeDocument/2006/relationships/hyperlink" Id="rId99" Target="https://pubmed.ncbi.nlm.nih.gov/28540316/" TargetMode="External" /><Relationship Type="http://schemas.openxmlformats.org/officeDocument/2006/relationships/hyperlink" Id="rId106" Target="https://pubmed.ncbi.nlm.nih.gov/29498885/" TargetMode="External" /><Relationship Type="http://schemas.openxmlformats.org/officeDocument/2006/relationships/hyperlink" Id="rId101" Target="https://pubmed.ncbi.nlm.nih.gov/29620559/" TargetMode="External" /><Relationship Type="http://schemas.openxmlformats.org/officeDocument/2006/relationships/hyperlink" Id="rId107" Target="https://pubmed.ncbi.nlm.nih.gov/29705077/" TargetMode="External" /><Relationship Type="http://schemas.openxmlformats.org/officeDocument/2006/relationships/hyperlink" Id="rId133" Target="https://pubmed.ncbi.nlm.nih.gov/30682225/" TargetMode="External" /><Relationship Type="http://schemas.openxmlformats.org/officeDocument/2006/relationships/hyperlink" Id="rId123" Target="https://pubmed.ncbi.nlm.nih.gov/30904519/" TargetMode="External" /><Relationship Type="http://schemas.openxmlformats.org/officeDocument/2006/relationships/hyperlink" Id="rId129" Target="https://pubmed.ncbi.nlm.nih.gov/31425384/" TargetMode="External" /><Relationship Type="http://schemas.openxmlformats.org/officeDocument/2006/relationships/hyperlink" Id="rId105" Target="https://pubmed.ncbi.nlm.nih.gov/32079999/" TargetMode="External" /><Relationship Type="http://schemas.openxmlformats.org/officeDocument/2006/relationships/hyperlink" Id="rId125" Target="https://pubmed.ncbi.nlm.nih.gov/32452393/" TargetMode="External" /><Relationship Type="http://schemas.openxmlformats.org/officeDocument/2006/relationships/hyperlink" Id="rId130" Target="https://pubmed.ncbi.nlm.nih.gov/32818059/" TargetMode="External" /><Relationship Type="http://schemas.openxmlformats.org/officeDocument/2006/relationships/hyperlink" Id="rId80" Target="https://pubmed.ncbi.nlm.nih.gov/33148599/" TargetMode="External" /><Relationship Type="http://schemas.openxmlformats.org/officeDocument/2006/relationships/hyperlink" Id="rId82" Target="https://pubmed.ncbi.nlm.nih.gov/33414454/" TargetMode="External" /><Relationship Type="http://schemas.openxmlformats.org/officeDocument/2006/relationships/hyperlink" Id="rId104" Target="https://pubmed.ncbi.nlm.nih.gov/33440342/" TargetMode="External" /><Relationship Type="http://schemas.openxmlformats.org/officeDocument/2006/relationships/hyperlink" Id="rId114" Target="https://pubmed.ncbi.nlm.nih.gov/33772973/" TargetMode="External" /><Relationship Type="http://schemas.openxmlformats.org/officeDocument/2006/relationships/hyperlink" Id="rId137" Target="https://pubmed.ncbi.nlm.nih.gov/33974577/" TargetMode="External" /><Relationship Type="http://schemas.openxmlformats.org/officeDocument/2006/relationships/hyperlink" Id="rId120" Target="https://pubmed.ncbi.nlm.nih.gov/34590307/" TargetMode="External" /><Relationship Type="http://schemas.openxmlformats.org/officeDocument/2006/relationships/hyperlink" Id="rId128" Target="https://pubmed.ncbi.nlm.nih.gov/35114892/" TargetMode="External" /><Relationship Type="http://schemas.openxmlformats.org/officeDocument/2006/relationships/hyperlink" Id="rId116" Target="https://pubmed.ncbi.nlm.nih.gov/36099171/" TargetMode="External" /><Relationship Type="http://schemas.openxmlformats.org/officeDocument/2006/relationships/hyperlink" Id="rId115" Target="https://pubmed.ncbi.nlm.nih.gov/36453071/" TargetMode="External" /><Relationship Type="http://schemas.openxmlformats.org/officeDocument/2006/relationships/hyperlink" Id="rId127" Target="https://pubmed.ncbi.nlm.nih.gov/38802121/" TargetMode="External" /><Relationship Type="http://schemas.openxmlformats.org/officeDocument/2006/relationships/hyperlink" Id="rId131" Target="https://pubmed.ncbi.nlm.nih.gov/38820868/" TargetMode="External" /><Relationship Type="http://schemas.openxmlformats.org/officeDocument/2006/relationships/hyperlink" Id="rId135" Target="https://pubmed.ncbi.nlm.nih.gov/39663097/" TargetMode="External" /><Relationship Type="http://schemas.openxmlformats.org/officeDocument/2006/relationships/hyperlink" Id="rId91" Target="https://pubmed.ncbi.nlm.nih.gov/40853587/" TargetMode="External" /><Relationship Type="http://schemas.openxmlformats.org/officeDocument/2006/relationships/hyperlink" Id="rId136" Target="https://pubmed.ncbi.nlm.nih.gov/41010677/" TargetMode="External" /><Relationship Type="http://schemas.openxmlformats.org/officeDocument/2006/relationships/hyperlink" Id="rId108" Target="https://pubmed.ncbi.nlm.nih.gov/9252000/" TargetMode="External" /><Relationship Type="http://schemas.openxmlformats.org/officeDocument/2006/relationships/hyperlink" Id="rId110" Target="https://pubmed.ncbi.nlm.nih.gov/9777544/" TargetMode="External" /></Relationships>
</file>

<file path=word/_rels/footnotes.xml.rels><?xml version="1.0" encoding="UTF-8"?><Relationships xmlns="http://schemas.openxmlformats.org/package/2006/relationships"><Relationship Type="http://schemas.openxmlformats.org/officeDocument/2006/relationships/hyperlink" Id="rId83" Target="https://pubmed.ncbi.nlm.nih.gov/10459762/" TargetMode="External" /><Relationship Type="http://schemas.openxmlformats.org/officeDocument/2006/relationships/hyperlink" Id="rId88" Target="https://pubmed.ncbi.nlm.nih.gov/11879861/" TargetMode="External" /><Relationship Type="http://schemas.openxmlformats.org/officeDocument/2006/relationships/hyperlink" Id="rId84" Target="https://pubmed.ncbi.nlm.nih.gov/11895810/" TargetMode="External" /><Relationship Type="http://schemas.openxmlformats.org/officeDocument/2006/relationships/hyperlink" Id="rId98" Target="https://pubmed.ncbi.nlm.nih.gov/12161838/" TargetMode="External" /><Relationship Type="http://schemas.openxmlformats.org/officeDocument/2006/relationships/hyperlink" Id="rId92" Target="https://pubmed.ncbi.nlm.nih.gov/12367535/" TargetMode="External" /><Relationship Type="http://schemas.openxmlformats.org/officeDocument/2006/relationships/hyperlink" Id="rId109" Target="https://pubmed.ncbi.nlm.nih.gov/12665408/" TargetMode="External" /><Relationship Type="http://schemas.openxmlformats.org/officeDocument/2006/relationships/hyperlink" Id="rId140" Target="https://pubmed.ncbi.nlm.nih.gov/14622665/" TargetMode="External" /><Relationship Type="http://schemas.openxmlformats.org/officeDocument/2006/relationships/hyperlink" Id="rId139" Target="https://pubmed.ncbi.nlm.nih.gov/15129200/" TargetMode="External" /><Relationship Type="http://schemas.openxmlformats.org/officeDocument/2006/relationships/hyperlink" Id="rId81" Target="https://pubmed.ncbi.nlm.nih.gov/15708885/" TargetMode="External" /><Relationship Type="http://schemas.openxmlformats.org/officeDocument/2006/relationships/hyperlink" Id="rId117" Target="https://pubmed.ncbi.nlm.nih.gov/15914074/" TargetMode="External" /><Relationship Type="http://schemas.openxmlformats.org/officeDocument/2006/relationships/hyperlink" Id="rId141" Target="https://pubmed.ncbi.nlm.nih.gov/16881095/" TargetMode="External" /><Relationship Type="http://schemas.openxmlformats.org/officeDocument/2006/relationships/hyperlink" Id="rId86" Target="https://pubmed.ncbi.nlm.nih.gov/16968862/" TargetMode="External" /><Relationship Type="http://schemas.openxmlformats.org/officeDocument/2006/relationships/hyperlink" Id="rId119" Target="https://pubmed.ncbi.nlm.nih.gov/17012266/" TargetMode="External" /><Relationship Type="http://schemas.openxmlformats.org/officeDocument/2006/relationships/hyperlink" Id="rId142" Target="https://pubmed.ncbi.nlm.nih.gov/17307888/" TargetMode="External" /><Relationship Type="http://schemas.openxmlformats.org/officeDocument/2006/relationships/hyperlink" Id="rId134" Target="https://pubmed.ncbi.nlm.nih.gov/17405973/" TargetMode="External" /><Relationship Type="http://schemas.openxmlformats.org/officeDocument/2006/relationships/hyperlink" Id="rId103" Target="https://pubmed.ncbi.nlm.nih.gov/17600835/" TargetMode="External" /><Relationship Type="http://schemas.openxmlformats.org/officeDocument/2006/relationships/hyperlink" Id="rId96" Target="https://pubmed.ncbi.nlm.nih.gov/17656438/" TargetMode="External" /><Relationship Type="http://schemas.openxmlformats.org/officeDocument/2006/relationships/hyperlink" Id="rId93" Target="https://pubmed.ncbi.nlm.nih.gov/17768192/" TargetMode="External" /><Relationship Type="http://schemas.openxmlformats.org/officeDocument/2006/relationships/hyperlink" Id="rId95" Target="https://pubmed.ncbi.nlm.nih.gov/17942362/" TargetMode="External" /><Relationship Type="http://schemas.openxmlformats.org/officeDocument/2006/relationships/hyperlink" Id="rId121" Target="https://pubmed.ncbi.nlm.nih.gov/19027342/" TargetMode="External" /><Relationship Type="http://schemas.openxmlformats.org/officeDocument/2006/relationships/hyperlink" Id="rId126" Target="https://pubmed.ncbi.nlm.nih.gov/20970844/" TargetMode="External" /><Relationship Type="http://schemas.openxmlformats.org/officeDocument/2006/relationships/hyperlink" Id="rId87" Target="https://pubmed.ncbi.nlm.nih.gov/22490998/" TargetMode="External" /><Relationship Type="http://schemas.openxmlformats.org/officeDocument/2006/relationships/hyperlink" Id="rId124" Target="https://pubmed.ncbi.nlm.nih.gov/23139428/" TargetMode="External" /><Relationship Type="http://schemas.openxmlformats.org/officeDocument/2006/relationships/hyperlink" Id="rId122" Target="https://pubmed.ncbi.nlm.nih.gov/23141188/" TargetMode="External" /><Relationship Type="http://schemas.openxmlformats.org/officeDocument/2006/relationships/hyperlink" Id="rId90" Target="https://pubmed.ncbi.nlm.nih.gov/23328738/" TargetMode="External" /><Relationship Type="http://schemas.openxmlformats.org/officeDocument/2006/relationships/hyperlink" Id="rId118" Target="https://pubmed.ncbi.nlm.nih.gov/23385272/" TargetMode="External" /><Relationship Type="http://schemas.openxmlformats.org/officeDocument/2006/relationships/hyperlink" Id="rId100" Target="https://pubmed.ncbi.nlm.nih.gov/24144533/" TargetMode="External" /><Relationship Type="http://schemas.openxmlformats.org/officeDocument/2006/relationships/hyperlink" Id="rId102" Target="https://pubmed.ncbi.nlm.nih.gov/24480912/" TargetMode="External" /><Relationship Type="http://schemas.openxmlformats.org/officeDocument/2006/relationships/hyperlink" Id="rId94" Target="https://pubmed.ncbi.nlm.nih.gov/25579691/" TargetMode="External" /><Relationship Type="http://schemas.openxmlformats.org/officeDocument/2006/relationships/hyperlink" Id="rId89" Target="https://pubmed.ncbi.nlm.nih.gov/25656546/" TargetMode="External" /><Relationship Type="http://schemas.openxmlformats.org/officeDocument/2006/relationships/hyperlink" Id="rId132" Target="https://pubmed.ncbi.nlm.nih.gov/26266078/" TargetMode="External" /><Relationship Type="http://schemas.openxmlformats.org/officeDocument/2006/relationships/hyperlink" Id="rId112" Target="https://pubmed.ncbi.nlm.nih.gov/26498229/" TargetMode="External" /><Relationship Type="http://schemas.openxmlformats.org/officeDocument/2006/relationships/hyperlink" Id="rId113" Target="https://pubmed.ncbi.nlm.nih.gov/26598716/" TargetMode="External" /><Relationship Type="http://schemas.openxmlformats.org/officeDocument/2006/relationships/hyperlink" Id="rId111" Target="https://pubmed.ncbi.nlm.nih.gov/26889612/" TargetMode="External" /><Relationship Type="http://schemas.openxmlformats.org/officeDocument/2006/relationships/hyperlink" Id="rId97" Target="https://pubmed.ncbi.nlm.nih.gov/27747846/" TargetMode="External" /><Relationship Type="http://schemas.openxmlformats.org/officeDocument/2006/relationships/hyperlink" Id="rId138" Target="https://pubmed.ncbi.nlm.nih.gov/28060194/" TargetMode="External" /><Relationship Type="http://schemas.openxmlformats.org/officeDocument/2006/relationships/hyperlink" Id="rId85" Target="https://pubmed.ncbi.nlm.nih.gov/28119539/" TargetMode="External" /><Relationship Type="http://schemas.openxmlformats.org/officeDocument/2006/relationships/hyperlink" Id="rId99" Target="https://pubmed.ncbi.nlm.nih.gov/28540316/" TargetMode="External" /><Relationship Type="http://schemas.openxmlformats.org/officeDocument/2006/relationships/hyperlink" Id="rId106" Target="https://pubmed.ncbi.nlm.nih.gov/29498885/" TargetMode="External" /><Relationship Type="http://schemas.openxmlformats.org/officeDocument/2006/relationships/hyperlink" Id="rId101" Target="https://pubmed.ncbi.nlm.nih.gov/29620559/" TargetMode="External" /><Relationship Type="http://schemas.openxmlformats.org/officeDocument/2006/relationships/hyperlink" Id="rId107" Target="https://pubmed.ncbi.nlm.nih.gov/29705077/" TargetMode="External" /><Relationship Type="http://schemas.openxmlformats.org/officeDocument/2006/relationships/hyperlink" Id="rId133" Target="https://pubmed.ncbi.nlm.nih.gov/30682225/" TargetMode="External" /><Relationship Type="http://schemas.openxmlformats.org/officeDocument/2006/relationships/hyperlink" Id="rId123" Target="https://pubmed.ncbi.nlm.nih.gov/30904519/" TargetMode="External" /><Relationship Type="http://schemas.openxmlformats.org/officeDocument/2006/relationships/hyperlink" Id="rId129" Target="https://pubmed.ncbi.nlm.nih.gov/31425384/" TargetMode="External" /><Relationship Type="http://schemas.openxmlformats.org/officeDocument/2006/relationships/hyperlink" Id="rId105" Target="https://pubmed.ncbi.nlm.nih.gov/32079999/" TargetMode="External" /><Relationship Type="http://schemas.openxmlformats.org/officeDocument/2006/relationships/hyperlink" Id="rId125" Target="https://pubmed.ncbi.nlm.nih.gov/32452393/" TargetMode="External" /><Relationship Type="http://schemas.openxmlformats.org/officeDocument/2006/relationships/hyperlink" Id="rId130" Target="https://pubmed.ncbi.nlm.nih.gov/32818059/" TargetMode="External" /><Relationship Type="http://schemas.openxmlformats.org/officeDocument/2006/relationships/hyperlink" Id="rId80" Target="https://pubmed.ncbi.nlm.nih.gov/33148599/" TargetMode="External" /><Relationship Type="http://schemas.openxmlformats.org/officeDocument/2006/relationships/hyperlink" Id="rId82" Target="https://pubmed.ncbi.nlm.nih.gov/33414454/" TargetMode="External" /><Relationship Type="http://schemas.openxmlformats.org/officeDocument/2006/relationships/hyperlink" Id="rId104" Target="https://pubmed.ncbi.nlm.nih.gov/33440342/" TargetMode="External" /><Relationship Type="http://schemas.openxmlformats.org/officeDocument/2006/relationships/hyperlink" Id="rId114" Target="https://pubmed.ncbi.nlm.nih.gov/33772973/" TargetMode="External" /><Relationship Type="http://schemas.openxmlformats.org/officeDocument/2006/relationships/hyperlink" Id="rId137" Target="https://pubmed.ncbi.nlm.nih.gov/33974577/" TargetMode="External" /><Relationship Type="http://schemas.openxmlformats.org/officeDocument/2006/relationships/hyperlink" Id="rId120" Target="https://pubmed.ncbi.nlm.nih.gov/34590307/" TargetMode="External" /><Relationship Type="http://schemas.openxmlformats.org/officeDocument/2006/relationships/hyperlink" Id="rId128" Target="https://pubmed.ncbi.nlm.nih.gov/35114892/" TargetMode="External" /><Relationship Type="http://schemas.openxmlformats.org/officeDocument/2006/relationships/hyperlink" Id="rId116" Target="https://pubmed.ncbi.nlm.nih.gov/36099171/" TargetMode="External" /><Relationship Type="http://schemas.openxmlformats.org/officeDocument/2006/relationships/hyperlink" Id="rId115" Target="https://pubmed.ncbi.nlm.nih.gov/36453071/" TargetMode="External" /><Relationship Type="http://schemas.openxmlformats.org/officeDocument/2006/relationships/hyperlink" Id="rId127" Target="https://pubmed.ncbi.nlm.nih.gov/38802121/" TargetMode="External" /><Relationship Type="http://schemas.openxmlformats.org/officeDocument/2006/relationships/hyperlink" Id="rId131" Target="https://pubmed.ncbi.nlm.nih.gov/38820868/" TargetMode="External" /><Relationship Type="http://schemas.openxmlformats.org/officeDocument/2006/relationships/hyperlink" Id="rId135" Target="https://pubmed.ncbi.nlm.nih.gov/39663097/" TargetMode="External" /><Relationship Type="http://schemas.openxmlformats.org/officeDocument/2006/relationships/hyperlink" Id="rId91" Target="https://pubmed.ncbi.nlm.nih.gov/40853587/" TargetMode="External" /><Relationship Type="http://schemas.openxmlformats.org/officeDocument/2006/relationships/hyperlink" Id="rId136" Target="https://pubmed.ncbi.nlm.nih.gov/41010677/" TargetMode="External" /><Relationship Type="http://schemas.openxmlformats.org/officeDocument/2006/relationships/hyperlink" Id="rId108" Target="https://pubmed.ncbi.nlm.nih.gov/9252000/" TargetMode="External" /><Relationship Type="http://schemas.openxmlformats.org/officeDocument/2006/relationships/hyperlink" Id="rId110" Target="https://pubmed.ncbi.nlm.nih.gov/97775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Epicondilite</dc:title>
  <dc:creator>Mobilitas — Direzione Osteopatica</dc:creator>
  <dc:language>it-IT</dc:language>
  <cp:keywords/>
  <dcterms:created xsi:type="dcterms:W3CDTF">2026-08-31T03:42:12Z</dcterms:created>
  <dcterms:modified xsi:type="dcterms:W3CDTF">2026-08-31T03:42:12Z</dcterms:modified>
</cp:coreProperties>
</file>

<file path=docProps/custom.xml><?xml version="1.0" encoding="utf-8"?>
<Properties xmlns="http://schemas.openxmlformats.org/officeDocument/2006/custom-properties" xmlns:vt="http://schemas.openxmlformats.org/officeDocument/2006/docPropsVTypes"/>
</file>