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9" w:name="mappa-concettuale-epicondilite"/>
    <w:p>
      <w:pPr>
        <w:pStyle w:val="Heading1"/>
      </w:pPr>
      <w:r>
        <w:t xml:space="preserve">Mappa concettuale — Epicondilite</w:t>
      </w:r>
    </w:p>
    <w:p>
      <w:pPr>
        <w:pStyle w:val="FirstParagraph"/>
      </w:pPr>
      <w:r>
        <w:rPr>
          <w:b/>
          <w:bCs/>
        </w:rPr>
        <w:t xml:space="preserve">Condizione:</w:t>
      </w:r>
      <w:r>
        <w:t xml:space="preserve"> </w:t>
      </w:r>
      <w:r>
        <w:t xml:space="preserve">epicondilite laterale (tendinopatia laterale di gomito) ·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Bill Vicenzino, University of Queensland ·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v7 finale (revisione di lingua, 6º livello)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31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1. La condizione in tre righe</w:t>
      </w:r>
    </w:p>
    <w:p>
      <w:pPr>
        <w:pStyle w:val="FirstParagraph"/>
      </w:pPr>
      <w:r>
        <w:t xml:space="preserve">È una tendinopatia dell’origine degli estensori del polso sull’epicondilo laterale, e la struttura più coinvolta è l’estensore radiale breve del carpo. Colpisce l’1,3% della popolazione adulta, con picco fra i 45 e i 54 anni; il fattore di esposizione più forte è la combinazione di ripetizione e forza. Da sola la condizione migliora in una quota importante dei casi entro un anno. Ma un paziente su dieci, fra quelli ancora sintomatici a sei mesi, arriva alla chirurgia.</w:t>
      </w:r>
    </w:p>
    <w:p>
      <w:r>
        <w:pict>
          <v:rect style="width:0;height:1.5pt" o:hralign="center" o:hrstd="t" o:hr="t"/>
        </w:pict>
      </w:r>
    </w:p>
    <w:bookmarkEnd w:id="9"/>
    <w:bookmarkStart w:id="10" w:name="la-catena-causale"/>
    <w:p>
      <w:pPr>
        <w:pStyle w:val="Heading2"/>
      </w:pPr>
      <w:r>
        <w:t xml:space="preserve">2. La catena causale</w:t>
      </w:r>
    </w:p>
    <w:p>
      <w:pPr>
        <w:pStyle w:val="FirstParagraph"/>
      </w:pPr>
      <w:r>
        <w:rPr>
          <w:rStyle w:val="VerbatimChar"/>
        </w:rPr>
        <w:t xml:space="preserve">gesto di presa ripetuto con forza, sempre nella stessa posizione → gli estensori del polso lavorano in stabilizzazione a ogni presa → il carico si concentra su un'origine tendinea piccola, con compressione contro il capitello a gomito esteso → la matrice si disorganizza e crescono microvasi e fibre sensitive → dolore alla presa, forza che cala, e il gesto quotidiano che ora supera la capacità residua</w:t>
      </w:r>
    </w:p>
    <w:p>
      <w:pPr>
        <w:pStyle w:val="BodyText"/>
      </w:pPr>
      <w:r>
        <w:rPr>
          <w:b/>
          <w:bCs/>
        </w:rPr>
        <w:t xml:space="preserve">La fisiologia che regge tutta la catena, e che spiega perché il riposo non è neutro.</w:t>
      </w:r>
      <w:r>
        <w:t xml:space="preserve"> </w:t>
      </w:r>
      <w:r>
        <w:t xml:space="preserve">Il tendine guadagna proprietà meccaniche sotto carico: 27 studi, 264 sani, dimensione d’effetto 0,70 sulla rigidità (Bohm, 2015, PMID 27747846). E le perde sotto scarico: −9,8% a due settimane, −29,3% a tre (de Boer, 2007, PMID 17656438).</w:t>
      </w:r>
      <w:r>
        <w:t xml:space="preserve"> </w:t>
      </w:r>
      <w:r>
        <w:rPr>
          <w:b/>
          <w:bCs/>
        </w:rPr>
        <w:t xml:space="preserve">Si costruisce in mesi, si smonta in poche settimane.</w:t>
      </w:r>
      <w:r>
        <w:t xml:space="preserve"> </w:t>
      </w:r>
      <w:r>
        <w:t xml:space="preserve">Sono misure prese su altri tendini e su soggetti sani: alzano l’etichetta del meccanismo, non quella della leva.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2"/>
      </w:pPr>
      <w:r>
        <w:t xml:space="preserve">3.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Tessuto che ha cambiato struttura</w:t>
            </w:r>
          </w:p>
        </w:tc>
        <w:tc>
          <w:tcPr/>
          <w:p>
            <w:pPr>
              <w:pStyle w:val="Compact"/>
            </w:pPr>
            <w:r>
              <w:t xml:space="preserve">Punto preciso, rigidità mattutina</w:t>
            </w:r>
          </w:p>
        </w:tc>
        <w:tc>
          <w:tcPr/>
          <w:p>
            <w:pPr>
              <w:pStyle w:val="Compact"/>
            </w:pPr>
            <w:r>
              <w:t xml:space="preserve">DIMOSTRATO il quadro istologico · PROBABILE che generi</w:t>
            </w:r>
            <w:r>
              <w:t xml:space="preserve"> </w:t>
            </w:r>
            <w:r>
              <w:rPr>
                <w:i/>
                <w:iCs/>
              </w:rPr>
              <w:t xml:space="preserve">questo</w:t>
            </w:r>
            <w:r>
              <w:t xml:space="preserve"> </w:t>
            </w:r>
            <w:r>
              <w:t xml:space="preserve">dolore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del dolore allargato</w:t>
            </w:r>
          </w:p>
        </w:tc>
        <w:tc>
          <w:tcPr/>
          <w:p>
            <w:pPr>
              <w:pStyle w:val="Compact"/>
            </w:pPr>
            <w:r>
              <w:t xml:space="preserve">Alterazioni anche sul braccio sano</w:t>
            </w:r>
          </w:p>
        </w:tc>
        <w:tc>
          <w:tcPr/>
          <w:p>
            <w:pPr>
              <w:pStyle w:val="Compact"/>
            </w:pPr>
            <w:r>
              <w:t xml:space="preserve">DIMOSTRATO le alterazioni · IPOTESI che causino la persistenza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Carico sempre nello stesso punto</w:t>
            </w:r>
          </w:p>
        </w:tc>
        <w:tc>
          <w:tcPr/>
          <w:p>
            <w:pPr>
              <w:pStyle w:val="Compact"/>
            </w:pPr>
            <w:r>
              <w:t xml:space="preserve">Peggiora a palmo in giù</w:t>
            </w:r>
          </w:p>
        </w:tc>
        <w:tc>
          <w:tcPr/>
          <w:p>
            <w:pPr>
              <w:pStyle w:val="Compact"/>
            </w:pPr>
            <w:r>
              <w:t xml:space="preserve">DIMOSTRATO l’esposizione · PROBABILE la compressione · IPOTESI che cambiare il gesto sposti il sintomo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Catena a monte che non partecipa</w:t>
            </w:r>
          </w:p>
        </w:tc>
        <w:tc>
          <w:tcPr/>
          <w:p>
            <w:pPr>
              <w:pStyle w:val="Compact"/>
            </w:pPr>
            <w:r>
              <w:t xml:space="preserve">Spalla asimmetrica, scapola debole</w:t>
            </w:r>
          </w:p>
        </w:tc>
        <w:tc>
          <w:tcPr/>
          <w:p>
            <w:pPr>
              <w:pStyle w:val="Compact"/>
            </w:pPr>
            <w:r>
              <w:t xml:space="preserve">DIMOSTRATO che i deficit ci siano · IPOTESI che correggerli cambi l’esito, con un randomizzato negativo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Nervo interosseo posteriore</w:t>
            </w:r>
          </w:p>
        </w:tc>
        <w:tc>
          <w:tcPr/>
          <w:p>
            <w:pPr>
              <w:pStyle w:val="Compact"/>
            </w:pPr>
            <w:r>
              <w:t xml:space="preserve">Formicolio, dolore distale</w:t>
            </w:r>
          </w:p>
        </w:tc>
        <w:tc>
          <w:tcPr/>
          <w:p>
            <w:pPr>
              <w:pStyle w:val="Compact"/>
            </w:pPr>
            <w:r>
              <w:t xml:space="preserve">DIMOSTRATO la coesistenza al 19,4% · IPOTESI che generi il dolore</w:t>
            </w:r>
          </w:p>
        </w:tc>
      </w:tr>
    </w:tbl>
    <w:p>
      <w:pPr>
        <w:pStyle w:val="BodyText"/>
      </w:pPr>
      <w:r>
        <w:t xml:space="preserve">L’ordine è per solidità decrescente.</w:t>
      </w:r>
      <w:r>
        <w:t xml:space="preserve"> </w:t>
      </w:r>
      <w:r>
        <w:rPr>
          <w:b/>
          <w:bCs/>
        </w:rPr>
        <w:t xml:space="preserve">Il più frequente non è il primo: è il terzo.</w:t>
      </w:r>
      <w:r>
        <w:t xml:space="preserve"> </w:t>
      </w:r>
      <w:r>
        <w:t xml:space="preserve">Nessuna cella porta un’etichetta unica dove la Bibbia la spezza.</w:t>
      </w:r>
    </w:p>
    <w:p>
      <w:pPr>
        <w:pStyle w:val="BodyText"/>
      </w:pPr>
      <w:r>
        <w:rPr>
          <w:b/>
          <w:bCs/>
        </w:rPr>
        <w:t xml:space="preserve">Sullo stesso tendine, in persone senza sintomi:</w:t>
      </w:r>
      <w:r>
        <w:t xml:space="preserve"> </w:t>
      </w:r>
      <w:r>
        <w:t xml:space="preserve">Doppler positivo nel 9% dei gomiti, e speroni ossei dal 23% al 74% per decade, su 264 volontari asintomatici (Krogh, 2017, PMID 28540316). Un’ecografia negativa non chiude nulla, e una positiva non chiude la diagnosi.</w:t>
      </w:r>
    </w:p>
    <w:p>
      <w:pPr>
        <w:pStyle w:val="BodyText"/>
      </w:pPr>
      <w:r>
        <w:rPr>
          <w:b/>
          <w:bCs/>
        </w:rPr>
        <w:t xml:space="preserve">I tre nomi che li organizzano:</w:t>
      </w:r>
      <w:r>
        <w:t xml:space="preserve"> </w:t>
      </w:r>
      <w:r>
        <w:rPr>
          <w:i/>
          <w:iCs/>
        </w:rPr>
        <w:t xml:space="preserve">nocicettivo</w:t>
      </w:r>
      <w:r>
        <w:t xml:space="preserve"> </w:t>
      </w:r>
      <w:r>
        <w:t xml:space="preserve">(meccanismi 1 e 3) ·</w:t>
      </w:r>
      <w:r>
        <w:t xml:space="preserve"> </w:t>
      </w:r>
      <w:r>
        <w:rPr>
          <w:i/>
          <w:iCs/>
        </w:rPr>
        <w:t xml:space="preserve">nociplastico</w:t>
      </w:r>
      <w:r>
        <w:t xml:space="preserve">, quasi sempre misto e mai da solo (meccanismo 2) ·</w:t>
      </w:r>
      <w:r>
        <w:t xml:space="preserve"> </w:t>
      </w:r>
      <w:r>
        <w:rPr>
          <w:i/>
          <w:iCs/>
        </w:rPr>
        <w:t xml:space="preserve">neuropatico</w:t>
      </w:r>
      <w:r>
        <w:t xml:space="preserve">, sospetto che si invia (meccanismo 5).</w:t>
      </w:r>
    </w:p>
    <w:p>
      <w:r>
        <w:pict>
          <v:rect style="width:0;height:1.5pt" o:hralign="center" o:hrstd="t" o:hr="t"/>
        </w:pict>
      </w:r>
    </w:p>
    <w:bookmarkEnd w:id="11"/>
    <w:bookmarkStart w:id="12" w:name="i-sottotipi-e-chi-comanda"/>
    <w:p>
      <w:pPr>
        <w:pStyle w:val="Heading2"/>
      </w:pPr>
      <w:r>
        <w:t xml:space="preserve">4.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Reattivo recente</w:t>
            </w:r>
          </w:p>
        </w:tc>
        <w:tc>
          <w:tcPr/>
          <w:p>
            <w:pPr>
              <w:pStyle w:val="Compact"/>
            </w:pPr>
            <w:r>
              <w:t xml:space="preserve">Picco di carico, meno di 6 settimane</w:t>
            </w:r>
          </w:p>
        </w:tc>
        <w:tc>
          <w:tcPr/>
          <w:p>
            <w:pPr>
              <w:pStyle w:val="Compact"/>
            </w:pPr>
            <w:r>
              <w:t xml:space="preserve">Molto — l’errore tipico è per eccesso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Persistente da carico</w:t>
            </w:r>
          </w:p>
        </w:tc>
        <w:tc>
          <w:tcPr/>
          <w:p>
            <w:pPr>
              <w:pStyle w:val="Compact"/>
            </w:pPr>
            <w:r>
              <w:t xml:space="preserve">Mesi, gesto invariato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Dolore allargato</w:t>
            </w:r>
          </w:p>
        </w:tc>
        <w:tc>
          <w:tcPr/>
          <w:p>
            <w:pPr>
              <w:pStyle w:val="Compact"/>
            </w:pPr>
            <w:r>
              <w:t xml:space="preserve">Bilaterale, freddo, paura</w:t>
            </w:r>
          </w:p>
        </w:tc>
        <w:tc>
          <w:tcPr/>
          <w:p>
            <w:pPr>
              <w:pStyle w:val="Compact"/>
            </w:pPr>
            <w:r>
              <w:t xml:space="preserve">Abbastanza — leve diverse, non meno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 nervosa</w:t>
            </w:r>
          </w:p>
        </w:tc>
        <w:tc>
          <w:tcPr/>
          <w:p>
            <w:pPr>
              <w:pStyle w:val="Compact"/>
            </w:pPr>
            <w:r>
              <w:t xml:space="preserve">Formicolio, dolore distale</w:t>
            </w:r>
          </w:p>
        </w:tc>
        <w:tc>
          <w:tcPr/>
          <w:p>
            <w:pPr>
              <w:pStyle w:val="Compact"/>
            </w:pPr>
            <w:r>
              <w:t xml:space="preserve">Invio, e lavoro accanto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Resistente oltre sei mesi</w:t>
            </w:r>
          </w:p>
        </w:tc>
        <w:tc>
          <w:tcPr/>
          <w:p>
            <w:pPr>
              <w:pStyle w:val="Compact"/>
            </w:pPr>
            <w:r>
              <w:t xml:space="preserve">Infiltrazioni ripetute, nessuna risposta</w:t>
            </w:r>
          </w:p>
        </w:tc>
        <w:tc>
          <w:tcPr/>
          <w:p>
            <w:pPr>
              <w:pStyle w:val="Compact"/>
            </w:pPr>
            <w:r>
              <w:t xml:space="preserve">Invio, e lavoro accanto</w:t>
            </w:r>
          </w:p>
        </w:tc>
      </w:tr>
    </w:tbl>
    <w:p>
      <w:pPr>
        <w:pStyle w:val="BodyText"/>
      </w:pPr>
      <w:r>
        <w:rPr>
          <w:b/>
          <w:bCs/>
        </w:rPr>
        <w:t xml:space="preserve">L’invio non chiude il tuo lavoro, lo affianca.</w:t>
      </w:r>
      <w:r>
        <w:t xml:space="preserve"> </w:t>
      </w:r>
      <w:r>
        <w:t xml:space="preserve">Il canale medico è aperto, e nel frattempo lavori su carico sotto soglia, gesto, catena a monte, attivazione.</w:t>
      </w:r>
    </w:p>
    <w:p>
      <w:r>
        <w:pict>
          <v:rect style="width:0;height:1.5pt" o:hralign="center" o:hrstd="t" o:hr="t"/>
        </w:pict>
      </w:r>
    </w:p>
    <w:bookmarkEnd w:id="12"/>
    <w:bookmarkStart w:id="13" w:name="le-bandiere-rosse"/>
    <w:p>
      <w:pPr>
        <w:pStyle w:val="Heading2"/>
      </w:pPr>
      <w:r>
        <w:t xml:space="preserve">5. Le bandiere rosse</w:t>
      </w:r>
    </w:p>
    <w:p>
      <w:pPr>
        <w:pStyle w:val="FirstParagraph"/>
      </w:pPr>
      <w:r>
        <w:rPr>
          <w:b/>
          <w:bCs/>
        </w:rPr>
        <w:t xml:space="preserve">ROSSO</w:t>
      </w:r>
    </w:p>
    <w:p>
      <w:pPr>
        <w:pStyle w:val="Compact"/>
        <w:numPr>
          <w:ilvl w:val="0"/>
          <w:numId w:val="1001"/>
        </w:numPr>
      </w:pPr>
      <w:r>
        <w:t xml:space="preserve">Gomito caldo o gonfio non traumatico,</w:t>
      </w:r>
      <w:r>
        <w:t xml:space="preserve"> </w:t>
      </w:r>
      <w:r>
        <w:rPr>
          <w:b/>
          <w:bCs/>
        </w:rPr>
        <w:t xml:space="preserve">con o senza febbre</w:t>
      </w:r>
      <w:r>
        <w:t xml:space="preserve"> </w:t>
      </w:r>
      <w:r>
        <w:t xml:space="preserve">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Schiocco con perdita di forza netta → ortopedico o PS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Trauma recente con blocco articolare → pronto soccorso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Deficit di estensione di dita o polso → medico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Dolore notturno ingravescente slegato dal carico,</w:t>
      </w:r>
      <w:r>
        <w:t xml:space="preserve"> </w:t>
      </w:r>
      <w:r>
        <w:rPr>
          <w:b/>
          <w:bCs/>
        </w:rPr>
        <w:t xml:space="preserve">a ogni età</w:t>
      </w:r>
      <w:r>
        <w:t xml:space="preserve"> </w:t>
      </w:r>
      <w:r>
        <w:t xml:space="preserve">→ medico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Sotto i venti anni, blocco o versamento → ortopedico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FirstParagraph"/>
      </w:pPr>
      <w:r>
        <w:rPr>
          <w:b/>
          <w:bCs/>
        </w:rPr>
        <w:t xml:space="preserve">GIALLO PRIORITARIO</w:t>
      </w:r>
    </w:p>
    <w:p>
      <w:pPr>
        <w:pStyle w:val="Compact"/>
        <w:numPr>
          <w:ilvl w:val="0"/>
          <w:numId w:val="1002"/>
        </w:numPr>
      </w:pPr>
      <w:r>
        <w:t xml:space="preserve">Fluorochinolone in corso o nell’ultimo mese → medico curante →</w:t>
      </w:r>
      <w:r>
        <w:t xml:space="preserve"> </w:t>
      </w:r>
      <w:r>
        <w:rPr>
          <w:b/>
          <w:bCs/>
        </w:rPr>
        <w:t xml:space="preserve">Scritto lo stesso giorno</w:t>
      </w:r>
    </w:p>
    <w:p>
      <w:pPr>
        <w:pStyle w:val="Compact"/>
        <w:numPr>
          <w:ilvl w:val="0"/>
          <w:numId w:val="1002"/>
        </w:numPr>
      </w:pPr>
      <w:r>
        <w:t xml:space="preserve">Formicolio o ipoestesia persistenti → medico curante →</w:t>
      </w:r>
      <w:r>
        <w:t xml:space="preserve"> </w:t>
      </w:r>
      <w:r>
        <w:rPr>
          <w:b/>
          <w:bCs/>
        </w:rPr>
        <w:t xml:space="preserve">Invio</w:t>
      </w:r>
    </w:p>
    <w:p>
      <w:pPr>
        <w:pStyle w:val="Compact"/>
        <w:numPr>
          <w:ilvl w:val="0"/>
          <w:numId w:val="1002"/>
        </w:numPr>
      </w:pPr>
      <w:r>
        <w:t xml:space="preserve">Scatto o cedimento in rotazione → ortopedico →</w:t>
      </w:r>
      <w:r>
        <w:t xml:space="preserve"> </w:t>
      </w:r>
      <w:r>
        <w:rPr>
          <w:b/>
          <w:bCs/>
        </w:rPr>
        <w:t xml:space="preserve">Invio</w:t>
      </w:r>
    </w:p>
    <w:p>
      <w:pPr>
        <w:pStyle w:val="FirstParagraph"/>
      </w:pPr>
      <w:r>
        <w:rPr>
          <w:b/>
          <w:bCs/>
        </w:rPr>
        <w:t xml:space="preserve">Sulle righe da 112 o pronto soccorso urgente la seduta non si apre e non si prosegue, in nessun distretto.</w:t>
      </w:r>
      <w:r>
        <w:t xml:space="preserve"> </w:t>
      </w:r>
      <w:r>
        <w:t xml:space="preserve">La clausola «disfunzione autonoma trattabile» vale solo sulle righe «Invio, non attendere».</w:t>
      </w:r>
    </w:p>
    <w:p>
      <w:r>
        <w:pict>
          <v:rect style="width:0;height:1.5pt" o:hralign="center" o:hrstd="t" o:hr="t"/>
        </w:pict>
      </w:r>
    </w:p>
    <w:bookmarkEnd w:id="13"/>
    <w:bookmarkStart w:id="14" w:name="la-sicurezza-del-gesto-in-quattro-righe"/>
    <w:p>
      <w:pPr>
        <w:pStyle w:val="Heading2"/>
      </w:pPr>
      <w:r>
        <w:t xml:space="preserve">6. La sicurezza del gesto, in quattro righe</w:t>
      </w:r>
    </w:p>
    <w:p>
      <w:pPr>
        <w:pStyle w:val="Compact"/>
        <w:numPr>
          <w:ilvl w:val="0"/>
          <w:numId w:val="1003"/>
        </w:numPr>
      </w:pPr>
      <w:r>
        <w:t xml:space="preserve">L’effetto immediato più netto misurato su questa condizione viene da una</w:t>
      </w:r>
      <w:r>
        <w:t xml:space="preserve"> </w:t>
      </w:r>
      <w:r>
        <w:rPr>
          <w:b/>
          <w:bCs/>
        </w:rPr>
        <w:t xml:space="preserve">mobilizzazione cervicale non-thrust</w:t>
      </w:r>
      <w:r>
        <w:t xml:space="preserve">.</w:t>
      </w:r>
      <w:r>
        <w:t xml:space="preserve"> </w:t>
      </w:r>
      <w:r>
        <w:rPr>
          <w:b/>
          <w:bCs/>
        </w:rPr>
        <w:t xml:space="preserve">Nessuno studio ha testato un thrust cervicale in questa condizione</w:t>
      </w:r>
      <w:r>
        <w:t xml:space="preserve">, e il thrust è la classe su cui si concentra il 75% degli eventi vascolari gravi del distretto.</w:t>
      </w:r>
    </w:p>
    <w:p>
      <w:pPr>
        <w:pStyle w:val="Compact"/>
        <w:numPr>
          <w:ilvl w:val="0"/>
          <w:numId w:val="1003"/>
        </w:numPr>
      </w:pPr>
      <w:r>
        <w:t xml:space="preserve">L’evento del collo è la</w:t>
      </w:r>
      <w:r>
        <w:t xml:space="preserve"> </w:t>
      </w:r>
      <w:r>
        <w:rPr>
          <w:b/>
          <w:bCs/>
        </w:rPr>
        <w:t xml:space="preserve">dissezione dell’arteria vertebrale o carotidea con ictus</w:t>
      </w:r>
      <w:r>
        <w:t xml:space="preserve">: raro, 58% degli eventi gravi raccolti, mortalità 6% (Leung, 2025, PMID 39663097). I segnali entro</w:t>
      </w:r>
      <w:r>
        <w:t xml:space="preserve"> </w:t>
      </w:r>
      <w:r>
        <w:rPr>
          <w:b/>
          <w:bCs/>
        </w:rPr>
        <w:t xml:space="preserve">48 ore</w:t>
      </w:r>
      <w:r>
        <w:t xml:space="preserve"> </w:t>
      </w:r>
      <w:r>
        <w:t xml:space="preserve">sono questi: cefalea o dolore cervicale nuovi e in netto aumento, nausea, vomito, vertigine, disturbi visivi o della parola, alterazione della sensibilità. Lo screening è codificato in Rushton, JOSPT 2023, PMID 36099171.</w:t>
      </w:r>
    </w:p>
    <w:p>
      <w:pPr>
        <w:pStyle w:val="Compact"/>
        <w:numPr>
          <w:ilvl w:val="0"/>
          <w:numId w:val="1003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manipolazione di Mill</w:t>
      </w:r>
      <w:r>
        <w:t xml:space="preserve"> </w:t>
      </w:r>
      <w:r>
        <w:t xml:space="preserve">è un thrust a fine corsa di estensione di gomito. Non è la tecnica del resistente con infiltrazioni ripetute, dove il collaterale laterale può essere già insufficiente (Moon, 2025, PMID 41010677).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Sopra la soglia individuale di dolore il carico peggiora il sintomo</w:t>
      </w:r>
      <w:r>
        <w:t xml:space="preserve"> </w:t>
      </w:r>
      <w:r>
        <w:t xml:space="preserve">per almeno mezz’ora; sotto, si comporta come il non fare niente (Coombes, 2016, PMID 26889612). Il rischio principale di questa condizione non è la manovra: è il</w:t>
      </w:r>
      <w:r>
        <w:t xml:space="preserve"> </w:t>
      </w:r>
      <w:r>
        <w:rPr>
          <w:b/>
          <w:bCs/>
        </w:rPr>
        <w:t xml:space="preserve">ritardo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come-decidi-e-su-cosa-verifichi"/>
    <w:p>
      <w:pPr>
        <w:pStyle w:val="Heading2"/>
      </w:pPr>
      <w:r>
        <w:t xml:space="preserve">7. Come decidi, e su cosa verifichi</w:t>
      </w:r>
    </w:p>
    <w:p>
      <w:pPr>
        <w:pStyle w:val="FirstParagraph"/>
      </w:pPr>
      <w:r>
        <w:rPr>
          <w:b/>
          <w:bCs/>
        </w:rPr>
        <w:t xml:space="preserve">Road map:</w:t>
      </w:r>
      <w:r>
        <w:t xml:space="preserve"> </w:t>
      </w:r>
      <w:r>
        <w:t xml:space="preserve">bandiera rossa? → sospetto di nervo? → livello di attivazione? → qual è il gesto e con che forza? →</w:t>
      </w:r>
      <w:r>
        <w:t xml:space="preserve"> </w:t>
      </w:r>
      <w:r>
        <w:rPr>
          <w:b/>
          <w:bCs/>
        </w:rPr>
        <w:t xml:space="preserve">catena a monte e rachide partecipano?</w:t>
      </w:r>
      <w:r>
        <w:t xml:space="preserve"> </w:t>
      </w:r>
      <w:r>
        <w:t xml:space="preserve">→ il tessuto è reattivo o persistente?</w:t>
      </w:r>
    </w:p>
    <w:p>
      <w:pPr>
        <w:pStyle w:val="BodyText"/>
      </w:pPr>
      <w:r>
        <w:t xml:space="preserve">È l’ordine di</w:t>
      </w:r>
      <w:r>
        <w:t xml:space="preserve"> </w:t>
      </w:r>
      <w:r>
        <w:rPr>
          <w:b/>
          <w:bCs/>
        </w:rPr>
        <w:t xml:space="preserve">indagine</w:t>
      </w:r>
      <w:r>
        <w:t xml:space="preserve">, non di peso: il peso resta sul carico.</w:t>
      </w:r>
    </w:p>
    <w:p>
      <w:pPr>
        <w:pStyle w:val="BodyText"/>
      </w:pPr>
      <w:r>
        <w:rPr>
          <w:b/>
          <w:bCs/>
        </w:rPr>
        <w:t xml:space="preserve">Una regola del metodo qui non si applica, e non è una dimenticanza.</w:t>
      </w:r>
      <w:r>
        <w:t xml:space="preserve"> </w:t>
      </w:r>
      <w:r>
        <w:t xml:space="preserve">La regola</w:t>
      </w:r>
      <w:r>
        <w:t xml:space="preserve"> </w:t>
      </w:r>
      <w:r>
        <w:rPr>
          <w:i/>
          <w:iCs/>
        </w:rPr>
        <w:t xml:space="preserve">«non trattare il punto in cui il paziente sente»</w:t>
      </w:r>
      <w:r>
        <w:t xml:space="preserve"> </w:t>
      </w:r>
      <w:r>
        <w:t xml:space="preserve">non vale per la scelta del bersaglio su questa condizione: viene tolta, non attenuata. Il motivo è che gli interventi con le prove migliori si applicano proprio sull’origine degli estensori e sul gesto che fa male. Resta intatta la regola di</w:t>
      </w:r>
      <w:r>
        <w:t xml:space="preserve"> </w:t>
      </w:r>
      <w:r>
        <w:rPr>
          <w:b/>
          <w:bCs/>
        </w:rPr>
        <w:t xml:space="preserve">verifica</w:t>
      </w:r>
      <w:r>
        <w:t xml:space="preserve">: il marker appartiene a un piano che non hai trattato.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  <w:tc>
          <w:tcPr/>
          <w:p>
            <w:pPr>
              <w:pStyle w:val="Compact"/>
            </w:pPr>
            <w:r>
              <w:t xml:space="preserve">Provenienza della soglia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Presa senza dolore, gomito 90°, senza ortesi, media di 3 prove</w:t>
            </w:r>
          </w:p>
        </w:tc>
        <w:tc>
          <w:tcPr/>
          <w:p>
            <w:pPr>
              <w:pStyle w:val="Compact"/>
            </w:pPr>
            <w:r>
              <w:t xml:space="preserve">52 N in seduta · 92 N fra sedute</w:t>
            </w:r>
          </w:p>
        </w:tc>
        <w:tc>
          <w:tcPr/>
          <w:p>
            <w:pPr>
              <w:pStyle w:val="Compact"/>
            </w:pPr>
            <w:r>
              <w:t xml:space="preserve">Differenza minima rilevabile pubblicata (Hill, 2023)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di provocazione su tre</w:t>
            </w:r>
          </w:p>
        </w:tc>
        <w:tc>
          <w:tcPr/>
          <w:p>
            <w:pPr>
              <w:pStyle w:val="Compact"/>
            </w:pPr>
            <w:r>
              <w:t xml:space="preserve">Uno che cambia</w:t>
            </w:r>
          </w:p>
        </w:tc>
        <w:tc>
          <w:tcPr/>
          <w:p>
            <w:pPr>
              <w:pStyle w:val="Compact"/>
            </w:pPr>
            <w:r>
              <w:t xml:space="preserve">Unità dello strumento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cervicale attiva</w:t>
            </w:r>
          </w:p>
        </w:tc>
        <w:tc>
          <w:tcPr/>
          <w:p>
            <w:pPr>
              <w:pStyle w:val="Compact"/>
            </w:pPr>
            <w:r>
              <w:t xml:space="preserve">10 gradi</w:t>
            </w:r>
          </w:p>
        </w:tc>
        <w:tc>
          <w:tcPr/>
          <w:p>
            <w:pPr>
              <w:pStyle w:val="Compact"/>
            </w:pPr>
            <w:r>
              <w:t xml:space="preserve">Errore goniometrico raddoppiato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Algometria controlaterale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Convenzione,</w:t>
            </w:r>
            <w:r>
              <w:t xml:space="preserve"> </w:t>
            </w:r>
            <w:r>
              <w:rPr>
                <w:b/>
                <w:bCs/>
              </w:rPr>
              <w:t xml:space="preserve">potrebbe non superare l’errore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Quale marker decide dipende da dove hai lavorato.</w:t>
      </w:r>
      <w:r>
        <w:t xml:space="preserve"> </w:t>
      </w:r>
      <w:r>
        <w:t xml:space="preserve">Gomito → rotazione cervicale. Collo → presa. Spalla → test di provocazione. Attivazione → rotazione cervicale, con l’algometria come conferma. Carico e gesto → presa fra due sedute. Solo su quest’ultima riga il marker sta dentro il piano trattato: misura l’effetto, non smentisce l’ipotesi.</w:t>
      </w:r>
    </w:p>
    <w:p>
      <w:pPr>
        <w:pStyle w:val="BodyText"/>
      </w:pPr>
      <w:r>
        <w:rPr>
          <w:b/>
          <w:bCs/>
        </w:rPr>
        <w:t xml:space="preserve">Se tocchi due piani nella stessa seduta, decide il marker fuori da entrambi. Se il marker non si muove, l’ipotesi era sbagliata: si promuove il meccanismo successivo e si scrive in cartella.</w:t>
      </w:r>
    </w:p>
    <w:p>
      <w:pPr>
        <w:pStyle w:val="BodyText"/>
      </w:pPr>
      <w:r>
        <w:rPr>
          <w:b/>
          <w:bCs/>
        </w:rPr>
        <w:t xml:space="preserve">Due misure che non sono marker:</w:t>
      </w:r>
      <w:r>
        <w:t xml:space="preserve"> </w:t>
      </w:r>
      <w:r>
        <w:t xml:space="preserve">la tolleranza al freddo alla prima seduta, come screening prognostico; la rigidità del mattino dopo, per sapere se il carico è stato tollerato.</w:t>
      </w:r>
    </w:p>
    <w:p>
      <w:r>
        <w:pict>
          <v:rect style="width:0;height:1.5pt" o:hralign="center" o:hrstd="t" o:hr="t"/>
        </w:pict>
      </w:r>
    </w:p>
    <w:bookmarkEnd w:id="15"/>
    <w:bookmarkStart w:id="16" w:name="gli-strumenti-attivi"/>
    <w:p>
      <w:pPr>
        <w:pStyle w:val="Heading2"/>
      </w:pPr>
      <w:r>
        <w:t xml:space="preserve">8. Gli strumenti attivi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Cosa hanno misurato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Carico progressivo estensori</w:t>
            </w:r>
          </w:p>
        </w:tc>
        <w:tc>
          <w:tcPr/>
          <w:p>
            <w:pPr>
              <w:pStyle w:val="Compact"/>
            </w:pPr>
            <w:r>
              <w:t xml:space="preserve">Meglio dell’infiltrazione, effetti piccoli, certezza bassa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Gestione del carico e del gesto</w:t>
            </w:r>
          </w:p>
        </w:tc>
        <w:tc>
          <w:tcPr/>
          <w:p>
            <w:pPr>
              <w:pStyle w:val="Compact"/>
            </w:pPr>
            <w:r>
              <w:t xml:space="preserve">Attesa informata: 83% a 52 settimane</w:t>
            </w:r>
          </w:p>
        </w:tc>
        <w:tc>
          <w:tcPr/>
          <w:p>
            <w:pPr>
              <w:pStyle w:val="Compact"/>
            </w:pPr>
            <w:r>
              <w:t xml:space="preserve">DIMOSTRATO l’esposizione · PROBABILE l’informazione · IPOTESI che cambiare</w:t>
            </w:r>
            <w:r>
              <w:t xml:space="preserve"> </w:t>
            </w:r>
            <w:r>
              <w:rPr>
                <w:i/>
                <w:iCs/>
              </w:rPr>
              <w:t xml:space="preserve">questo</w:t>
            </w:r>
            <w:r>
              <w:t xml:space="preserve"> </w:t>
            </w:r>
            <w:r>
              <w:t xml:space="preserve">gesto sposti l’esito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Fascia epicondiloidea (ortesi di avambraccio)</w:t>
            </w:r>
          </w:p>
        </w:tc>
        <w:tc>
          <w:tcPr/>
          <w:p>
            <w:pPr>
              <w:pStyle w:val="Compact"/>
            </w:pPr>
            <w:r>
              <w:t xml:space="preserve">Dolore in contrazione e presa senza dolore, solo mentre è indossata</w:t>
            </w:r>
          </w:p>
        </w:tc>
        <w:tc>
          <w:tcPr/>
          <w:p>
            <w:pPr>
              <w:pStyle w:val="Compact"/>
            </w:pPr>
            <w:r>
              <w:t xml:space="preserve">PROBABILE l’effetto immediato · IPOTESI oltre il tempo in cui è indossata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Sopra la soglia di dolore il carico peggiora. Con un fluorochinolone in corso o nell’ultimo mese il carico non si apre finché il curante non risponde. La fascia non cura: il sollievo che dà è la conferma del meccanismo.</w:t>
      </w:r>
      <w:r>
        <w:t xml:space="preserve"> </w:t>
      </w:r>
      <w:r>
        <w:t xml:space="preserve">Il polsino rigido non è la stessa cosa, e sulla presa non ha mostrato beneficio.</w:t>
      </w:r>
    </w:p>
    <w:p>
      <w:pPr>
        <w:pStyle w:val="BodyText"/>
      </w:pPr>
      <w:r>
        <w:rPr>
          <w:b/>
          <w:bCs/>
        </w:rPr>
        <w:t xml:space="preserve">Il rovescio, che va letto insieme al numero.</w:t>
      </w:r>
      <w:r>
        <w:t xml:space="preserve"> </w:t>
      </w:r>
      <w:r>
        <w:t xml:space="preserve">Consegnato senza accompagnamento, l’esercizio non ha mosso due esiti primari su tre (Vuvan, 2020, PMID 31425384). E in 74 studi su 104 l’aderenza non è nemmeno riportata (Taylor, 2024, PMID 38820868).</w:t>
      </w:r>
    </w:p>
    <w:p>
      <w:pPr>
        <w:pStyle w:val="BodyText"/>
      </w:pPr>
      <w:r>
        <w:rPr>
          <w:b/>
          <w:bCs/>
        </w:rPr>
        <w:t xml:space="preserve">Sui meccanismi 4 e 5 non c’è strumento attivo, ed è una scelta.</w:t>
      </w:r>
      <w:r>
        <w:t xml:space="preserve"> </w:t>
      </w:r>
      <w:r>
        <w:t xml:space="preserve">Il rinforzo scapolare aggiunto ha un randomizzato negativo (Day, 2021, PMID 33440342), e sul nervo la misura che decide è elettrofisiologica.</w:t>
      </w:r>
    </w:p>
    <w:p>
      <w:pPr>
        <w:pStyle w:val="BodyText"/>
      </w:pPr>
      <w:r>
        <w:rPr>
          <w:b/>
          <w:bCs/>
        </w:rPr>
        <w:t xml:space="preserve">E l’isometrico non è la modalità</w:t>
      </w:r>
      <w:r>
        <w:t xml:space="preserve">, anche se gli studi che leggi lo usano. Non è superiore all’isotonico su nessun esito (Clifford, 2020, PMID 32818059), e nel tendine ciò che comanda l’adattamento è l’entità del carico, non il tipo di contrazione (Bohm, 2015, PMID 27747846).</w:t>
      </w:r>
    </w:p>
    <w:p>
      <w:r>
        <w:pict>
          <v:rect style="width:0;height:1.5pt" o:hralign="center" o:hrstd="t" o:hr="t"/>
        </w:pict>
      </w:r>
    </w:p>
    <w:bookmarkEnd w:id="16"/>
    <w:bookmarkStart w:id="17" w:name="la-frase-per-il-paziente"/>
    <w:p>
      <w:pPr>
        <w:pStyle w:val="Heading2"/>
      </w:pPr>
      <w:r>
        <w:t xml:space="preserve">9. La frase per il paziente</w:t>
      </w:r>
    </w:p>
    <w:p>
      <w:pPr>
        <w:pStyle w:val="FirstParagraph"/>
      </w:pPr>
      <w:r>
        <w:rPr>
          <w:i/>
          <w:iCs/>
        </w:rPr>
        <w:t xml:space="preserve">«Il suo tendine è come il cavo del caricabatterie vicino allo spinotto: si gonfia proprio dove si piega mille volte al giorno, e quel rigonfiamento non è un rinforzo, è un cedimento. Ecco perché stare fermo un mese non è bastato: fermarsi non lo ripara, lo rende solo più debole per quando ricomincia.»</w:t>
      </w:r>
    </w:p>
    <w:p>
      <w:pPr>
        <w:pStyle w:val="BodyText"/>
      </w:pPr>
      <w:r>
        <w:rPr>
          <w:b/>
          <w:bCs/>
        </w:rPr>
        <w:t xml:space="preserve">E quello che deve riconoscere a casa:</w:t>
      </w:r>
      <w:r>
        <w:t xml:space="preserve"> </w:t>
      </w:r>
      <w:r>
        <w:t xml:space="preserve">entro 48 ore da un lavoro sul collo, cefalea o dolore cervicale nuovi e in netto aumento, vertigine, nausea, disturbi visivi o della parola → pronto soccorso.</w:t>
      </w:r>
    </w:p>
    <w:p>
      <w:r>
        <w:pict>
          <v:rect style="width:0;height:1.5pt" o:hralign="center" o:hrstd="t" o:hr="t"/>
        </w:pict>
      </w:r>
    </w:p>
    <w:bookmarkEnd w:id="17"/>
    <w:bookmarkStart w:id="18" w:name="perché-ci-sei-tu"/>
    <w:p>
      <w:pPr>
        <w:pStyle w:val="Heading2"/>
      </w:pPr>
      <w:r>
        <w:t xml:space="preserve">Perché ci sei tu</w: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Su 165 pazienti con questa condizione, a un anno risultava guarito o molto migliorato l’83% di chi aveva ricevuto il cortisone, contro il 96% di chi aveva ricevuto il placebo; le recidive erano nel 54% contro il 12% (Coombes,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2013, PMID 23385272). E l’esercizio con carico progressivo supera l’infiltrazione sulla forza di presa senza dolore a breve, medio e lungo termine (Karanasios, 2021, PMID 33148599). Questo ti autorizza a occupare le prime sei settimane con il carico, e con l’esame dei piani che nessuno guarda: spalla, scapola, rachide, gesto. Non ti autorizza a promettere l’esito né a sconsigliare un’infiltrazione: gli effetti misurati sono piccoli, la certezza delle prove è bassa, e</w:t>
      </w:r>
      <w:r>
        <w:t xml:space="preserve"> </w:t>
      </w:r>
      <w:r>
        <w:rPr>
          <w:b/>
          <w:bCs/>
        </w:rPr>
        <w:t xml:space="preserve">nello stesso trial il braccio fisioterapia non ha prodotto differenze a un anno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2026-08-31T03:42:16Z</dcterms:created>
  <dcterms:modified xsi:type="dcterms:W3CDTF">2026-08-31T03:42:16Z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