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Fibromialgia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9" w:name="bibbia-teorica-fibromialgia"/>
    <w:p>
      <w:pPr>
        <w:pStyle w:val="Heading1"/>
      </w:pPr>
      <w:r>
        <w:t xml:space="preserve">Bibbia Teorica — Fibromialgia</w:t>
      </w:r>
    </w:p>
    <w:p>
      <w:pPr>
        <w:pStyle w:val="FirstParagraph"/>
      </w:pPr>
      <w:r>
        <w:rPr>
          <w:b/>
          <w:bCs/>
        </w:rPr>
        <w:t xml:space="preserve">Condizione:</w:t>
      </w:r>
      <w:r>
        <w:t xml:space="preserve"> </w:t>
      </w:r>
      <w:r>
        <w:t xml:space="preserve">fibromialgia (sindrome fibromialgica)</w:t>
      </w:r>
      <w:r>
        <w:t xml:space="preserve"> </w:t>
      </w:r>
      <w:r>
        <w:rPr>
          <w:b/>
          <w:bCs/>
        </w:rPr>
        <w:t xml:space="preserve">Ancora fisiologica:</w:t>
      </w:r>
      <w:r>
        <w:t xml:space="preserve"> </w:t>
      </w:r>
      <w:r>
        <w:t xml:space="preserve">Daniel J. Clauw — Chronic Pain and Fatigue Research Center, University of Michigan</w:t>
      </w:r>
      <w:r>
        <w:t xml:space="preserve"> </w:t>
      </w:r>
      <w:r>
        <w:rPr>
          <w:b/>
          <w:bCs/>
        </w:rPr>
        <w:t xml:space="preserve">Ancora clinica sulla terapia manuale:</w:t>
      </w:r>
      <w:r>
        <w:t xml:space="preserve"> </w:t>
      </w:r>
      <w:r>
        <w:t xml:space="preserve">Adelaida María Castro-Sánchez — Universidad de Almería</w:t>
      </w:r>
      <w:r>
        <w:t xml:space="preserve"> </w:t>
      </w:r>
      <w:r>
        <w:rPr>
          <w:b/>
          <w:bCs/>
        </w:rPr>
        <w:t xml:space="preserve">Versione:</w:t>
      </w:r>
      <w:r>
        <w:t xml:space="preserve"> </w:t>
      </w:r>
      <w:r>
        <w:t xml:space="preserve">v7 (revisione di lingua, 6º livello — versione finale) ·</w:t>
      </w:r>
      <w:r>
        <w:t xml:space="preserve"> </w:t>
      </w:r>
      <w:r>
        <w:rPr>
          <w:b/>
          <w:bCs/>
        </w:rPr>
        <w:t xml:space="preserve">Data:</w:t>
      </w:r>
      <w:r>
        <w:t xml:space="preserve"> </w:t>
      </w:r>
      <w:r>
        <w:t xml:space="preserve">1 settembre 2026</w:t>
      </w:r>
    </w:p>
    <w:p>
      <w:pPr>
        <w:pStyle w:val="BlockText"/>
      </w:pPr>
      <w:r>
        <w:rPr>
          <w:b/>
          <w:bCs/>
        </w:rPr>
        <w:t xml:space="preserve">Il peso di questo documento, dichiarato.</w:t>
      </w:r>
      <w:r>
        <w:t xml:space="preserve"> </w:t>
      </w:r>
      <w:r>
        <w:t xml:space="preserve">Il corpo pesa circa 23.300 parole, contro un tetto di 13.000. L’asciugatura ha tolto tutta la ridondanza che c’era: le fonti esposte due volte per intero, i capoversi di policy generica, gli annunci al posto delle frasi. E non basta. Qui gli studi sulla condizione sono molti, e quelli sul nostro gesto vanno in direzione contraria. Per questo ogni leva del capitolo sulle mani porta tre cose insieme: l’etichetta, la prova contraria dentro la frase e la dichiarazione del salto di popolazione. Nessuna di quelle righe è stata tolta per rientrare in un numero.</w:t>
      </w:r>
    </w:p>
    <w:p>
      <w:r>
        <w:pict>
          <v:rect style="width:0;height:1.5pt" o:hralign="center" o:hrstd="t" o:hr="t"/>
        </w:pict>
      </w:r>
    </w:p>
    <w:bookmarkStart w:id="12"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questo documento ti dice cosa sai e cosa non sai sulla fibromialgia, e dove esattamente le tue mani hanno spazio in un quadro che non generano.</w:t>
      </w:r>
    </w:p>
    <w:p>
      <w:pPr>
        <w:pStyle w:val="FirstParagraph"/>
      </w:pPr>
      <w:r>
        <w:rPr>
          <w:b/>
          <w:bCs/>
        </w:rPr>
        <w:t xml:space="preserve">A chi parla.</w:t>
      </w:r>
      <w:r>
        <w:t xml:space="preserve"> </w:t>
      </w:r>
      <w:r>
        <w:t xml:space="preserve">All’osteopata del team. Non al paziente, non al medico inviante.</w:t>
      </w:r>
    </w:p>
    <w:p>
      <w:pPr>
        <w:pStyle w:val="BodyText"/>
      </w:pPr>
      <w:r>
        <w:rPr>
          <w:b/>
          <w:bCs/>
        </w:rPr>
        <w:t xml:space="preserve">Cosa c’è qui e cosa no.</w:t>
      </w:r>
      <w:r>
        <w:t xml:space="preserve"> </w:t>
      </w:r>
      <w:r>
        <w:t xml:space="preserve">Qui trovi che cos’è, perché succede, quali meccanismi la tengono in piedi, quanto è solido ciascuno, e perché le mani possono agire su qualcosa. Tecniche, dosi, minuti e piano delle sedute stanno nella Procedura di Fibromialgia, che è un altro documento.</w:t>
      </w:r>
    </w:p>
    <w:bookmarkStart w:id="9" w:name="come-si-leggono-le-etichette"/>
    <w:p>
      <w:pPr>
        <w:pStyle w:val="Heading3"/>
      </w:pPr>
      <w:r>
        <w:t xml:space="preserve">Come si leggono le etichette</w:t>
      </w:r>
    </w:p>
    <w:p>
      <w:pPr>
        <w:pStyle w:val="FirstParagraph"/>
      </w:pPr>
      <w:r>
        <w:t xml:space="preserve">Ogni affermazione importante porta un box con una di quattro etichette. Sono sempre le stesse, e portano sempre la stessa glossa fra parentesi:</w:t>
      </w:r>
    </w:p>
    <w:p>
      <w:pPr>
        <w:pStyle w:val="Compact"/>
        <w:numPr>
          <w:ilvl w:val="0"/>
          <w:numId w:val="1001"/>
        </w:numPr>
      </w:pPr>
      <w:r>
        <w:rPr>
          <w:b/>
          <w:bCs/>
        </w:rPr>
        <w:t xml:space="preserve">DIMOSTRATO</w:t>
      </w:r>
      <w:r>
        <w:t xml:space="preserve"> </w:t>
      </w:r>
      <w:r>
        <w:rPr>
          <w:i/>
          <w:iCs/>
        </w:rPr>
        <w:t xml:space="preserve">(studi sull’uomo, solidi)</w:t>
      </w:r>
    </w:p>
    <w:p>
      <w:pPr>
        <w:pStyle w:val="Compact"/>
        <w:numPr>
          <w:ilvl w:val="0"/>
          <w:numId w:val="1001"/>
        </w:numPr>
      </w:pPr>
      <w:r>
        <w:rPr>
          <w:b/>
          <w:bCs/>
        </w:rPr>
        <w:t xml:space="preserve">PROBABILE</w:t>
      </w:r>
      <w:r>
        <w:t xml:space="preserve"> </w:t>
      </w:r>
      <w:r>
        <w:rPr>
          <w:i/>
          <w:iCs/>
        </w:rPr>
        <w:t xml:space="preserve">(razionale forte, prove parziali)</w:t>
      </w:r>
    </w:p>
    <w:p>
      <w:pPr>
        <w:pStyle w:val="Compact"/>
        <w:numPr>
          <w:ilvl w:val="0"/>
          <w:numId w:val="1001"/>
        </w:numPr>
      </w:pPr>
      <w:r>
        <w:rPr>
          <w:b/>
          <w:bCs/>
        </w:rPr>
        <w:t xml:space="preserve">IPOTESI</w:t>
      </w:r>
      <w:r>
        <w:t xml:space="preserve"> </w:t>
      </w:r>
      <w:r>
        <w:rPr>
          <w:i/>
          <w:iCs/>
        </w:rPr>
        <w:t xml:space="preserve">(meccanismo coerente, nessuno studio)</w:t>
      </w:r>
    </w:p>
    <w:p>
      <w:pPr>
        <w:pStyle w:val="Compact"/>
        <w:numPr>
          <w:ilvl w:val="0"/>
          <w:numId w:val="1001"/>
        </w:numPr>
      </w:pPr>
      <w:r>
        <w:rPr>
          <w:b/>
          <w:bCs/>
        </w:rPr>
        <w:t xml:space="preserve">RAGIONAMENTO</w:t>
      </w:r>
      <w:r>
        <w:t xml:space="preserve"> </w:t>
      </w:r>
      <w:r>
        <w:rPr>
          <w:i/>
          <w:iCs/>
        </w:rPr>
        <w:t xml:space="preserve">(cornice clinica, non una prova)</w:t>
      </w:r>
    </w:p>
    <w:p>
      <w:pPr>
        <w:pStyle w:val="FirstParagraph"/>
      </w:pPr>
      <w:r>
        <w:t xml:space="preserve">Due regole che qui contano più che altrove.</w:t>
      </w:r>
    </w:p>
    <w:p>
      <w:pPr>
        <w:pStyle w:val="BodyText"/>
      </w:pPr>
      <w:r>
        <w:rPr>
          <w:b/>
          <w:bCs/>
        </w:rPr>
        <w:t xml:space="preserve">L’etichetta non si declina.</w:t>
      </w:r>
      <w:r>
        <w:t xml:space="preserve"> </w:t>
      </w:r>
      <w:r>
        <w:t xml:space="preserve">Se qualcuno ha misurato e non ha trovato niente, o ha trovato il contrario, l’etichetta resta quella, con la sua glossa. La prova contraria si scrive</w:t>
      </w:r>
      <w:r>
        <w:t xml:space="preserve"> </w:t>
      </w:r>
      <w:r>
        <w:rPr>
          <w:b/>
          <w:bCs/>
        </w:rPr>
        <w:t xml:space="preserve">nella frase</w:t>
      </w:r>
      <w:r>
        <w:t xml:space="preserve">, nominata e citata. Qui succede spesso, ed è la ragione per cui il documento è lungo.</w:t>
      </w:r>
    </w:p>
    <w:p>
      <w:pPr>
        <w:pStyle w:val="BodyText"/>
      </w:pPr>
      <w:r>
        <w:rPr>
          <w:b/>
          <w:bCs/>
        </w:rPr>
        <w:t xml:space="preserve">L’etichetta si spezza quando i pezzi non hanno la stessa forza.</w:t>
      </w:r>
      <w:r>
        <w:t xml:space="preserve"> </w:t>
      </w:r>
      <w:r>
        <w:t xml:space="preserve">Un meccanismo fatto di tre anelli con tre basi di prova diverse non può portarne una sola. Se prende la più alta gonfia l’affermazione; se prende la più bassa butta via una misura vera.</w:t>
      </w:r>
    </w:p>
    <w:bookmarkEnd w:id="9"/>
    <w:bookmarkStart w:id="10" w:name="come-si-leggono-i-numeri"/>
    <w:p>
      <w:pPr>
        <w:pStyle w:val="Heading3"/>
      </w:pPr>
      <w:r>
        <w:t xml:space="preserve">Come si leggono i numeri</w:t>
      </w:r>
    </w:p>
    <w:p>
      <w:pPr>
        <w:pStyle w:val="Compact"/>
        <w:numPr>
          <w:ilvl w:val="0"/>
          <w:numId w:val="1002"/>
        </w:numPr>
      </w:pPr>
      <w:r>
        <w:rPr>
          <w:b/>
          <w:bCs/>
        </w:rPr>
        <w:t xml:space="preserve">Le parentesi tipo «(da 2,6 a 13,2)»</w:t>
      </w:r>
      <w:r>
        <w:t xml:space="preserve"> </w:t>
      </w:r>
      <w:r>
        <w:t xml:space="preserve">sono l’</w:t>
      </w:r>
      <w:r>
        <w:rPr>
          <w:b/>
          <w:bCs/>
        </w:rPr>
        <w:t xml:space="preserve">intervallo di confidenza</w:t>
      </w:r>
      <w:r>
        <w:t xml:space="preserve">. Se comprende lo zero, l’effetto può anche non esserci.</w:t>
      </w:r>
    </w:p>
    <w:p>
      <w:pPr>
        <w:pStyle w:val="Compact"/>
        <w:numPr>
          <w:ilvl w:val="0"/>
          <w:numId w:val="1002"/>
        </w:numPr>
      </w:pPr>
      <w:r>
        <w:rPr>
          <w:b/>
          <w:bCs/>
        </w:rPr>
        <w:t xml:space="preserve">Le scale del dolore non sono confrontabili fra loro.</w:t>
      </w:r>
      <w:r>
        <w:t xml:space="preserve"> </w:t>
      </w:r>
      <w:r>
        <w:t xml:space="preserve">Qui ne incontri tre: millimetri su una linea di 100, punti del questionario di impatto, punti su 10. Per «SMD» e «g» vedi il Glossario.</w:t>
      </w:r>
    </w:p>
    <w:bookmarkEnd w:id="10"/>
    <w:bookmarkStart w:id="11" w:name="come-si-studia-questa-bibbia"/>
    <w:p>
      <w:pPr>
        <w:pStyle w:val="Heading3"/>
      </w:pPr>
      <w:r>
        <w:t xml:space="preserve">Come si studia questa Bibbia</w:t>
      </w:r>
    </w:p>
    <w:p>
      <w:pPr>
        <w:pStyle w:val="FirstParagraph"/>
      </w:pPr>
      <w:r>
        <w:t xml:space="preserve">Sei passi, in quest’ordine.</w:t>
      </w:r>
    </w:p>
    <w:p>
      <w:pPr>
        <w:pStyle w:val="Compact"/>
        <w:numPr>
          <w:ilvl w:val="0"/>
          <w:numId w:val="1003"/>
        </w:numPr>
      </w:pPr>
      <w:r>
        <w:rPr>
          <w:b/>
          <w:bCs/>
        </w:rPr>
        <w:t xml:space="preserve">Prima lettura, tutta di fila, senza appunti.</w:t>
      </w:r>
      <w:r>
        <w:t xml:space="preserve"> </w:t>
      </w:r>
      <w:r>
        <w:t xml:space="preserve">Serve la mappa d’insieme.</w:t>
      </w:r>
    </w:p>
    <w:p>
      <w:pPr>
        <w:pStyle w:val="Compact"/>
        <w:numPr>
          <w:ilvl w:val="0"/>
          <w:numId w:val="1003"/>
        </w:numPr>
      </w:pPr>
      <w:r>
        <w:rPr>
          <w:b/>
          <w:bCs/>
        </w:rPr>
        <w:t xml:space="preserve">Seconda passata con un paziente vero in testa.</w:t>
      </w:r>
      <w:r>
        <w:t xml:space="preserve"> </w:t>
      </w:r>
      <w:r>
        <w:t xml:space="preserve">Rileggi «Cosa si rompe» e «Come ragiono davanti a questo paziente», e su ogni meccanismo chiediti</w:t>
      </w:r>
      <w:r>
        <w:t xml:space="preserve"> </w:t>
      </w:r>
      <w:r>
        <w:rPr>
          <w:i/>
          <w:iCs/>
        </w:rPr>
        <w:t xml:space="preserve">era lui?</w:t>
      </w:r>
    </w:p>
    <w:p>
      <w:pPr>
        <w:pStyle w:val="Compact"/>
        <w:numPr>
          <w:ilvl w:val="0"/>
          <w:numId w:val="1003"/>
        </w:numPr>
      </w:pPr>
      <w:r>
        <w:rPr>
          <w:b/>
          <w:bCs/>
        </w:rPr>
        <w:t xml:space="preserve">La prova che conta: chiudi il documento e parla.</w:t>
      </w:r>
      <w:r>
        <w:t xml:space="preserve"> </w:t>
      </w:r>
      <w:r>
        <w:t xml:space="preserve">Di’ ad alta voce i cinque meccanismi, da cosa riconosci ciascuno e</w:t>
      </w:r>
      <w:r>
        <w:t xml:space="preserve"> </w:t>
      </w:r>
      <w:r>
        <w:rPr>
          <w:b/>
          <w:bCs/>
        </w:rPr>
        <w:t xml:space="preserve">cosa ti farebbe cambiare idea su ciascuno</w:t>
      </w:r>
      <w:r>
        <w:t xml:space="preserve">. Quello che non sai dire non l’hai imparato.</w:t>
      </w:r>
    </w:p>
    <w:p>
      <w:pPr>
        <w:pStyle w:val="Compact"/>
        <w:numPr>
          <w:ilvl w:val="0"/>
          <w:numId w:val="1003"/>
        </w:numPr>
      </w:pPr>
      <w:r>
        <w:rPr>
          <w:b/>
          <w:bCs/>
        </w:rPr>
        <w:t xml:space="preserve">Prima del primo paziente: la Mappa concettuale, due minuti.</w:t>
      </w:r>
      <w:r>
        <w:t xml:space="preserve"> </w:t>
      </w:r>
      <w:r>
        <w:t xml:space="preserve">Non la Bibbia.</w:t>
      </w:r>
    </w:p>
    <w:p>
      <w:pPr>
        <w:pStyle w:val="Compact"/>
        <w:numPr>
          <w:ilvl w:val="0"/>
          <w:numId w:val="1003"/>
        </w:numPr>
      </w:pPr>
      <w:r>
        <w:rPr>
          <w:b/>
          <w:bCs/>
        </w:rPr>
        <w:t xml:space="preserve">Dopo i primi tre pazienti: rileggi «Dove finisce il nostro campo» e «Cosa dice la scienza».</w:t>
      </w:r>
      <w:r>
        <w:t xml:space="preserve"> </w:t>
      </w:r>
      <w:r>
        <w:t xml:space="preserve">Dicono una cosa diversa quando hai avuto qualcuno davanti. Il primo contiene la domanda sull’ideazione suicidaria. Il secondo contiene lo studio negativo che va detto prima di iniziare. Nessuna delle due si legge allo stesso modo dopo che l’hai fatto davvero.</w:t>
      </w:r>
    </w:p>
    <w:p>
      <w:pPr>
        <w:pStyle w:val="Compact"/>
        <w:numPr>
          <w:ilvl w:val="0"/>
          <w:numId w:val="1003"/>
        </w:numPr>
      </w:pPr>
      <w:r>
        <w:rPr>
          <w:b/>
          <w:bCs/>
        </w:rPr>
        <w:t xml:space="preserve">A sei mesi: solo la Mappa.</w:t>
      </w:r>
      <w:r>
        <w:t xml:space="preserve"> </w:t>
      </w:r>
      <w:r>
        <w:t xml:space="preserve">Se un blocco non ti riaccende il capitolo, quello è il capitolo da rileggere.</w:t>
      </w:r>
    </w:p>
    <w:p>
      <w:pPr>
        <w:pStyle w:val="FirstParagraph"/>
      </w:pPr>
      <w:r>
        <w:t xml:space="preserve">Il principio:</w:t>
      </w:r>
      <w:r>
        <w:t xml:space="preserve"> </w:t>
      </w: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4"/>
        </w:numPr>
      </w:pPr>
      <w:r>
        <w:t xml:space="preserve">Le quattro etichette portano sempre la loro glossa e non si declinano: la prova contraria sta nella frase.</w:t>
      </w:r>
    </w:p>
    <w:p>
      <w:pPr>
        <w:pStyle w:val="Compact"/>
        <w:numPr>
          <w:ilvl w:val="0"/>
          <w:numId w:val="1004"/>
        </w:numPr>
      </w:pPr>
      <w:r>
        <w:t xml:space="preserve">La Bibbia arriva al razionale della leva e si ferma lì. Il gesto è nella Procedura.</w:t>
      </w:r>
    </w:p>
    <w:p>
      <w:pPr>
        <w:pStyle w:val="Compact"/>
        <w:numPr>
          <w:ilvl w:val="0"/>
          <w:numId w:val="1004"/>
        </w:numPr>
      </w:pPr>
      <w:r>
        <w:t xml:space="preserve">Su questa condizione l’onestà non è una precauzione: è il contenuto principale del documento.</w:t>
      </w:r>
    </w:p>
    <w:p>
      <w:pPr>
        <w:pStyle w:val="Compact"/>
        <w:numPr>
          <w:ilvl w:val="0"/>
          <w:numId w:val="1004"/>
        </w:numPr>
      </w:pPr>
      <w:r>
        <w:rPr>
          <w:b/>
          <w:bCs/>
        </w:rPr>
        <w:t xml:space="preserve">Perché ci sei tu.</w:t>
      </w:r>
      <w:r>
        <w:t xml:space="preserve"> </w:t>
      </w:r>
      <w:r>
        <w:t xml:space="preserve">Il paziente medio impiega 2,3 anni e 3,7 medici prima di sentirsi dire un nome (Choy, 2010, PMID 20420681). Ti autorizza a guardare tutto il quadro invece di un pezzo. Non a dare quel nome tu.</w:t>
      </w:r>
    </w:p>
    <w:p>
      <w:pPr>
        <w:pStyle w:val="FirstParagraph"/>
      </w:pPr>
      <w:r>
        <w:t xml:space="preserve">Buon nutrimento!</w:t>
      </w:r>
    </w:p>
    <w:p>
      <w:r>
        <w:pict>
          <v:rect style="width:0;height:1.5pt" o:hralign="center" o:hrstd="t" o:hr="t"/>
        </w:pict>
      </w:r>
    </w:p>
    <w:bookmarkEnd w:id="11"/>
    <w:bookmarkEnd w:id="12"/>
    <w:bookmarkStart w:id="17"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una persona che ha già fatto tutti gli esami, li ha tutti negativi, e ha passato anni a chiedere di essere creduta.</w:t>
      </w:r>
    </w:p>
    <w:bookmarkStart w:id="13" w:name="come-lo-racconta-lei"/>
    <w:p>
      <w:pPr>
        <w:pStyle w:val="Heading3"/>
      </w:pPr>
      <w:r>
        <w:t xml:space="preserve">Come lo racconta lei</w:t>
      </w:r>
    </w:p>
    <w:p>
      <w:pPr>
        <w:pStyle w:val="FirstParagraph"/>
      </w:pPr>
      <w:r>
        <w:t xml:space="preserve">Nove volte su dieci chi si siede davanti a te è una donna. Ma quel nove a uno è il rapporto degli ambulatori e dei criteri del 1990.</w:t>
      </w:r>
    </w:p>
    <w:p>
      <w:pPr>
        <w:pStyle w:val="BodyText"/>
      </w:pPr>
      <w:r>
        <w:t xml:space="preserve">Sullo stesso campione di popolazione il rapporto fra donne e uomini cambia con lo strumento: 13,7 a 1 con i criteri 1990, 2,3 a 1 con i criteri 2010 modificati (Jones, 2015, PMID 25323744). Con i criteri correnti la prevalenza è 2,4% nelle donne contro 1,8% negli uomini, e la differenza non è significativa (Wolfe, 2013, PMID 23424058).</w:t>
      </w:r>
      <w:r>
        <w:t xml:space="preserve"> </w:t>
      </w:r>
      <w:r>
        <w:rPr>
          <w:b/>
          <w:bCs/>
        </w:rPr>
        <w:t xml:space="preserve">Il nove a uno è un dato dello strumento con cui conti, non della condizione. Se non lo cerchi in un uomo, non lo trovi.</w:t>
      </w:r>
    </w:p>
    <w:p>
      <w:pPr>
        <w:pStyle w:val="BodyText"/>
      </w:pPr>
      <w:r>
        <w:t xml:space="preserve">Le parole che senti in stanza sono quasi sempre queste:</w:t>
      </w:r>
    </w:p>
    <w:p>
      <w:pPr>
        <w:pStyle w:val="Compact"/>
        <w:numPr>
          <w:ilvl w:val="0"/>
          <w:numId w:val="1005"/>
        </w:numPr>
      </w:pPr>
      <w:r>
        <w:rPr>
          <w:i/>
          <w:iCs/>
        </w:rPr>
        <w:t xml:space="preserve">«Mi fa male dappertutto, e cambia posto. Oggi le spalle, domani le gambe.»</w:t>
      </w:r>
    </w:p>
    <w:p>
      <w:pPr>
        <w:pStyle w:val="Compact"/>
        <w:numPr>
          <w:ilvl w:val="0"/>
          <w:numId w:val="1005"/>
        </w:numPr>
      </w:pPr>
      <w:r>
        <w:rPr>
          <w:i/>
          <w:iCs/>
        </w:rPr>
        <w:t xml:space="preserve">«Dormo e mi sveglio come se non avessi dormito. Non è essere stanca: è essere svuotata.»</w:t>
      </w:r>
    </w:p>
    <w:p>
      <w:pPr>
        <w:pStyle w:val="Compact"/>
        <w:numPr>
          <w:ilvl w:val="0"/>
          <w:numId w:val="1005"/>
        </w:numPr>
      </w:pPr>
      <w:r>
        <w:rPr>
          <w:i/>
          <w:iCs/>
        </w:rPr>
        <w:t xml:space="preserve">«Perdo le parole a metà frase. E questo, più del dolore, mi fa sentire che sto perdendo pezzi di me.»</w:t>
      </w:r>
    </w:p>
    <w:p>
      <w:pPr>
        <w:pStyle w:val="Compact"/>
        <w:numPr>
          <w:ilvl w:val="0"/>
          <w:numId w:val="1005"/>
        </w:numPr>
      </w:pPr>
      <w:r>
        <w:rPr>
          <w:i/>
          <w:iCs/>
        </w:rPr>
        <w:t xml:space="preserve">«Se sto bene un giorno e faccio le cose, il giorno dopo lo pago con gli interessi. Ho imparato che anche stare bene si paga.»</w:t>
      </w:r>
    </w:p>
    <w:p>
      <w:pPr>
        <w:pStyle w:val="Compact"/>
        <w:numPr>
          <w:ilvl w:val="0"/>
          <w:numId w:val="1005"/>
        </w:numPr>
      </w:pPr>
      <w:r>
        <w:rPr>
          <w:i/>
          <w:iCs/>
        </w:rPr>
        <w:t xml:space="preserve">«Se resto in piedi ferma in fila, dopo dieci minuti devo sedermi o mi gira la testa.»</w:t>
      </w:r>
    </w:p>
    <w:p>
      <w:pPr>
        <w:pStyle w:val="Compact"/>
        <w:numPr>
          <w:ilvl w:val="0"/>
          <w:numId w:val="1005"/>
        </w:numPr>
      </w:pPr>
      <w:r>
        <w:rPr>
          <w:i/>
          <w:iCs/>
        </w:rPr>
        <w:t xml:space="preserve">«Mi hanno detto che era nella mia testa.»</w:t>
      </w:r>
    </w:p>
    <w:p>
      <w:pPr>
        <w:pStyle w:val="FirstParagraph"/>
      </w:pPr>
      <w:r>
        <w:rPr>
          <w:b/>
          <w:bCs/>
        </w:rPr>
        <w:t xml:space="preserve">L’ultima frase è il centro del racconto, non un dettaglio.</w:t>
      </w:r>
      <w:r>
        <w:t xml:space="preserve"> </w:t>
      </w:r>
      <w:r>
        <w:t xml:space="preserve">Il pellegrinaggio — reumatologo, neurologo, medico di base, esami su esami — ha prodotto un nome e nient’altro. E lungo la strada qualcuno le ha fatto capire, con le parole o con lo sguardo, che se lo stava inventando.</w:t>
      </w:r>
    </w:p>
    <w:bookmarkEnd w:id="13"/>
    <w:bookmarkStart w:id="14" w:name="cosa-ha-già-fatto"/>
    <w:p>
      <w:pPr>
        <w:pStyle w:val="Heading3"/>
      </w:pPr>
      <w:r>
        <w:t xml:space="preserve">Cosa ha già fatto</w:t>
      </w:r>
    </w:p>
    <w:p>
      <w:pPr>
        <w:pStyle w:val="FirstParagraph"/>
      </w:pPr>
      <w:r>
        <w:rPr>
          <w:b/>
          <w:bCs/>
        </w:rPr>
        <w:t xml:space="preserve">Esami del sangue a ripetizione:</w:t>
      </w:r>
      <w:r>
        <w:t xml:space="preserve"> </w:t>
      </w:r>
      <w:r>
        <w:t xml:space="preserve">VES, PCR, tiroide, vitamina D, autoanticorpi. Tutti normali, e la normalità è</w:t>
      </w:r>
      <w:r>
        <w:t xml:space="preserve"> </w:t>
      </w:r>
      <w:r>
        <w:rPr>
          <w:b/>
          <w:bCs/>
        </w:rPr>
        <w:t xml:space="preserve">parte del problema</w:t>
      </w:r>
      <w:r>
        <w:t xml:space="preserve">. Quegli esami servono a escludere altro, non a dimostrare la fibromialgia, che resta una diagnosi clinica senza un esame che la provi. Sono le chiavi che provi in tutte le altre porte: escludono, non aprono la tua. Poi radiografie e risonanze a decine, tutte negative: ognuna un mattone in più nella sensazione di non essere creduta.</w:t>
      </w:r>
    </w:p>
    <w:p>
      <w:pPr>
        <w:pStyle w:val="BodyText"/>
      </w:pPr>
      <w:r>
        <w:rPr>
          <w:b/>
          <w:bCs/>
        </w:rPr>
        <w:t xml:space="preserve">Farmaci.</w:t>
      </w:r>
      <w:r>
        <w:t xml:space="preserve"> </w:t>
      </w:r>
      <w:r>
        <w:t xml:space="preserve">Pregabalin o duloxetina prescritti dallo specialista. Amitriptilina a basso dosaggio per il dolore e per il sonno. Ciclobenzaprina o altri miorilassanti. Quasi sempre un oppioide debole — tramadolo, spesso in associazione con paracetamolo — che nessuno dichiara spontaneamente. E sopra a tutto, anni di antinfiammatori presi in autogestione, che sono fra i meno efficaci su questo tipo di dolore.</w:t>
      </w:r>
    </w:p>
    <w:p>
      <w:pPr>
        <w:pStyle w:val="BodyText"/>
      </w:pPr>
      <w:r>
        <w:t xml:space="preserve">Chiedi anche di un inibitore dell’aromatasi: anastrozolo, letrozolo, exemestane. La sindrome muscolo-scheletrica da questi farmaci colpisce fino a metà delle donne trattate. Dà artralgie diffuse, rigidità e tendinopatie (Hyder, 2021, PMID 34385978).</w:t>
      </w:r>
      <w:r>
        <w:t xml:space="preserve"> </w:t>
      </w:r>
      <w:r>
        <w:rPr>
          <w:i/>
          <w:iCs/>
        </w:rPr>
        <w:t xml:space="preserve">Misurato su donne in terapia adiuvante per carcinoma mammario, non su pazienti con fibromialgia: è un quadro che la imita, non una sua variante.</w:t>
      </w:r>
    </w:p>
    <w:p>
      <w:pPr>
        <w:pStyle w:val="BodyText"/>
      </w:pPr>
      <w:r>
        <w:rPr>
          <w:b/>
          <w:bCs/>
        </w:rPr>
        <w:t xml:space="preserve">Tentativi non farmacologici.</w:t>
      </w:r>
      <w:r>
        <w:t xml:space="preserve"> </w:t>
      </w:r>
      <w:r>
        <w:t xml:space="preserve">Attività fisica dolce, difficilissima da sostenere quando ogni sforzo si paga. Integratori. Supporto psicologico, utile sull’impatto e devastante quando arriva come se il dolore fosse inventato. Massaggi, che danno sollievo per due giorni e a volte fanno male mentre si fanno.</w:t>
      </w:r>
    </w:p>
    <w:bookmarkEnd w:id="14"/>
    <w:bookmarkStart w:id="15" w:name="cosa-nessuno-ha-guardato"/>
    <w:p>
      <w:pPr>
        <w:pStyle w:val="Heading3"/>
      </w:pPr>
      <w:r>
        <w:t xml:space="preserve">Cosa nessuno ha guardato</w:t>
      </w:r>
    </w:p>
    <w:p>
      <w:pPr>
        <w:pStyle w:val="FirstParagraph"/>
      </w:pPr>
      <w:r>
        <w:t xml:space="preserve">Quattro buchi ricorrenti nel percorso. Nessuno è colpa di chi lo ha condotto: sono semplicemente fuori dal mandato di ciascuno.</w:t>
      </w:r>
    </w:p>
    <w:p>
      <w:pPr>
        <w:pStyle w:val="BodyText"/>
      </w:pPr>
      <w:r>
        <w:rPr>
          <w:b/>
          <w:bCs/>
        </w:rPr>
        <w:t xml:space="preserve">Il sonno, misurato invece che raccontato.</w:t>
      </w:r>
      <w:r>
        <w:t xml:space="preserve"> </w:t>
      </w:r>
      <w:r>
        <w:t xml:space="preserve">«Dormo male» compare in cartella come sintomo e non come bersaglio. Quante volte si sveglia, quanto ci mette a riaddormentarsi, cosa fa alle tre di notte: nessuno lo ha chiesto in modo da poterlo contare.</w:t>
      </w:r>
    </w:p>
    <w:p>
      <w:pPr>
        <w:pStyle w:val="BodyText"/>
      </w:pPr>
      <w:r>
        <w:rPr>
          <w:b/>
          <w:bCs/>
        </w:rPr>
        <w:t xml:space="preserve">Il ritmo delle giornate.</w:t>
      </w:r>
      <w:r>
        <w:t xml:space="preserve"> </w:t>
      </w:r>
      <w:r>
        <w:t xml:space="preserve">Nessuno le ha chiesto quanto costa una giornata buona, e quanti giorni dopo.</w:t>
      </w:r>
    </w:p>
    <w:p>
      <w:pPr>
        <w:pStyle w:val="BodyText"/>
      </w:pPr>
      <w:r>
        <w:rPr>
          <w:b/>
          <w:bCs/>
        </w:rPr>
        <w:t xml:space="preserve">I generatori regionali dentro il quadro diffuso.</w:t>
      </w:r>
      <w:r>
        <w:t xml:space="preserve"> </w:t>
      </w:r>
      <w:r>
        <w:t xml:space="preserve">Una spalla che ha una sua storia, una cervicale con un’escursione ridotta da un vecchio incidente, una mandibola che lavora di notte. Nel racconto «mi fa male dappertutto» quei pezzi spariscono, e nessuno li ha separati dal resto.</w:t>
      </w:r>
    </w:p>
    <w:p>
      <w:pPr>
        <w:pStyle w:val="BodyText"/>
      </w:pPr>
      <w:r>
        <w:rPr>
          <w:b/>
          <w:bCs/>
        </w:rPr>
        <w:t xml:space="preserve">Lo stato dell’umore.</w:t>
      </w:r>
      <w:r>
        <w:t xml:space="preserve"> </w:t>
      </w:r>
      <w:r>
        <w:t xml:space="preserve">In cartella compare come contorno del dolore, non come un problema con un suo canale. Ma in questa popolazione l’ideazione suicidaria è stata riportata nel 29,6% dei pazienti, e i tentativi nel 5,7% (Adawi, 2021, PMID 34867495).</w:t>
      </w:r>
      <w:r>
        <w:t xml:space="preserve"> </w:t>
      </w:r>
      <w:r>
        <w:rPr>
          <w:b/>
          <w:bCs/>
        </w:rPr>
        <w:t xml:space="preserve">Per te:</w:t>
      </w:r>
      <w:r>
        <w:t xml:space="preserve"> </w:t>
      </w:r>
      <w:r>
        <w:t xml:space="preserve">quasi un paziente su tre ci ha pensato. È il numero che rende la domanda del terzo passo della Road Map una procedura invece che una delicatezza. È il buco che costa di più.</w:t>
      </w:r>
    </w:p>
    <w:bookmarkEnd w:id="15"/>
    <w:bookmarkStart w:id="16" w:name="le-tre-domande-che-ti-farà"/>
    <w:p>
      <w:pPr>
        <w:pStyle w:val="Heading3"/>
      </w:pPr>
      <w:r>
        <w:t xml:space="preserve">Le tre domande che ti farà</w:t>
      </w:r>
    </w:p>
    <w:p>
      <w:pPr>
        <w:pStyle w:val="FirstParagraph"/>
      </w:pPr>
      <w:r>
        <w:t xml:space="preserve">Ti farà sempre le stesse tre domande. Se è nella sua testa. A cosa serve venire, se il volume resta alto. Perché con te dovrebbe essere diverso dai massaggi. Le risposte, per esteso, sono nel Capitolo 13.</w:t>
      </w:r>
    </w:p>
    <w:p>
      <w:pPr>
        <w:pStyle w:val="BodyText"/>
      </w:pPr>
      <w:r>
        <w:rPr>
          <w:b/>
          <w:bCs/>
        </w:rPr>
        <w:t xml:space="preserve">Le tre cose da ricordare, più una</w:t>
      </w:r>
    </w:p>
    <w:p>
      <w:pPr>
        <w:pStyle w:val="Compact"/>
        <w:numPr>
          <w:ilvl w:val="0"/>
          <w:numId w:val="1006"/>
        </w:numPr>
      </w:pPr>
      <w:r>
        <w:t xml:space="preserve">Chi arriva ha già escluso tutto: il tuo valore non è aggiungere un esame, è guardare quello che nessun esame misura.</w:t>
      </w:r>
    </w:p>
    <w:p>
      <w:pPr>
        <w:pStyle w:val="Compact"/>
        <w:numPr>
          <w:ilvl w:val="0"/>
          <w:numId w:val="1006"/>
        </w:numPr>
      </w:pPr>
      <w:r>
        <w:t xml:space="preserve">Le quattro cose non guardate sono il sonno contato, il costo delle giornate buone, i generatori regionali dentro il diffuso e lo stato dell’umore.</w:t>
      </w:r>
    </w:p>
    <w:p>
      <w:pPr>
        <w:pStyle w:val="Compact"/>
        <w:numPr>
          <w:ilvl w:val="0"/>
          <w:numId w:val="1006"/>
        </w:numPr>
      </w:pPr>
      <w:r>
        <w:t xml:space="preserve">«Mi hanno detto che è nella mia testa» è il centro del racconto, non un aneddoto.</w:t>
      </w:r>
    </w:p>
    <w:p>
      <w:pPr>
        <w:pStyle w:val="Compact"/>
        <w:numPr>
          <w:ilvl w:val="0"/>
          <w:numId w:val="1006"/>
        </w:numPr>
      </w:pPr>
      <w:r>
        <w:rPr>
          <w:b/>
          <w:bCs/>
        </w:rPr>
        <w:t xml:space="preserve">Perché ci sei tu.</w:t>
      </w:r>
      <w:r>
        <w:t xml:space="preserve"> </w:t>
      </w:r>
      <w:r>
        <w:t xml:space="preserve">Ricevere l’etichetta non peggiora l’esito — confronto dentro il gruppo, senza controllo, con la funzione fisica leggermente peggiore (White, 2002, PMID 12115155). Ti autorizza a usare la parola senza timore. Non a formularla tu.</w:t>
      </w:r>
    </w:p>
    <w:p>
      <w:r>
        <w:pict>
          <v:rect style="width:0;height:1.5pt" o:hralign="center" o:hrstd="t" o:hr="t"/>
        </w:pict>
      </w:r>
    </w:p>
    <w:bookmarkEnd w:id="16"/>
    <w:bookmarkEnd w:id="17"/>
    <w:bookmarkStart w:id="23" w:name="capitolo-2-che-cosè-davvero"/>
    <w:p>
      <w:pPr>
        <w:pStyle w:val="Heading2"/>
      </w:pPr>
      <w:r>
        <w:t xml:space="preserve">Capitolo 2 — Che cos’è davvero</w:t>
      </w:r>
    </w:p>
    <w:p>
      <w:pPr>
        <w:pStyle w:val="BlockText"/>
      </w:pPr>
      <w:r>
        <w:rPr>
          <w:b/>
          <w:bCs/>
        </w:rPr>
        <w:t xml:space="preserve">In una riga:</w:t>
      </w:r>
      <w:r>
        <w:t xml:space="preserve"> </w:t>
      </w:r>
      <w:r>
        <w:t xml:space="preserve">è un dolore diffuso e persistente generato dal modo in cui il sistema nervoso elabora i segnali, non dal tessuto in cui il paziente lo sente.</w:t>
      </w:r>
    </w:p>
    <w:bookmarkStart w:id="18" w:name="la-definizione"/>
    <w:p>
      <w:pPr>
        <w:pStyle w:val="Heading3"/>
      </w:pPr>
      <w:r>
        <w:t xml:space="preserve">La definizione</w:t>
      </w:r>
    </w:p>
    <w:p>
      <w:pPr>
        <w:pStyle w:val="FirstParagraph"/>
      </w:pPr>
      <w:r>
        <w:t xml:space="preserve">La fibromialgia si diagnostica clinicamente. I criteri di riferimento sono quelli dell’American College of Rheumatology nella revisione 2016.</w:t>
      </w:r>
    </w:p>
    <w:p>
      <w:pPr>
        <w:pStyle w:val="BodyText"/>
      </w:pPr>
      <w:r>
        <w:t xml:space="preserve">Servono tre cose:</w:t>
      </w:r>
    </w:p>
    <w:p>
      <w:pPr>
        <w:pStyle w:val="Compact"/>
        <w:numPr>
          <w:ilvl w:val="0"/>
          <w:numId w:val="1007"/>
        </w:numPr>
      </w:pPr>
      <w:r>
        <w:t xml:space="preserve">Dolore diffuso secondo un indice delle sedi.</w:t>
      </w:r>
    </w:p>
    <w:p>
      <w:pPr>
        <w:pStyle w:val="Compact"/>
        <w:numPr>
          <w:ilvl w:val="0"/>
          <w:numId w:val="1007"/>
        </w:numPr>
      </w:pPr>
      <w:r>
        <w:t xml:space="preserve">Un punteggio di gravità dei sintomi, che comprende stanchezza, sonno non ristoratore e sintomi cognitivi.</w:t>
      </w:r>
    </w:p>
    <w:p>
      <w:pPr>
        <w:pStyle w:val="Compact"/>
        <w:numPr>
          <w:ilvl w:val="0"/>
          <w:numId w:val="1007"/>
        </w:numPr>
      </w:pPr>
      <w:r>
        <w:t xml:space="preserve">Una durata di almeno tre mesi.</w:t>
      </w:r>
    </w:p>
    <w:p>
      <w:pPr>
        <w:pStyle w:val="FirstParagraph"/>
      </w:pPr>
      <w:r>
        <w:t xml:space="preserve">E poi il punto cruciale:</w:t>
      </w:r>
      <w:r>
        <w:t xml:space="preserve"> </w:t>
      </w:r>
      <w:r>
        <w:rPr>
          <w:b/>
          <w:bCs/>
        </w:rPr>
        <w:t xml:space="preserve">la diagnosi è valida indipendentemente da altre diagnosi presenti.</w:t>
      </w:r>
      <w:r>
        <w:t xml:space="preserve"> </w:t>
      </w:r>
      <w:r>
        <w:t xml:space="preserve">La revisione ha eliminato la raccomandazione confusa sulle esclusioni. I criteri 2010/2011, da cui la revisione 2016 deriva, hanno mostrato sull’insieme degli studi di validazione una sensibilità mediana dell’86% e una specificità del 90% (Wolfe, 2016, PMID 27916278). La revisione 2016 è stata derivata da quei quattordici studi, non validata su di essi.</w:t>
      </w:r>
    </w:p>
    <w:p>
      <w:pPr>
        <w:pStyle w:val="BodyText"/>
      </w:pPr>
      <w:r>
        <w:rPr>
          <w:b/>
          <w:bCs/>
        </w:rPr>
        <w:t xml:space="preserve">I numeri, perché tu riconosca e non perché tu diagnostichi.</w:t>
      </w:r>
      <w:r>
        <w:t xml:space="preserve"> </w:t>
      </w:r>
      <w:r>
        <w:t xml:space="preserve">L’indice delle sedi va da 0 a 19; il punteggio di gravità dei sintomi va da 0 a 12. Il quadro è soddisfatto in due modi: indice ≥7 e gravità ≥5, oppure indice 4-6 e gravità ≥9. In entrambi serve dolore in almeno quattro delle cinque regioni corporee da tre mesi (Wolfe, 2016, PMID 27916278). Ti servono per sapere dove passa il confine fra «dolore in quattro posti» e «dolore diffuso». Non per formulare la diagnosi, che non è tua.</w:t>
      </w:r>
    </w:p>
    <w:p>
      <w:pPr>
        <w:pStyle w:val="BodyText"/>
      </w:pPr>
      <w:r>
        <w:t xml:space="preserve">Nella classificazione internazionale delle malattie in vigore, la fibromialgia sta fra i</w:t>
      </w:r>
      <w:r>
        <w:t xml:space="preserve"> </w:t>
      </w:r>
      <w:r>
        <w:rPr>
          <w:b/>
          <w:bCs/>
        </w:rPr>
        <w:t xml:space="preserve">dolori cronici primari</w:t>
      </w:r>
      <w:r>
        <w:t xml:space="preserve">: il dolore è la malattia, non il sintomo di un’altra (Treede, 2019, PMID 30586067).</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criteri validati su quattordici studi di validazione e adottati dalle società scientifiche.</w:t>
      </w:r>
    </w:p>
    <w:p>
      <w:pPr>
        <w:pStyle w:val="FirstParagraph"/>
      </w:pPr>
      <w:r>
        <w:rPr>
          <w:b/>
          <w:bCs/>
        </w:rPr>
        <w:t xml:space="preserve">La conta dei diciotto punti dolorosi non serve più.</w:t>
      </w:r>
      <w:r>
        <w:t xml:space="preserve"> </w:t>
      </w:r>
      <w:r>
        <w:t xml:space="preserve">Era il criterio del 1990. È stata abbandonata nel 2010 e non è tornata nel 2016. Se la usi ancora come misura, stai usando uno strumento che gli autori dei criteri hanno tolto. La letteratura ha mostrato che quella conta riflette il livello generale di sofferenza più che una patologia locale (Pearce, 2004, PMID 15256826).</w:t>
      </w:r>
    </w:p>
    <w:bookmarkEnd w:id="18"/>
    <w:bookmarkStart w:id="19" w:name="quanto-è-diffusa"/>
    <w:p>
      <w:pPr>
        <w:pStyle w:val="Heading3"/>
      </w:pPr>
      <w:r>
        <w:t xml:space="preserve">Quanto è diffusa</w:t>
      </w:r>
    </w:p>
    <w:p>
      <w:pPr>
        <w:pStyle w:val="FirstParagraph"/>
      </w:pPr>
      <w:r>
        <w:t xml:space="preserve">In Italia la fibromialgia risulta presente nel</w:t>
      </w:r>
      <w:r>
        <w:t xml:space="preserve"> </w:t>
      </w:r>
      <w:r>
        <w:rPr>
          <w:b/>
          <w:bCs/>
        </w:rPr>
        <w:t xml:space="preserve">2,22%</w:t>
      </w:r>
      <w:r>
        <w:t xml:space="preserve"> </w:t>
      </w:r>
      <w:r>
        <w:t xml:space="preserve">della popolazione adulta. Il dato viene da un campione di comunità di 2.155 adulti visitati da reumatologi (Salaffi, 2005, PMID 16396700).</w:t>
      </w:r>
      <w:r>
        <w:t xml:space="preserve"> </w:t>
      </w:r>
      <w:r>
        <w:rPr>
          <w:b/>
          <w:bCs/>
        </w:rPr>
        <w:t xml:space="preserve">Per te:</w:t>
      </w:r>
      <w:r>
        <w:t xml:space="preserve"> </w:t>
      </w:r>
      <w:r>
        <w:t xml:space="preserve">è il numero che ti riguarda, perché è italiano ed è di popolazione generale. Su cento persone che passano davanti al tuo studio, due hanno il quadro.</w:t>
      </w:r>
    </w:p>
    <w:p>
      <w:pPr>
        <w:pStyle w:val="BodyText"/>
      </w:pPr>
      <w:r>
        <w:t xml:space="preserve">Nella sintesi mondiale su oltre tre milioni e mezzo di soggetti la stima scende all’1,78%, con il 3,98% fra le donne. La stima negli uomini è 0,01%, con un intervallo che va da −0,04 a 0,06 (Heidari, 2017, PMID 28447207).</w:t>
      </w:r>
      <w:r>
        <w:t xml:space="preserve"> </w:t>
      </w:r>
      <w:r>
        <w:rPr>
          <w:b/>
          <w:bCs/>
        </w:rPr>
        <w:t xml:space="preserve">La stima negli uomini di quella fonte non è utilizzabile:</w:t>
      </w:r>
      <w:r>
        <w:t xml:space="preserve"> </w:t>
      </w:r>
      <w:r>
        <w:t xml:space="preserve">l’intervallo comprende lo zero e i criteri sono vecchi. Vale l’1,8% del Capitolo 1. La differenza fra le stime di popolazione dipende dai criteri usati e dal metodo di rilevazione. Non da una differenza reale fra Italia e resto del mondo.</w:t>
      </w:r>
    </w:p>
    <w:p>
      <w:pPr>
        <w:pStyle w:val="BodyText"/>
      </w:pPr>
      <w:r>
        <w:t xml:space="preserve">Nei gruppi selezionati il numero cambia natura. Fra i pazienti che arrivano in un ambulatorio reumatologico o di medicina interna è il</w:t>
      </w:r>
      <w:r>
        <w:t xml:space="preserve"> </w:t>
      </w:r>
      <w:r>
        <w:rPr>
          <w:b/>
          <w:bCs/>
        </w:rPr>
        <w:t xml:space="preserve">15,2%</w:t>
      </w:r>
      <w:r>
        <w:t xml:space="preserve">. Fra chi ha una sindrome dell’intestino irritabile è il</w:t>
      </w:r>
      <w:r>
        <w:t xml:space="preserve"> </w:t>
      </w:r>
      <w:r>
        <w:rPr>
          <w:b/>
          <w:bCs/>
        </w:rPr>
        <w:t xml:space="preserve">12,9%</w:t>
      </w:r>
      <w:r>
        <w:t xml:space="preserve"> </w:t>
      </w:r>
      <w:r>
        <w:t xml:space="preserve">(Heidari, 2017).</w:t>
      </w:r>
      <w:r>
        <w:t xml:space="preserve"> </w:t>
      </w:r>
      <w:r>
        <w:rPr>
          <w:b/>
          <w:bCs/>
        </w:rPr>
        <w:t xml:space="preserve">Per te:</w:t>
      </w:r>
      <w:r>
        <w:t xml:space="preserve"> </w:t>
      </w:r>
      <w:r>
        <w:t xml:space="preserve">su sette persone che vedi per un colon irritabile, una ha anche questo quadro. E se non lo cerchi, spiegherai il suo dolore diffuso con l’intestino.</w:t>
      </w:r>
    </w:p>
    <w:bookmarkEnd w:id="19"/>
    <w:bookmarkStart w:id="20" w:name="come-evolve-se-non-fai-nulla"/>
    <w:p>
      <w:pPr>
        <w:pStyle w:val="Heading3"/>
      </w:pPr>
      <w:r>
        <w:t xml:space="preserve">Come evolve se non fai nulla</w:t>
      </w:r>
    </w:p>
    <w:p>
      <w:pPr>
        <w:pStyle w:val="FirstParagraph"/>
      </w:pPr>
      <w:r>
        <w:t xml:space="preserve">Fluttua, e una quota migliora da sola.</w:t>
      </w:r>
    </w:p>
    <w:p>
      <w:pPr>
        <w:pStyle w:val="BodyText"/>
      </w:pPr>
      <w:r>
        <w:t xml:space="preserve">In una coorte di comunità sono stati ritrovati quarantaquattro pazienti a due anni: il</w:t>
      </w:r>
      <w:r>
        <w:t xml:space="preserve"> </w:t>
      </w:r>
      <w:r>
        <w:rPr>
          <w:b/>
          <w:bCs/>
        </w:rPr>
        <w:t xml:space="preserve">47% non soddisfaceva più i criteri</w:t>
      </w:r>
      <w:r>
        <w:t xml:space="preserve">, con remissione nel</w:t>
      </w:r>
      <w:r>
        <w:t xml:space="preserve"> </w:t>
      </w:r>
      <w:r>
        <w:rPr>
          <w:b/>
          <w:bCs/>
        </w:rPr>
        <w:t xml:space="preserve">24,2%</w:t>
      </w:r>
      <w:r>
        <w:t xml:space="preserve"> </w:t>
      </w:r>
      <w:r>
        <w:t xml:space="preserve">(Granges, 1994, PMID 8006897). In una coorte specialistica seguita fino a undici anni, su 1.555 pazienti: il</w:t>
      </w:r>
      <w:r>
        <w:t xml:space="preserve"> </w:t>
      </w:r>
      <w:r>
        <w:rPr>
          <w:b/>
          <w:bCs/>
        </w:rPr>
        <w:t xml:space="preserve">44% è risultato criteri-negativo almeno una volta</w:t>
      </w:r>
      <w:r>
        <w:t xml:space="preserve">, circa il 25% ha avuto un miglioramento almeno moderato del dolore, e la gravità è peggiorata nel 35,9% (Walitt, 2011, PMID 21765102).</w:t>
      </w:r>
    </w:p>
    <w:p>
      <w:pPr>
        <w:pStyle w:val="BodyText"/>
      </w:pPr>
      <w:r>
        <w:t xml:space="preserve">La differenza fra i due quadri è</w:t>
      </w:r>
      <w:r>
        <w:t xml:space="preserve"> </w:t>
      </w:r>
      <w:r>
        <w:rPr>
          <w:b/>
          <w:bCs/>
        </w:rPr>
        <w:t xml:space="preserve">di selezione</w:t>
      </w:r>
      <w:r>
        <w:t xml:space="preserve">: chi arriva in reumatologia sta peggio di chi vive in comunità. In entrambi, il quadro non progredisce verso un danno di tessuto.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due coorti seguite nel tempo, con criteri dichiarati.</w:t>
      </w:r>
    </w:p>
    <w:p>
      <w:pPr>
        <w:pStyle w:val="FirstParagraph"/>
      </w:pPr>
      <w:r>
        <w:rPr>
          <w:b/>
          <w:bCs/>
        </w:rPr>
        <w:t xml:space="preserve">Per te:</w:t>
      </w:r>
      <w:r>
        <w:t xml:space="preserve"> </w:t>
      </w:r>
      <w:r>
        <w:t xml:space="preserve">il tasso di fondo contro cui leggerai il tuo marker non è zero. In comunità quasi un paziente su quattro va in remissione a due anni senza che nessuno gli abbia messo le mani addosso.</w:t>
      </w:r>
      <w:r>
        <w:t xml:space="preserve"> </w:t>
      </w:r>
      <w:r>
        <w:rPr>
          <w:b/>
          <w:bCs/>
        </w:rPr>
        <w:t xml:space="preserve">Una parte di ogni miglioramento che vedi dopo una seduta appartiene alla fluttuazione spontanea</w:t>
      </w:r>
      <w:r>
        <w:t xml:space="preserve">, e senza un marker scelto prima non hai modo di distinguerla dal tuo lavoro. È come giudicare un’auto in discesa: qualcosa la spinge da sola, e non è il motore.</w:t>
      </w:r>
    </w:p>
    <w:bookmarkEnd w:id="20"/>
    <w:bookmarkStart w:id="21" w:name="X6820c7f04c7379b5930bec9ad9aa3ee0e127e21"/>
    <w:p>
      <w:pPr>
        <w:pStyle w:val="Heading3"/>
      </w:pPr>
      <w:r>
        <w:t xml:space="preserve">Cosa dicono le etichette che porta, e cosa non dicono</w:t>
      </w:r>
    </w:p>
    <w:p>
      <w:pPr>
        <w:pStyle w:val="FirstParagraph"/>
      </w:pPr>
      <w:r>
        <w:t xml:space="preserve">Il paziente arriva con carte. Impara a leggerle, non a scriverne.</w:t>
      </w:r>
    </w:p>
    <w:p>
      <w:pPr>
        <w:pStyle w:val="Compact"/>
        <w:numPr>
          <w:ilvl w:val="0"/>
          <w:numId w:val="1008"/>
        </w:numPr>
      </w:pPr>
      <w:r>
        <w:rPr>
          <w:b/>
          <w:bCs/>
        </w:rPr>
        <w:t xml:space="preserve">Esami del sangue normali</w:t>
      </w:r>
      <w:r>
        <w:t xml:space="preserve"> </w:t>
      </w:r>
      <w:r>
        <w:t xml:space="preserve">dicono che si è cercato altro. Non che la fibromialgia c’è.</w:t>
      </w:r>
    </w:p>
    <w:p>
      <w:pPr>
        <w:pStyle w:val="Compact"/>
        <w:numPr>
          <w:ilvl w:val="0"/>
          <w:numId w:val="1008"/>
        </w:numPr>
      </w:pPr>
      <w:r>
        <w:rPr>
          <w:b/>
          <w:bCs/>
        </w:rPr>
        <w:t xml:space="preserve">Risonanze con «protrusioni» e «degenerazione»</w:t>
      </w:r>
      <w:r>
        <w:t xml:space="preserve"> </w:t>
      </w:r>
      <w:r>
        <w:t xml:space="preserve">dicono che ha l’età che ha. Non spiegano un dolore su entrambi i lati del corpo.</w:t>
      </w:r>
    </w:p>
    <w:p>
      <w:pPr>
        <w:pStyle w:val="Compact"/>
        <w:numPr>
          <w:ilvl w:val="0"/>
          <w:numId w:val="1008"/>
        </w:numPr>
      </w:pPr>
      <w:r>
        <w:rPr>
          <w:b/>
          <w:bCs/>
        </w:rPr>
        <w:t xml:space="preserve">«Sindrome miofasciale»</w:t>
      </w:r>
      <w:r>
        <w:t xml:space="preserve"> </w:t>
      </w:r>
      <w:r>
        <w:t xml:space="preserve">è un’etichetta regionale. Dentro un quadro diffuso o è un generatore locale, o è un altro nome per la stessa cosa.</w:t>
      </w:r>
    </w:p>
    <w:p>
      <w:pPr>
        <w:pStyle w:val="Compact"/>
        <w:numPr>
          <w:ilvl w:val="0"/>
          <w:numId w:val="1008"/>
        </w:numPr>
      </w:pPr>
      <w:r>
        <w:rPr>
          <w:b/>
          <w:bCs/>
        </w:rPr>
        <w:t xml:space="preserve">Una polisonnografia</w:t>
      </w:r>
      <w:r>
        <w:t xml:space="preserve"> </w:t>
      </w:r>
      <w:r>
        <w:t xml:space="preserve">dice se c’è un disturbo strutturato, un’apnea per esempio. Un sonno non ristoratore con polisonnografia normale resta un problema reale.</w:t>
      </w:r>
    </w:p>
    <w:bookmarkEnd w:id="21"/>
    <w:bookmarkStart w:id="22" w:name="cosa-non-è"/>
    <w:p>
      <w:pPr>
        <w:pStyle w:val="Heading3"/>
      </w:pPr>
      <w:r>
        <w:t xml:space="preserve">Cosa non è</w:t>
      </w:r>
    </w:p>
    <w:p>
      <w:pPr>
        <w:pStyle w:val="FirstParagraph"/>
      </w:pPr>
      <w:r>
        <w:t xml:space="preserve">Non è artrite reumatoide, non è polimialgia reumatica, non è una miopatia, non è ipotiroidismo, non è una neuropatia sistemica. I quadri di dolore diffuso scambiati per fibromialgia si raccolgono in cinque famiglie: muscolo-scheletriche, neurologiche, endocrino-metaboliche, psichiatriche e da farmaco (Häuser, 2017, PMID 29392213). Il capitolo sui limiti di campo le trasforma in righe di tabella.</w:t>
      </w:r>
    </w:p>
    <w:p>
      <w:pPr>
        <w:pStyle w:val="BodyText"/>
      </w:pPr>
      <w:r>
        <w:rPr>
          <w:b/>
          <w:bCs/>
        </w:rPr>
        <w:t xml:space="preserve">E non è «surrene affaticato».</w:t>
      </w:r>
      <w:r>
        <w:t xml:space="preserve"> </w:t>
      </w:r>
      <w:r>
        <w:t xml:space="preserve">Il costrutto che il paziente porta da internet non ha fondamento. Nelle sindromi somatiche funzionali il cortisolo basale misurato è</w:t>
      </w:r>
      <w:r>
        <w:t xml:space="preserve"> </w:t>
      </w:r>
      <w:r>
        <w:rPr>
          <w:b/>
          <w:bCs/>
        </w:rPr>
        <w:t xml:space="preserve">più basso</w:t>
      </w:r>
      <w:r>
        <w:t xml:space="preserve">, non più alto, e la differenza è minuscola. La sequenza «stress → cortisolo alto → tessuti densi» non è misurata, e non si scrive come meccanismo.</w:t>
      </w:r>
    </w:p>
    <w:p>
      <w:pPr>
        <w:pStyle w:val="BodyText"/>
      </w:pPr>
      <w:r>
        <w:rPr>
          <w:b/>
          <w:bCs/>
        </w:rPr>
        <w:t xml:space="preserve">Le tre cose da ricordare, più una</w:t>
      </w:r>
    </w:p>
    <w:p>
      <w:pPr>
        <w:pStyle w:val="Compact"/>
        <w:numPr>
          <w:ilvl w:val="0"/>
          <w:numId w:val="1009"/>
        </w:numPr>
      </w:pPr>
      <w:r>
        <w:t xml:space="preserve">I criteri 2016 non richiedono la conta dei punti dolorosi, e permettono la diagnosi anche in presenza di altre diagnosi.</w:t>
      </w:r>
    </w:p>
    <w:p>
      <w:pPr>
        <w:pStyle w:val="Compact"/>
        <w:numPr>
          <w:ilvl w:val="0"/>
          <w:numId w:val="1009"/>
        </w:numPr>
      </w:pPr>
      <w:r>
        <w:t xml:space="preserve">Il quadro fluttua e una quota esce dai criteri da sola: senza un marker scelto prima, ogni miglioramento è ambiguo.</w:t>
      </w:r>
    </w:p>
    <w:p>
      <w:pPr>
        <w:pStyle w:val="Compact"/>
        <w:numPr>
          <w:ilvl w:val="0"/>
          <w:numId w:val="1009"/>
        </w:numPr>
      </w:pPr>
      <w:r>
        <w:t xml:space="preserve">Gli esami normali sono un’informazione sulle altre malattie, non una prova su questa.</w:t>
      </w:r>
    </w:p>
    <w:p>
      <w:pPr>
        <w:pStyle w:val="Compact"/>
        <w:numPr>
          <w:ilvl w:val="0"/>
          <w:numId w:val="1009"/>
        </w:numPr>
      </w:pPr>
      <w:r>
        <w:rPr>
          <w:b/>
          <w:bCs/>
        </w:rPr>
        <w:t xml:space="preserve">Perché ci sei tu.</w:t>
      </w:r>
      <w:r>
        <w:t xml:space="preserve"> </w:t>
      </w:r>
      <w:r>
        <w:t xml:space="preserve">Quindici su cento in ambulatorio reumatologico, tredici su cento fra chi ha un colon irritabile (Heidari, 2017, PMID 28447207). Ti autorizza a cercare il dolore diffuso in chi vedi per tutt’altro. Non a metterci un’etichetta: la cerchi per mandarla a chi la formula.</w:t>
      </w:r>
    </w:p>
    <w:p>
      <w:r>
        <w:pict>
          <v:rect style="width:0;height:1.5pt" o:hralign="center" o:hrstd="t" o:hr="t"/>
        </w:pict>
      </w:r>
    </w:p>
    <w:bookmarkEnd w:id="22"/>
    <w:bookmarkEnd w:id="23"/>
    <w:bookmarkStart w:id="31" w:name="capitolo-3-le-strutture-in-gioco"/>
    <w:p>
      <w:pPr>
        <w:pStyle w:val="Heading2"/>
      </w:pPr>
      <w:r>
        <w:t xml:space="preserve">Capitolo 3 — Le strutture in gioco</w:t>
      </w:r>
    </w:p>
    <w:p>
      <w:pPr>
        <w:pStyle w:val="BlockText"/>
      </w:pPr>
      <w:r>
        <w:rPr>
          <w:b/>
          <w:bCs/>
        </w:rPr>
        <w:t xml:space="preserve">In una riga:</w:t>
      </w:r>
      <w:r>
        <w:t xml:space="preserve"> </w:t>
      </w:r>
      <w:r>
        <w:t xml:space="preserve">le strutture che contano qui non sono quelle che fanno male, sono quelle che decidono quanto forte si sente.</w:t>
      </w:r>
    </w:p>
    <w:bookmarkStart w:id="24" w:name="X2abb96cb722b08380fa16f923696479f1125afe"/>
    <w:p>
      <w:pPr>
        <w:pStyle w:val="Heading3"/>
      </w:pPr>
      <w:r>
        <w:t xml:space="preserve">Il corno posteriore del midollo e la sommazione temporale</w:t>
      </w:r>
    </w:p>
    <w:p>
      <w:pPr>
        <w:pStyle w:val="FirstParagraph"/>
      </w:pPr>
      <w:r>
        <w:rPr>
          <w:i/>
          <w:iCs/>
        </w:rPr>
        <w:t xml:space="preserve">Cos’è:</w:t>
      </w:r>
      <w:r>
        <w:t xml:space="preserve"> </w:t>
      </w:r>
      <w:r>
        <w:t xml:space="preserve">il primo relè dove le fibre del dolore incontrano i neuroni che salgono al cervello.</w:t>
      </w:r>
      <w:r>
        <w:t xml:space="preserve"> </w:t>
      </w:r>
      <w:r>
        <w:rPr>
          <w:i/>
          <w:iCs/>
        </w:rPr>
        <w:t xml:space="preserve">Cosa fa:</w:t>
      </w:r>
      <w:r>
        <w:t xml:space="preserve"> </w:t>
      </w:r>
      <w:r>
        <w:t xml:space="preserve">somma. Se gli stimoli arrivano ravvicinati, la risposta del secondo è più grande di quella del primo.</w:t>
      </w:r>
      <w:r>
        <w:t xml:space="preserve"> </w:t>
      </w:r>
      <w:r>
        <w:rPr>
          <w:i/>
          <w:iCs/>
        </w:rPr>
        <w:t xml:space="preserve">Perché conta qui:</w:t>
      </w:r>
      <w:r>
        <w:t xml:space="preserve"> </w:t>
      </w:r>
      <w:r>
        <w:t xml:space="preserve">in questi pazienti la sommazione parte più in alto e cresce di più. Le sensazioni residue durano di più e sono più spesso dolorose (Staud, 2001, PMID 11240089). È il punto in cui «più ingressi» diventa «più rumore».</w:t>
      </w:r>
    </w:p>
    <w:bookmarkEnd w:id="24"/>
    <w:bookmarkStart w:id="25" w:name="le-vie-discendenti-di-modulazione"/>
    <w:p>
      <w:pPr>
        <w:pStyle w:val="Heading3"/>
      </w:pPr>
      <w:r>
        <w:t xml:space="preserve">Le vie discendenti di modulazione</w:t>
      </w:r>
    </w:p>
    <w:p>
      <w:pPr>
        <w:pStyle w:val="FirstParagraph"/>
      </w:pPr>
      <w:r>
        <w:rPr>
          <w:i/>
          <w:iCs/>
        </w:rPr>
        <w:t xml:space="preserve">Cos’è:</w:t>
      </w:r>
      <w:r>
        <w:t xml:space="preserve"> </w:t>
      </w:r>
      <w:r>
        <w:t xml:space="preserve">fasci che dal tronco encefalico scendono a regolare quanto di ciò che arriva dalla periferia diventa dolore.</w:t>
      </w:r>
      <w:r>
        <w:t xml:space="preserve"> </w:t>
      </w:r>
      <w:r>
        <w:rPr>
          <w:i/>
          <w:iCs/>
        </w:rPr>
        <w:t xml:space="preserve">Cosa fa:</w:t>
      </w:r>
      <w:r>
        <w:t xml:space="preserve"> </w:t>
      </w:r>
      <w:r>
        <w:t xml:space="preserve">alzano e abbassano il guadagno.</w:t>
      </w:r>
      <w:r>
        <w:t xml:space="preserve"> </w:t>
      </w:r>
      <w:r>
        <w:rPr>
          <w:i/>
          <w:iCs/>
        </w:rPr>
        <w:t xml:space="preserve">Perché conta qui:</w:t>
      </w:r>
      <w:r>
        <w:t xml:space="preserve"> </w:t>
      </w:r>
      <w:r>
        <w:t xml:space="preserve">è la manopola. Una notte di sonno frammentato la mette in difficoltà. E un esercizio isometrico a bassa intensità la migliora nelle persone che partono da un controllo discendente inefficiente (Alsouhibani, 2022, PMID 35399187).</w:t>
      </w:r>
    </w:p>
    <w:p>
      <w:pPr>
        <w:pStyle w:val="BodyText"/>
      </w:pPr>
      <w:r>
        <w:rPr>
          <w:b/>
          <w:bCs/>
        </w:rPr>
        <w:t xml:space="preserve">E il deficit qui è misurato, non dedotto.</w:t>
      </w:r>
      <w:r>
        <w:t xml:space="preserve"> </w:t>
      </w:r>
      <w:r>
        <w:t xml:space="preserve">La meta-analisi raccoglie ventitré studi, 648 pazienti e 672 controlli. La sommazione temporale è aumentata (g 0,53, da 0,23 a 0,83). La modulazione condizionata del dolore è difettosa (g 0,57, da −0,88 a −0,26). Sono differenze relative del 68% e del 65% rispetto ai controlli (O’Brien, 2018, PMID 29454976). Con la qualificazione che accompagna sempre quel dato:</w:t>
      </w:r>
      <w:r>
        <w:t xml:space="preserve"> </w:t>
      </w:r>
      <w:r>
        <w:rPr>
          <w:i/>
          <w:iCs/>
        </w:rPr>
        <w:t xml:space="preserve">grande eterogeneità fra i protocolli, e assenza di cecità sostanziale — la direzione è solida, la grandezza no.</w:t>
      </w:r>
      <w:r>
        <w:t xml:space="preserve"> </w:t>
      </w:r>
      <w:r>
        <w:rPr>
          <w:b/>
          <w:bCs/>
        </w:rPr>
        <w:t xml:space="preserve">Per te:</w:t>
      </w:r>
      <w:r>
        <w:t xml:space="preserve"> </w:t>
      </w:r>
      <w:r>
        <w:t xml:space="preserve">è l’unica fonte che misura direttamente questo anello, cioè il passo 3 di tutte le sequenze causali del documento.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il deficit di modulazione endogena del dolore in questi pazienti (O’Brien, 2018, PMID 29454976).</w:t>
      </w:r>
    </w:p>
    <w:bookmarkEnd w:id="25"/>
    <w:bookmarkStart w:id="26" w:name="le-piccole-fibre-cutanee"/>
    <w:p>
      <w:pPr>
        <w:pStyle w:val="Heading3"/>
      </w:pPr>
      <w:r>
        <w:t xml:space="preserve">Le piccole fibre cutanee</w:t>
      </w:r>
    </w:p>
    <w:p>
      <w:pPr>
        <w:pStyle w:val="FirstParagraph"/>
      </w:pPr>
      <w:r>
        <w:rPr>
          <w:i/>
          <w:iCs/>
        </w:rPr>
        <w:t xml:space="preserve">Cos’è:</w:t>
      </w:r>
      <w:r>
        <w:t xml:space="preserve"> </w:t>
      </w:r>
      <w:r>
        <w:t xml:space="preserve">le fibre nervose sottili, A-delta e C, che innervano la cute e si contano su una biopsia di tre millimetri.</w:t>
      </w:r>
      <w:r>
        <w:t xml:space="preserve"> </w:t>
      </w:r>
      <w:r>
        <w:rPr>
          <w:i/>
          <w:iCs/>
        </w:rPr>
        <w:t xml:space="preserve">Cosa fa:</w:t>
      </w:r>
      <w:r>
        <w:t xml:space="preserve"> </w:t>
      </w:r>
      <w:r>
        <w:t xml:space="preserve">portano dolore e temperatura.</w:t>
      </w:r>
      <w:r>
        <w:t xml:space="preserve"> </w:t>
      </w:r>
      <w:r>
        <w:rPr>
          <w:i/>
          <w:iCs/>
        </w:rPr>
        <w:t xml:space="preserve">Perché conta qui:</w:t>
      </w:r>
      <w:r>
        <w:t xml:space="preserve"> </w:t>
      </w:r>
      <w:r>
        <w:t xml:space="preserve">nella meta-analisi su venti studi e 903 pazienti la prevalenza stimata del danno</w:t>
      </w:r>
      <w:r>
        <w:t xml:space="preserve"> </w:t>
      </w:r>
      <w:r>
        <w:rPr>
          <w:b/>
          <w:bCs/>
        </w:rPr>
        <w:t xml:space="preserve">somatico</w:t>
      </w:r>
      <w:r>
        <w:t xml:space="preserve"> </w:t>
      </w:r>
      <w:r>
        <w:t xml:space="preserve">delle piccole fibre è del</w:t>
      </w:r>
      <w:r>
        <w:t xml:space="preserve"> </w:t>
      </w:r>
      <w:r>
        <w:rPr>
          <w:b/>
          <w:bCs/>
        </w:rPr>
        <w:t xml:space="preserve">49%</w:t>
      </w:r>
      <w:r>
        <w:t xml:space="preserve"> </w:t>
      </w:r>
      <w:r>
        <w:t xml:space="preserve">(da 39 a 60). Quella del danno</w:t>
      </w:r>
      <w:r>
        <w:t xml:space="preserve"> </w:t>
      </w:r>
      <w:r>
        <w:rPr>
          <w:b/>
          <w:bCs/>
        </w:rPr>
        <w:t xml:space="preserve">autonomico</w:t>
      </w:r>
      <w:r>
        <w:t xml:space="preserve"> </w:t>
      </w:r>
      <w:r>
        <w:t xml:space="preserve">è del</w:t>
      </w:r>
      <w:r>
        <w:t xml:space="preserve"> </w:t>
      </w:r>
      <w:r>
        <w:rPr>
          <w:b/>
          <w:bCs/>
        </w:rPr>
        <w:t xml:space="preserve">45%</w:t>
      </w:r>
      <w:r>
        <w:t xml:space="preserve"> </w:t>
      </w:r>
      <w:r>
        <w:t xml:space="preserve">(da 25 a 65), misurato con variabilità cardiaca, risposta simpatica cutanea, conduttanza e tilt test (Galosi, 2022, PMID 35626288). Con la qualificazione non separabile:</w:t>
      </w:r>
      <w:r>
        <w:t xml:space="preserve"> </w:t>
      </w:r>
      <w:r>
        <w:rPr>
          <w:i/>
          <w:iCs/>
        </w:rPr>
        <w:t xml:space="preserve">eterogeneità dell’89% e del 91%, e gli autori stessi dichiarano che il ruolo esatto di questo danno nei sintomi resta incerto.</w:t>
      </w:r>
    </w:p>
    <w:p>
      <w:pPr>
        <w:pStyle w:val="BodyText"/>
      </w:pPr>
      <w:r>
        <w:rPr>
          <w:b/>
          <w:bCs/>
        </w:rPr>
        <w:t xml:space="preserve">Per te:</w:t>
      </w:r>
      <w:r>
        <w:t xml:space="preserve"> </w:t>
      </w:r>
      <w:r>
        <w:t xml:space="preserve">è circa un paziente su due, non una rarità. È il numero che decide se il sospetto di patologia delle piccole fibre entra nella lettera al curante. È una porzione grande, e non è nostra.</w:t>
      </w:r>
    </w:p>
    <w:p>
      <w:pPr>
        <w:pStyle w:val="BodyText"/>
      </w:pPr>
      <w:r>
        <w:t xml:space="preserve">Tre precisazioni, che evitano due errori opposti.</w:t>
      </w:r>
    </w:p>
    <w:p>
      <w:pPr>
        <w:pStyle w:val="Compact"/>
        <w:numPr>
          <w:ilvl w:val="0"/>
          <w:numId w:val="1010"/>
        </w:numPr>
      </w:pPr>
      <w:r>
        <w:t xml:space="preserve">La riduzione è</w:t>
      </w:r>
      <w:r>
        <w:t xml:space="preserve"> </w:t>
      </w:r>
      <w:r>
        <w:rPr>
          <w:b/>
          <w:bCs/>
        </w:rPr>
        <w:t xml:space="preserve">più lieve</w:t>
      </w:r>
      <w:r>
        <w:t xml:space="preserve"> </w:t>
      </w:r>
      <w:r>
        <w:t xml:space="preserve">che nella neuropatia vera, e di significato clinico ancora incerto.</w:t>
      </w:r>
    </w:p>
    <w:p>
      <w:pPr>
        <w:pStyle w:val="Compact"/>
        <w:numPr>
          <w:ilvl w:val="0"/>
          <w:numId w:val="1010"/>
        </w:numPr>
      </w:pPr>
      <w:r>
        <w:rPr>
          <w:b/>
          <w:bCs/>
        </w:rPr>
        <w:t xml:space="preserve">Non riclassifica il dolore come neuropatico:</w:t>
      </w:r>
      <w:r>
        <w:t xml:space="preserve"> </w:t>
      </w:r>
      <w:r>
        <w:t xml:space="preserve">il quadro resta nociplastico, e da lì non nasce nessun bersaglio manuale.</w:t>
      </w:r>
    </w:p>
    <w:p>
      <w:pPr>
        <w:pStyle w:val="Compact"/>
        <w:numPr>
          <w:ilvl w:val="0"/>
          <w:numId w:val="1010"/>
        </w:numPr>
      </w:pPr>
      <w:r>
        <w:t xml:space="preserve">La biopsia conta terminazioni in larga parte nocicettive e termocettive.</w:t>
      </w:r>
      <w:r>
        <w:t xml:space="preserve"> </w:t>
      </w:r>
      <w:r>
        <w:rPr>
          <w:b/>
          <w:bCs/>
        </w:rPr>
        <w:t xml:space="preserve">Non misura il canale del tocco lento</w:t>
      </w:r>
      <w:r>
        <w:t xml:space="preserve">, che è un’altra cosa e sta qui sotto.</w:t>
      </w:r>
    </w:p>
    <w:p>
      <w:pPr>
        <w:pStyle w:val="FirstParagraph"/>
      </w:pPr>
      <w:r>
        <w:t xml:space="preserve">Nella stessa cute è stato descritto un altro reperto, in un solo laboratorio e mai replicato. Nel palmo di ventiquattro donne i collegamenti diretti fra arteriola e venula risultavano innervati in eccesso da fibre sensitive (Albrecht, 2013, PMID 23691965).</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mai replicato, con studi successivi su altro distretto in direzione opposta; i limiti metodologici sono in Appendice B.</w:t>
      </w:r>
    </w:p>
    <w:p>
      <w:pPr>
        <w:pStyle w:val="FirstParagraph"/>
      </w:pPr>
      <w:r>
        <w:t xml:space="preserve">Quel reperto non regge nessuna leva. Spiega solo perché la mano che stringi salutando può essere fredda e ipersensibile.</w:t>
      </w:r>
    </w:p>
    <w:bookmarkEnd w:id="26"/>
    <w:bookmarkStart w:id="27" w:name="X87de509664111d98c016729c083f3c36cbc312a"/>
    <w:p>
      <w:pPr>
        <w:pStyle w:val="Heading3"/>
      </w:pPr>
      <w:r>
        <w:t xml:space="preserve">Le fibre C-tattili — il canale del tocco lento</w:t>
      </w:r>
    </w:p>
    <w:p>
      <w:pPr>
        <w:pStyle w:val="FirstParagraph"/>
      </w:pPr>
      <w:r>
        <w:rPr>
          <w:i/>
          <w:iCs/>
        </w:rPr>
        <w:t xml:space="preserve">Cos’è:</w:t>
      </w:r>
      <w:r>
        <w:t xml:space="preserve"> </w:t>
      </w:r>
      <w:r>
        <w:t xml:space="preserve">meccanocettori amielinici a bassa soglia della cute</w:t>
      </w:r>
      <w:r>
        <w:t xml:space="preserve"> </w:t>
      </w:r>
      <w:r>
        <w:rPr>
          <w:b/>
          <w:bCs/>
        </w:rPr>
        <w:t xml:space="preserve">pelosa</w:t>
      </w:r>
      <w:r>
        <w:t xml:space="preserve">, assenti in quella glabra di palmo e pianta. Scaricano al massimo per un tocco che scorre fra 1 e 10 cm al secondo, e proiettano all’insula posteriore.</w:t>
      </w:r>
      <w:r>
        <w:t xml:space="preserve"> </w:t>
      </w:r>
      <w:r>
        <w:rPr>
          <w:i/>
          <w:iCs/>
        </w:rPr>
        <w:t xml:space="preserve">Perché conta qui:</w:t>
      </w:r>
      <w:r>
        <w:t xml:space="preserve"> </w:t>
      </w:r>
      <w:r>
        <w:t xml:space="preserve">è il canale su cui poggia il contatto lento del capitolo sulle mani. Ed è</w:t>
      </w:r>
      <w:r>
        <w:t xml:space="preserve"> </w:t>
      </w:r>
      <w:r>
        <w:rPr>
          <w:b/>
          <w:bCs/>
        </w:rPr>
        <w:t xml:space="preserve">un canale diverso</w:t>
      </w:r>
      <w:r>
        <w:t xml:space="preserve"> </w:t>
      </w:r>
      <w:r>
        <w:t xml:space="preserve">da quello che la biopsia conta.</w:t>
      </w:r>
    </w:p>
    <w:p>
      <w:pPr>
        <w:pStyle w:val="BodyText"/>
      </w:pPr>
      <w:r>
        <w:t xml:space="preserve">In trentuno pazienti contro ventinove controlli l’elaborazione</w:t>
      </w:r>
      <w:r>
        <w:t xml:space="preserve"> </w:t>
      </w:r>
      <w:r>
        <w:rPr>
          <w:b/>
          <w:bCs/>
        </w:rPr>
        <w:t xml:space="preserve">sensoriale</w:t>
      </w:r>
      <w:r>
        <w:t xml:space="preserve"> </w:t>
      </w:r>
      <w:r>
        <w:t xml:space="preserve">era normale, mentre la</w:t>
      </w:r>
      <w:r>
        <w:t xml:space="preserve"> </w:t>
      </w:r>
      <w:r>
        <w:rPr>
          <w:b/>
          <w:bCs/>
        </w:rPr>
        <w:t xml:space="preserve">valutazione</w:t>
      </w:r>
      <w:r>
        <w:t xml:space="preserve"> </w:t>
      </w:r>
      <w:r>
        <w:t xml:space="preserve">era alterata: il tocco lento resta preferito al veloce, ma tutto viene giudicato meno piacevole (Boehme, 2020, PMID 32443443).</w:t>
      </w:r>
    </w:p>
    <w:p>
      <w:pPr>
        <w:pStyle w:val="BodyText"/>
      </w:pPr>
      <w:r>
        <w:rPr>
          <w:b/>
          <w:bCs/>
        </w:rPr>
        <w:t xml:space="preserve">Che quel canale moduli davvero il dolore è misurato, e con un dettaglio che esclude la spiegazione più banale.</w:t>
      </w:r>
      <w:r>
        <w:t xml:space="preserve"> </w:t>
      </w:r>
      <w:r>
        <w:t xml:space="preserve">In trentasei volontari sani il tocco lento alla velocità ottimale per queste fibre riduce la</w:t>
      </w:r>
      <w:r>
        <w:t xml:space="preserve"> </w:t>
      </w:r>
      <w:r>
        <w:rPr>
          <w:b/>
          <w:bCs/>
        </w:rPr>
        <w:t xml:space="preserve">sommazione temporale del secondo dolore</w:t>
      </w:r>
      <w:r>
        <w:t xml:space="preserve">, cioè esattamente la grandezza che in questi pazienti è aumentata. E la riduce anche applicato sul lato</w:t>
      </w:r>
      <w:r>
        <w:t xml:space="preserve"> </w:t>
      </w:r>
      <w:r>
        <w:rPr>
          <w:b/>
          <w:bCs/>
        </w:rPr>
        <w:t xml:space="preserve">opposto</w:t>
      </w:r>
      <w:r>
        <w:t xml:space="preserve"> </w:t>
      </w:r>
      <w:r>
        <w:t xml:space="preserve">a quello dello stimolo: l’effetto crociato implica una via centrale e non un effetto locale. Il tocco a velocità non ottimale funziona solo dallo stesso lato, e il picchiettare non funziona affatto. Non è quindi un effetto di attenzione tattile (Meijer, 2024, PMID 38296996).</w:t>
      </w:r>
      <w:r>
        <w:t xml:space="preserve"> </w:t>
      </w:r>
      <w:r>
        <w:rPr>
          <w:i/>
          <w:iCs/>
        </w:rPr>
        <w:t xml:space="preserve">Misurato su 36 volontari sani e su dolore sperimentale, non su pazienti con fibromialgia — e in questi pazienti l’elaborazione sensoriale del tocco lento è normale mentre la valutazione è alterata, quindi la piacevolezza non è garantita e l’effetto non è trasferibile.</w:t>
      </w:r>
    </w:p>
    <w:p>
      <w:pPr>
        <w:pStyle w:val="BlockText"/>
      </w:pPr>
      <w:r>
        <w:rPr>
          <w:b/>
          <w:bCs/>
        </w:rPr>
        <w:t xml:space="preserve">Quanto è solido:</w:t>
      </w:r>
      <w:r>
        <w:t xml:space="preserve"> </w:t>
      </w:r>
      <w:r>
        <w:t xml:space="preserve">il</w:t>
      </w:r>
      <w:r>
        <w:t xml:space="preserve"> </w:t>
      </w:r>
      <w:r>
        <w:rPr>
          <w:b/>
          <w:bCs/>
        </w:rPr>
        <w:t xml:space="preserve">meccanismo</w:t>
      </w:r>
      <w:r>
        <w:t xml:space="preserve"> </w:t>
      </w:r>
      <w:r>
        <w:t xml:space="preserve">— il tocco lento modula la sommazione temporale per via centrale — è</w:t>
      </w:r>
      <w:r>
        <w:t xml:space="preserve"> </w:t>
      </w:r>
      <w:r>
        <w:rPr>
          <w:b/>
          <w:bCs/>
        </w:rPr>
        <w:t xml:space="preserve">PROBABILE</w:t>
      </w:r>
      <w:r>
        <w:t xml:space="preserve"> </w:t>
      </w:r>
      <w:r>
        <w:rPr>
          <w:i/>
          <w:iCs/>
        </w:rPr>
        <w:t xml:space="preserve">(razionale forte, prove parziali)</w:t>
      </w:r>
      <w:r>
        <w:t xml:space="preserve"> </w:t>
      </w:r>
      <w:r>
        <w:t xml:space="preserve">(Meijer, 2024, PMID 38296996). La</w:t>
      </w:r>
      <w:r>
        <w:t xml:space="preserve"> </w:t>
      </w:r>
      <w:r>
        <w:rPr>
          <w:b/>
          <w:bCs/>
        </w:rPr>
        <w:t xml:space="preserve">leva</w:t>
      </w:r>
      <w:r>
        <w:t xml:space="preserve"> </w:t>
      </w:r>
      <w:r>
        <w:t xml:space="preserve">sull’attivazione e sul guadagno in questi pazienti resta</w:t>
      </w:r>
      <w:r>
        <w:t xml:space="preserve"> </w:t>
      </w:r>
      <w:r>
        <w:rPr>
          <w:b/>
          <w:bCs/>
        </w:rPr>
        <w:t xml:space="preserve">IPOTESI</w:t>
      </w:r>
      <w:r>
        <w:t xml:space="preserve"> </w:t>
      </w:r>
      <w:r>
        <w:rPr>
          <w:i/>
          <w:iCs/>
        </w:rPr>
        <w:t xml:space="preserve">(meccanismo coerente, nessuno studio)</w:t>
      </w:r>
      <w:r>
        <w:t xml:space="preserve">.</w:t>
      </w:r>
      <w:r>
        <w:t xml:space="preserve"> </w:t>
      </w:r>
      <w:r>
        <w:rPr>
          <w:b/>
          <w:bCs/>
        </w:rPr>
        <w:t xml:space="preserve">Per te:</w:t>
      </w:r>
      <w:r>
        <w:t xml:space="preserve"> </w:t>
      </w:r>
      <w:r>
        <w:t xml:space="preserve">la piacevolezza non è garantita — si chiede, non si presume.</w:t>
      </w:r>
    </w:p>
    <w:bookmarkEnd w:id="27"/>
    <w:bookmarkStart w:id="28" w:name="il-muscolo-a-riposo"/>
    <w:p>
      <w:pPr>
        <w:pStyle w:val="Heading3"/>
      </w:pPr>
      <w:r>
        <w:t xml:space="preserve">Il muscolo a riposo</w:t>
      </w:r>
    </w:p>
    <w:p>
      <w:pPr>
        <w:pStyle w:val="FirstParagraph"/>
      </w:pPr>
      <w:r>
        <w:rPr>
          <w:i/>
          <w:iCs/>
        </w:rPr>
        <w:t xml:space="preserve">Cos’è:</w:t>
      </w:r>
      <w:r>
        <w:t xml:space="preserve"> </w:t>
      </w:r>
      <w:r>
        <w:t xml:space="preserve">fibre, fusi neuromuscolari e tessuto connettivo.</w:t>
      </w:r>
      <w:r>
        <w:t xml:space="preserve"> </w:t>
      </w:r>
      <w:r>
        <w:rPr>
          <w:i/>
          <w:iCs/>
        </w:rPr>
        <w:t xml:space="preserve">Cosa fa:</w:t>
      </w:r>
      <w:r>
        <w:t xml:space="preserve"> </w:t>
      </w:r>
      <w:r>
        <w:t xml:space="preserve">a riposo, in un soggetto normale, è elettricamente quasi silenzioso.</w:t>
      </w:r>
      <w:r>
        <w:t xml:space="preserve"> </w:t>
      </w:r>
      <w:r>
        <w:rPr>
          <w:i/>
          <w:iCs/>
        </w:rPr>
        <w:t xml:space="preserve">Perché conta qui:</w:t>
      </w:r>
      <w:r>
        <w:t xml:space="preserve"> </w:t>
      </w:r>
      <w:r>
        <w:t xml:space="preserve">per una ragione negativa, che vale quanto una positiva.</w:t>
      </w:r>
      <w:r>
        <w:t xml:space="preserve"> </w:t>
      </w:r>
      <w:r>
        <w:rPr>
          <w:b/>
          <w:bCs/>
        </w:rPr>
        <w:t xml:space="preserve">Nel muscolo di questi pazienti non è stata trovata nessuna anomalia specifica e costante.</w:t>
      </w:r>
      <w:r>
        <w:t xml:space="preserve"> </w:t>
      </w:r>
      <w:r>
        <w:t xml:space="preserve">E la dolorabilità dei punti che palpiamo risulta linearmente legata al livello generale di sofferenza, senza discontinuità ai valori alti, su 627 pazienti ambulatoriali (Wolfe, 1997, PMID 9166001; commento in Pearce, 2004, PMID 15256826). Il muscolo è dove il paziente sente, non dove è il guasto.</w:t>
      </w:r>
    </w:p>
    <w:bookmarkEnd w:id="28"/>
    <w:bookmarkStart w:id="29" w:name="il-diaframma-e-la-meccanica-ventilatoria"/>
    <w:p>
      <w:pPr>
        <w:pStyle w:val="Heading3"/>
      </w:pPr>
      <w:r>
        <w:t xml:space="preserve">Il diaframma e la meccanica ventilatoria</w:t>
      </w:r>
    </w:p>
    <w:p>
      <w:pPr>
        <w:pStyle w:val="FirstParagraph"/>
      </w:pPr>
      <w:r>
        <w:rPr>
          <w:i/>
          <w:iCs/>
        </w:rPr>
        <w:t xml:space="preserve">Cos’è:</w:t>
      </w:r>
      <w:r>
        <w:t xml:space="preserve"> </w:t>
      </w:r>
      <w:r>
        <w:t xml:space="preserve">il muscolo che genera il volume corrente e regola la pressione fra torace e addome.</w:t>
      </w:r>
      <w:r>
        <w:t xml:space="preserve"> </w:t>
      </w:r>
      <w:r>
        <w:rPr>
          <w:i/>
          <w:iCs/>
        </w:rPr>
        <w:t xml:space="preserve">Cosa fa:</w:t>
      </w:r>
      <w:r>
        <w:t xml:space="preserve"> </w:t>
      </w:r>
      <w:r>
        <w:t xml:space="preserve">muove aria, e con il suo ritmo influenza il tono vagale.</w:t>
      </w:r>
      <w:r>
        <w:t xml:space="preserve"> </w:t>
      </w:r>
      <w:r>
        <w:rPr>
          <w:i/>
          <w:iCs/>
        </w:rPr>
        <w:t xml:space="preserve">Perché conta qui:</w:t>
      </w:r>
      <w:r>
        <w:t xml:space="preserve"> </w:t>
      </w:r>
      <w:r>
        <w:t xml:space="preserve">è il punto in cui un torace tenuto alto e stretto costa energia tutto il giorno. Ed è l’attuatore con cui si prova a raggiungere l’assetto autonomico.</w:t>
      </w:r>
    </w:p>
    <w:p>
      <w:pPr>
        <w:pStyle w:val="BodyText"/>
      </w:pPr>
      <w:r>
        <w:t xml:space="preserve">Con una precisione che evita un equivoco ricorrente. L’indice ad alta frequenza della variabilità cardiaca misura l’</w:t>
      </w:r>
      <w:r>
        <w:rPr>
          <w:b/>
          <w:bCs/>
        </w:rPr>
        <w:t xml:space="preserve">ampiezza della fluttuazione</w:t>
      </w:r>
      <w:r>
        <w:t xml:space="preserve"> </w:t>
      </w:r>
      <w:r>
        <w:t xml:space="preserve">vagale, non il livello tonico. Ed è valido solo con un respiro fra 9 e 24 atti al minuto. Quindi un intervento che rallenta il respiro lo sposta</w:t>
      </w:r>
      <w:r>
        <w:t xml:space="preserve"> </w:t>
      </w:r>
      <w:r>
        <w:rPr>
          <w:b/>
          <w:bCs/>
        </w:rPr>
        <w:t xml:space="preserve">per costruzione</w:t>
      </w:r>
      <w:r>
        <w:t xml:space="preserve">, e quello spostamento non dimostra un cambio di tono.</w:t>
      </w:r>
    </w:p>
    <w:p>
      <w:pPr>
        <w:pStyle w:val="BodyText"/>
      </w:pPr>
      <w:r>
        <w:t xml:space="preserve">Su questo distretto usiamo</w:t>
      </w:r>
      <w:r>
        <w:t xml:space="preserve"> </w:t>
      </w:r>
      <w:r>
        <w:rPr>
          <w:b/>
          <w:bCs/>
        </w:rPr>
        <w:t xml:space="preserve">la sola meccanica ventilatoria</w:t>
      </w:r>
      <w:r>
        <w:t xml:space="preserve">. La metà circolatoria del modello — ritorno venoso, drenaggio linfatico, gradienti — non ha nessuna misura qui, e non viene invocata.</w:t>
      </w:r>
    </w:p>
    <w:bookmarkEnd w:id="29"/>
    <w:bookmarkStart w:id="30" w:name="i-generatori-regionali"/>
    <w:p>
      <w:pPr>
        <w:pStyle w:val="Heading3"/>
      </w:pPr>
      <w:r>
        <w:t xml:space="preserve">I generatori regionali</w:t>
      </w:r>
    </w:p>
    <w:p>
      <w:pPr>
        <w:pStyle w:val="BlockText"/>
      </w:pPr>
      <w:r>
        <w:rPr>
          <w:b/>
          <w:bCs/>
        </w:rPr>
        <w:t xml:space="preserve">Definizione.</w:t>
      </w:r>
      <w:r>
        <w:t xml:space="preserve"> </w:t>
      </w:r>
      <w:r>
        <w:t xml:space="preserve">Un</w:t>
      </w:r>
      <w:r>
        <w:t xml:space="preserve"> </w:t>
      </w:r>
      <w:r>
        <w:rPr>
          <w:b/>
          <w:bCs/>
        </w:rPr>
        <w:t xml:space="preserve">generatore regionale</w:t>
      </w:r>
      <w:r>
        <w:t xml:space="preserve"> </w:t>
      </w:r>
      <w:r>
        <w:t xml:space="preserve">è una sorgente nocicettiva locale, circoscritta a un distretto. Lo riconosci con una misura tua: un’escursione ridotta in quel solo distretto, un fattore meccanico riproducibile, una storia con una data. È distinto dal dolore diffuso che il paziente sente ovunque, ed è la componente</w:t>
      </w:r>
      <w:r>
        <w:t xml:space="preserve"> </w:t>
      </w:r>
      <w:r>
        <w:rPr>
          <w:b/>
          <w:bCs/>
        </w:rPr>
        <w:t xml:space="preserve">nocicettiva</w:t>
      </w:r>
      <w:r>
        <w:t xml:space="preserve"> </w:t>
      </w:r>
      <w:r>
        <w:t xml:space="preserve">dentro un quadro</w:t>
      </w:r>
      <w:r>
        <w:t xml:space="preserve"> </w:t>
      </w:r>
      <w:r>
        <w:rPr>
          <w:b/>
          <w:bCs/>
        </w:rPr>
        <w:t xml:space="preserve">nociplastico</w:t>
      </w:r>
      <w:r>
        <w:t xml:space="preserve">.</w:t>
      </w:r>
    </w:p>
    <w:p>
      <w:pPr>
        <w:pStyle w:val="FirstParagraph"/>
      </w:pPr>
      <w:r>
        <w:rPr>
          <w:i/>
          <w:iCs/>
        </w:rPr>
        <w:t xml:space="preserve">Esempi:</w:t>
      </w:r>
      <w:r>
        <w:t xml:space="preserve"> </w:t>
      </w:r>
      <w:r>
        <w:t xml:space="preserve">una cervicale con escursione ridotta, una spalla con una storia sua, una mandibola che lavora di notte, un piede che appoggia male.</w:t>
      </w:r>
      <w:r>
        <w:t xml:space="preserve"> </w:t>
      </w:r>
      <w:r>
        <w:rPr>
          <w:i/>
          <w:iCs/>
        </w:rPr>
        <w:t xml:space="preserve">Cosa fa:</w:t>
      </w:r>
      <w:r>
        <w:t xml:space="preserve"> </w:t>
      </w:r>
      <w:r>
        <w:t xml:space="preserve">produce un ingresso nocicettivo localizzato, continuo e identificabile.</w:t>
      </w:r>
      <w:r>
        <w:t xml:space="preserve"> </w:t>
      </w:r>
      <w:r>
        <w:rPr>
          <w:i/>
          <w:iCs/>
        </w:rPr>
        <w:t xml:space="preserve">Perché conta qui:</w:t>
      </w:r>
      <w:r>
        <w:t xml:space="preserve"> </w:t>
      </w:r>
      <w:r>
        <w:t xml:space="preserve">è l’unico bersaglio di questo documento su cui le tue mani hanno un razionale. Ed è quello che il racconto «mi fa male dappertutto» cancella.</w:t>
      </w:r>
      <w:r>
        <w:t xml:space="preserve"> </w:t>
      </w:r>
      <w:r>
        <w:rPr>
          <w:b/>
          <w:bCs/>
        </w:rPr>
        <w:t xml:space="preserve">Si riconosce da un reperto misurato, non dalla sede che il paziente sente peggio:</w:t>
      </w:r>
      <w:r>
        <w:t xml:space="preserve"> </w:t>
      </w:r>
      <w:r>
        <w:t xml:space="preserve">in un corpo con il guadagno alzato ovunque, la sede peggiore è il segno meno affidabile che esista.</w:t>
      </w:r>
    </w:p>
    <w:p>
      <w:pPr>
        <w:pStyle w:val="BodyText"/>
      </w:pPr>
      <w:r>
        <w:rPr>
          <w:b/>
          <w:bCs/>
        </w:rPr>
        <w:t xml:space="preserve">Le tre cose da ricordare, più una</w:t>
      </w:r>
    </w:p>
    <w:p>
      <w:pPr>
        <w:pStyle w:val="Compact"/>
        <w:numPr>
          <w:ilvl w:val="0"/>
          <w:numId w:val="1011"/>
        </w:numPr>
      </w:pPr>
      <w:r>
        <w:t xml:space="preserve">Le strutture che decidono l’intensità stanno nel sistema nervoso, non nel punto che fa male.</w:t>
      </w:r>
    </w:p>
    <w:p>
      <w:pPr>
        <w:pStyle w:val="Compact"/>
        <w:numPr>
          <w:ilvl w:val="0"/>
          <w:numId w:val="1011"/>
        </w:numPr>
      </w:pPr>
      <w:r>
        <w:t xml:space="preserve">Nel muscolo non c’è nessuna anomalia specifica: la dolorabilità palpata non è un reperto di malattia.</w:t>
      </w:r>
    </w:p>
    <w:p>
      <w:pPr>
        <w:pStyle w:val="Compact"/>
        <w:numPr>
          <w:ilvl w:val="0"/>
          <w:numId w:val="1011"/>
        </w:numPr>
      </w:pPr>
      <w:r>
        <w:t xml:space="preserve">I generatori regionali dentro il quadro diffuso sono l’unico bersaglio anatomico che ti appartiene.</w:t>
      </w:r>
    </w:p>
    <w:p>
      <w:pPr>
        <w:pStyle w:val="Compact"/>
        <w:numPr>
          <w:ilvl w:val="0"/>
          <w:numId w:val="1011"/>
        </w:numPr>
      </w:pPr>
      <w:r>
        <w:rPr>
          <w:b/>
          <w:bCs/>
        </w:rPr>
        <w:t xml:space="preserve">Perché ci sei tu.</w:t>
      </w:r>
      <w:r>
        <w:t xml:space="preserve"> </w:t>
      </w:r>
      <w:r>
        <w:t xml:space="preserve">Su questa quota non ci sei: circa un paziente su due ha una patologia delle piccole fibre (Galosi, 2022, PMID 35626288). Ti autorizza a riconoscere il sospetto e a segnalarlo al curante. Non a trattarlo, né a nominarlo come diagnosi.</w:t>
      </w:r>
    </w:p>
    <w:p>
      <w:r>
        <w:pict>
          <v:rect style="width:0;height:1.5pt" o:hralign="center" o:hrstd="t" o:hr="t"/>
        </w:pict>
      </w:r>
    </w:p>
    <w:bookmarkEnd w:id="30"/>
    <w:bookmarkEnd w:id="31"/>
    <w:bookmarkStart w:id="32"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in un sistema sano il dolore è una misura calibrata, e la calibrazione la rifà il sonno ogni notte.</w:t>
      </w:r>
    </w:p>
    <w:p>
      <w:pPr>
        <w:pStyle w:val="FirstParagraph"/>
      </w:pPr>
      <w:r>
        <w:t xml:space="preserve">La sequenza, in ordine.</w:t>
      </w:r>
    </w:p>
    <w:p>
      <w:pPr>
        <w:pStyle w:val="Compact"/>
        <w:numPr>
          <w:ilvl w:val="0"/>
          <w:numId w:val="1012"/>
        </w:numPr>
      </w:pPr>
      <w:r>
        <w:rPr>
          <w:b/>
          <w:bCs/>
        </w:rPr>
        <w:t xml:space="preserve">Un tessuto viene caricato.</w:t>
      </w:r>
      <w:r>
        <w:t xml:space="preserve"> </w:t>
      </w:r>
      <w:r>
        <w:t xml:space="preserve">Una pressione, un allungamento, un movimento ripetuto. I recettori sensibili al carico scaricano in proporzione all’intensità.</w:t>
      </w:r>
    </w:p>
    <w:p>
      <w:pPr>
        <w:pStyle w:val="Compact"/>
        <w:numPr>
          <w:ilvl w:val="0"/>
          <w:numId w:val="1012"/>
        </w:numPr>
      </w:pPr>
      <w:r>
        <w:rPr>
          <w:b/>
          <w:bCs/>
        </w:rPr>
        <w:t xml:space="preserve">Il segnale entra nel corno posteriore.</w:t>
      </w:r>
      <w:r>
        <w:t xml:space="preserve"> </w:t>
      </w:r>
      <w:r>
        <w:t xml:space="preserve">Qui incontra il primo neurone che sale. Se gli stimoli sono ravvicinati, la risposta cresce: è la sommazione temporale, e serve a segnalare che qualcosa sta insistendo.</w:t>
      </w:r>
    </w:p>
    <w:p>
      <w:pPr>
        <w:pStyle w:val="Compact"/>
        <w:numPr>
          <w:ilvl w:val="0"/>
          <w:numId w:val="1012"/>
        </w:numPr>
      </w:pPr>
      <w:r>
        <w:rPr>
          <w:b/>
          <w:bCs/>
        </w:rPr>
        <w:t xml:space="preserve">Le vie discendenti decidono quanto ne passa.</w:t>
      </w:r>
      <w:r>
        <w:t xml:space="preserve"> </w:t>
      </w:r>
      <w:r>
        <w:t xml:space="preserve">Dal tronco encefalico scendono fasci che alzano o abbassano il guadagno di quel relè. In un sistema calibrato, quando lo stimolo si ripete senza fare danno, il guadagno</w:t>
      </w:r>
      <w:r>
        <w:t xml:space="preserve"> </w:t>
      </w:r>
      <w:r>
        <w:rPr>
          <w:b/>
          <w:bCs/>
        </w:rPr>
        <w:t xml:space="preserve">scende</w:t>
      </w:r>
      <w:r>
        <w:t xml:space="preserve">.</w:t>
      </w:r>
    </w:p>
    <w:p>
      <w:pPr>
        <w:pStyle w:val="Compact"/>
        <w:numPr>
          <w:ilvl w:val="0"/>
          <w:numId w:val="1012"/>
        </w:numPr>
      </w:pPr>
      <w:r>
        <w:rPr>
          <w:b/>
          <w:bCs/>
        </w:rPr>
        <w:t xml:space="preserve">Il cervello costruisce la percezione.</w:t>
      </w:r>
      <w:r>
        <w:t xml:space="preserve"> </w:t>
      </w:r>
      <w:r>
        <w:t xml:space="preserve">Non registra: interpreta. Mette insieme il segnale, il contesto, l’attesa e lo stato del corpo in quel momento.</w:t>
      </w:r>
    </w:p>
    <w:p>
      <w:pPr>
        <w:pStyle w:val="Compact"/>
        <w:numPr>
          <w:ilvl w:val="0"/>
          <w:numId w:val="1012"/>
        </w:numPr>
      </w:pPr>
      <w:r>
        <w:rPr>
          <w:b/>
          <w:bCs/>
        </w:rPr>
        <w:t xml:space="preserve">La notte rifà la taratura.</w:t>
      </w:r>
      <w:r>
        <w:t xml:space="preserve"> </w:t>
      </w:r>
      <w:r>
        <w:t xml:space="preserve">Se la</w:t>
      </w:r>
      <w:r>
        <w:t xml:space="preserve"> </w:t>
      </w:r>
      <w:r>
        <w:rPr>
          <w:b/>
          <w:bCs/>
        </w:rPr>
        <w:t xml:space="preserve">continuità</w:t>
      </w:r>
      <w:r>
        <w:t xml:space="preserve"> </w:t>
      </w:r>
      <w:r>
        <w:t xml:space="preserve">del sonno si spezza, l’inibizione endogena del dolore si spegne e il dolore spontaneo aumenta (Smith, 2007, PMID 17520794). La soglia della mattina dopo dipende da quante volte la notte si è interrotta, più che da quanto è durata.</w:t>
      </w:r>
    </w:p>
    <w:p>
      <w:pPr>
        <w:pStyle w:val="FirstParagraph"/>
      </w:pPr>
      <w:r>
        <w:t xml:space="preserve">Il punto 5 è quello che quasi nessuno racconta al paziente, ed è il ponte di tutto questo documento.</w:t>
      </w:r>
      <w:r>
        <w:t xml:space="preserve"> </w:t>
      </w:r>
      <w:r>
        <w:rPr>
          <w:b/>
          <w:bCs/>
        </w:rPr>
        <w:t xml:space="preserve">La taratura del dolore non è una costante: dipende da quante volte la notte si interrompe.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il fatto che la frammentazione del sonno spenga l’inibizione endogena del dolore (Smith, 2007, PMID 17520794).</w:t>
      </w:r>
      <w:r>
        <w:t xml:space="preserve"> </w:t>
      </w:r>
      <w:r>
        <w:rPr>
          <w:b/>
          <w:bCs/>
        </w:rPr>
        <w:t xml:space="preserve">RAGIONAMENTO</w:t>
      </w:r>
      <w:r>
        <w:t xml:space="preserve"> </w:t>
      </w:r>
      <w:r>
        <w:rPr>
          <w:i/>
          <w:iCs/>
        </w:rPr>
        <w:t xml:space="preserve">(cornice clinica, non una prova)</w:t>
      </w:r>
      <w:r>
        <w:t xml:space="preserve"> </w:t>
      </w:r>
      <w:r>
        <w:t xml:space="preserve">per l’immagine della «manutenzione notturna», che è un modo di dirlo e non una misura. È l’unico anello portante del documento che sta in un capitolo senza etichette, e per questo l’etichetta la porta lo stesso.</w:t>
      </w:r>
    </w:p>
    <w:p>
      <w:pPr>
        <w:pStyle w:val="FirstParagraph"/>
      </w:pPr>
      <w:r>
        <w:t xml:space="preserve">Il sistema autonomico fa la sua parte in parallelo, e il suo assetto si legge dalla variabilità fra un battito e l’altro. Il terzo meccanismo del capitolo seguente lo descrive con la sua misura.</w:t>
      </w:r>
    </w:p>
    <w:p>
      <w:pPr>
        <w:pStyle w:val="BodyText"/>
      </w:pPr>
      <w:r>
        <w:rPr>
          <w:b/>
          <w:bCs/>
        </w:rPr>
        <w:t xml:space="preserve">Due proprietà del sistema sano</w:t>
      </w:r>
      <w:r>
        <w:t xml:space="preserve">, senza le quali i meccanismi del capitolo seguente non si capiscono.</w:t>
      </w:r>
    </w:p>
    <w:p>
      <w:pPr>
        <w:pStyle w:val="BodyText"/>
      </w:pPr>
      <w:r>
        <w:rPr>
          <w:b/>
          <w:bCs/>
        </w:rPr>
        <w:t xml:space="preserve">La prima: lo stesso ingresso non produce lo stesso dolore.</w:t>
      </w:r>
      <w:r>
        <w:t xml:space="preserve"> </w:t>
      </w:r>
      <w:r>
        <w:t xml:space="preserve">Il guadagno del relè spinale cambia con il momento — quanto hai dormito, quanto sei in allerta, cosa ti aspetti. È una caratteristica, non un difetto. La quantità di dolore che senti non è mai una proprietà dello stimolo da solo.</w:t>
      </w:r>
    </w:p>
    <w:p>
      <w:pPr>
        <w:pStyle w:val="BodyText"/>
      </w:pPr>
      <w:r>
        <w:rPr>
          <w:b/>
          <w:bCs/>
        </w:rPr>
        <w:t xml:space="preserve">La seconda: il carico costruisce capacità, se il recupero c’è.</w:t>
      </w:r>
      <w:r>
        <w:t xml:space="preserve"> </w:t>
      </w:r>
      <w:r>
        <w:t xml:space="preserve">Essere esposti a un carico e scoprire che non fa danno abbassa il guadagno invece di alzarlo. È il motivo per cui l’esercizio graduato funziona qui. Ed è anche il motivo per cui l’alternanza fra sforzo massimo e riposo assoluto non funziona.</w:t>
      </w:r>
    </w:p>
    <w:p>
      <w:pPr>
        <w:pStyle w:val="BodyText"/>
      </w:pPr>
      <w:r>
        <w:t xml:space="preserve">Questo è il sistema che funziona. Ora vediamo dove si rompe.</w:t>
      </w:r>
    </w:p>
    <w:p>
      <w:pPr>
        <w:pStyle w:val="BodyText"/>
      </w:pPr>
      <w:r>
        <w:rPr>
          <w:b/>
          <w:bCs/>
        </w:rPr>
        <w:t xml:space="preserve">Le tre cose da ricordare, più una</w:t>
      </w:r>
    </w:p>
    <w:p>
      <w:pPr>
        <w:pStyle w:val="Compact"/>
        <w:numPr>
          <w:ilvl w:val="0"/>
          <w:numId w:val="1013"/>
        </w:numPr>
      </w:pPr>
      <w:r>
        <w:t xml:space="preserve">Il guadagno del dolore è una manopola regolata dall’alto, non una proprietà del tessuto.</w:t>
      </w:r>
    </w:p>
    <w:p>
      <w:pPr>
        <w:pStyle w:val="Compact"/>
        <w:numPr>
          <w:ilvl w:val="0"/>
          <w:numId w:val="1013"/>
        </w:numPr>
      </w:pPr>
      <w:r>
        <w:t xml:space="preserve">La taratura si rifà nella notte, e la variabile è la continuità: contano i risvegli, non le ore.</w:t>
      </w:r>
    </w:p>
    <w:p>
      <w:pPr>
        <w:pStyle w:val="Compact"/>
        <w:numPr>
          <w:ilvl w:val="0"/>
          <w:numId w:val="1013"/>
        </w:numPr>
      </w:pPr>
      <w:r>
        <w:t xml:space="preserve">La sommazione temporale è normale e utile: è la sua ampiezza a fare la differenza.</w:t>
      </w:r>
    </w:p>
    <w:p>
      <w:pPr>
        <w:pStyle w:val="Compact"/>
        <w:numPr>
          <w:ilvl w:val="0"/>
          <w:numId w:val="1013"/>
        </w:numPr>
      </w:pPr>
      <w:r>
        <w:rPr>
          <w:b/>
          <w:bCs/>
        </w:rPr>
        <w:t xml:space="preserve">Perché ci sei tu.</w:t>
      </w:r>
      <w:r>
        <w:t xml:space="preserve"> </w:t>
      </w:r>
      <w:r>
        <w:t xml:space="preserve">Privare del sonno profondo sei volontari sani ha prodotto in pochi giorni sintomi muscolo-scheletrici e più dolorabilità, cosa non accaduta nel gruppo privato del solo REM (Moldofsky e Scarisbrick, 1976, PMID 176677). Ti autorizza a mettere il sonno al primo posto dell’anamnesi. Non a promettere di aggiustarlo con le mani.</w:t>
      </w:r>
    </w:p>
    <w:p>
      <w:r>
        <w:pict>
          <v:rect style="width:0;height:1.5pt" o:hralign="center" o:hrstd="t" o:hr="t"/>
        </w:pict>
      </w:r>
    </w:p>
    <w:bookmarkEnd w:id="32"/>
    <w:bookmarkStart w:id="38"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il guadagno del sistema del dolore è alzato in modo misurabile, e quattro cose diverse lo tengono su.</w:t>
      </w:r>
    </w:p>
    <w:p>
      <w:pPr>
        <w:pStyle w:val="FirstParagraph"/>
      </w:pPr>
      <w:r>
        <w:t xml:space="preserve">I meccanismi sono ordinati dal più solido al meno solido. L’effetto è scomodo di proposito: i primi sono quelli su cui la tua leva è più debole, l’ultimo è quello che ti appartiene.</w:t>
      </w:r>
    </w:p>
    <w:bookmarkStart w:id="33" w:name="il-guadagno-alzato-al-centro"/>
    <w:p>
      <w:pPr>
        <w:pStyle w:val="Heading3"/>
      </w:pPr>
      <w:r>
        <w:t xml:space="preserve">1. Il guadagno alzato al centro</w:t>
      </w:r>
    </w:p>
    <w:p>
      <w:pPr>
        <w:pStyle w:val="FirstParagraph"/>
      </w:pPr>
      <w:r>
        <w:t xml:space="preserve">La sequenza:</w:t>
      </w:r>
    </w:p>
    <w:p>
      <w:pPr>
        <w:pStyle w:val="Compact"/>
        <w:numPr>
          <w:ilvl w:val="0"/>
          <w:numId w:val="1014"/>
        </w:numPr>
      </w:pPr>
      <w:r>
        <w:t xml:space="preserve">Uno stimolo di pressione arriva al sistema nervoso centrale.</w:t>
      </w:r>
    </w:p>
    <w:p>
      <w:pPr>
        <w:pStyle w:val="Compact"/>
        <w:numPr>
          <w:ilvl w:val="0"/>
          <w:numId w:val="1014"/>
        </w:numPr>
      </w:pPr>
      <w:r>
        <w:t xml:space="preserve">Il relè spinale lo somma con quello che è arrivato prima e parte da un livello di base più alto. Intanto le vie discendenti, che dovrebbero abbassare il guadagno, lo abbassano meno.</w:t>
      </w:r>
    </w:p>
    <w:p>
      <w:pPr>
        <w:pStyle w:val="Compact"/>
        <w:numPr>
          <w:ilvl w:val="0"/>
          <w:numId w:val="1014"/>
        </w:numPr>
      </w:pPr>
      <w:r>
        <w:t xml:space="preserve">Le aree corticali si attivano come se lo stimolo fosse molto più forte di quanto è. Il paziente sente male con pressioni che per un altro sono niente, in sedi che non hanno nessun danno.</w:t>
      </w:r>
    </w:p>
    <w:p>
      <w:pPr>
        <w:pStyle w:val="FirstParagraph"/>
      </w:pPr>
      <w:r>
        <w:t xml:space="preserve">La misura che rende questo non discutibile è del 2002. Si applica la</w:t>
      </w:r>
      <w:r>
        <w:t xml:space="preserve"> </w:t>
      </w:r>
      <w:r>
        <w:rPr>
          <w:b/>
          <w:bCs/>
        </w:rPr>
        <w:t xml:space="preserve">stessa pressione</w:t>
      </w:r>
      <w:r>
        <w:t xml:space="preserve"> </w:t>
      </w:r>
      <w:r>
        <w:t xml:space="preserve">al letto ungueale del pollice di sedici pazienti e sedici controlli: nei pazienti si accendono tredici regioni cerebrali in più. Per ottenere nei controlli lo</w:t>
      </w:r>
      <w:r>
        <w:t xml:space="preserve"> </w:t>
      </w:r>
      <w:r>
        <w:rPr>
          <w:b/>
          <w:bCs/>
        </w:rPr>
        <w:t xml:space="preserve">stesso dolore riferito</w:t>
      </w:r>
      <w:r>
        <w:t xml:space="preserve"> </w:t>
      </w:r>
      <w:r>
        <w:t xml:space="preserve">serve una pressione molto maggiore, e allora i due quadri si assomigliano (Gracely, 2002, PMID 12115241).</w:t>
      </w:r>
      <w:r>
        <w:t xml:space="preserve"> </w:t>
      </w:r>
      <w:r>
        <w:rPr>
          <w:b/>
          <w:bCs/>
        </w:rPr>
        <w:t xml:space="preserve">Per te:</w:t>
      </w:r>
      <w:r>
        <w:t xml:space="preserve"> </w:t>
      </w:r>
      <w:r>
        <w:t xml:space="preserve">è la frase che dici quando ti chiedono se è nella sua testa. È nel suo sistema nervoso, ed è stata fotografata.</w:t>
      </w:r>
    </w:p>
    <w:p>
      <w:pPr>
        <w:pStyle w:val="BodyText"/>
      </w:pPr>
      <w:r>
        <w:t xml:space="preserve">La sommazione temporale lo conferma dal lato opposto: risposta più grande al primo stimolo, crescita maggiore dentro la serie, sensazioni residue più lunghe e più spesso dolorose (Staud, 2001, PMID 11240089). E il passo 3 non è un’inferenza: è misurato (O’Brien, 2018, PMID 29454976 — vedi Capitolo 3, con la qualificazione sull’eterogeneità dei protocolli e sull’assenza di cecità che lo accompagna sempre).</w:t>
      </w:r>
    </w:p>
    <w:p>
      <w:pPr>
        <w:pStyle w:val="BodyText"/>
      </w:pPr>
      <w:r>
        <w:t xml:space="preserve">Questo tipo di dolore ha un nome nella classificazione internazionale:</w:t>
      </w:r>
      <w:r>
        <w:t xml:space="preserve"> </w:t>
      </w:r>
      <w:r>
        <w:rPr>
          <w:b/>
          <w:bCs/>
        </w:rPr>
        <w:t xml:space="preserve">nociplastico</w:t>
      </w:r>
      <w:r>
        <w:t xml:space="preserve">. Nasce da un’alterazione dell’elaborazione, non da un danno di tessuto né da una lesione di nervo (Fitzcharles e Clauw, 2021, PMID 34062144).</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misura sperimentale diretta nell’uomo, replicata con metodi indipendenti, e recepita nella tassonomia internazionale del dolore.</w:t>
      </w:r>
    </w:p>
    <w:p>
      <w:pPr>
        <w:pStyle w:val="FirstParagraph"/>
      </w:pPr>
      <w:r>
        <w:rPr>
          <w:b/>
          <w:bCs/>
        </w:rPr>
        <w:t xml:space="preserve">Come si vede addosso al paziente:</w:t>
      </w:r>
      <w:r>
        <w:t xml:space="preserve"> </w:t>
      </w:r>
      <w:r>
        <w:t xml:space="preserve">dolore su entrambi i lati, sopra e sotto la vita; sedi che cambiano da un giorno all’altro; dolore sproporzionato alla pressione; sensibilità aumentata anche a rumori, luci, freddo e odori; dolore che continua per minuti dopo che hai tolto la mano.</w:t>
      </w:r>
    </w:p>
    <w:p>
      <w:pPr>
        <w:pStyle w:val="BodyText"/>
      </w:pPr>
      <w:r>
        <w:rPr>
          <w:b/>
          <w:bCs/>
        </w:rPr>
        <w:t xml:space="preserve">È la bilancia della cucina tarata cento grammi sopra: pesi la stessa farina e leggi un numero più alto, e non è la farina a essere cambiata.</w:t>
      </w:r>
    </w:p>
    <w:bookmarkEnd w:id="33"/>
    <w:bookmarkStart w:id="34" w:name="il-sonno-che-non-rifà-la-taratura"/>
    <w:p>
      <w:pPr>
        <w:pStyle w:val="Heading3"/>
      </w:pPr>
      <w:r>
        <w:t xml:space="preserve">2. Il sonno che non rifà la taratura</w:t>
      </w:r>
    </w:p>
    <w:p>
      <w:pPr>
        <w:pStyle w:val="FirstParagraph"/>
      </w:pPr>
      <w:r>
        <w:t xml:space="preserve">La sequenza:</w:t>
      </w:r>
    </w:p>
    <w:p>
      <w:pPr>
        <w:pStyle w:val="Compact"/>
        <w:numPr>
          <w:ilvl w:val="0"/>
          <w:numId w:val="1015"/>
        </w:numPr>
      </w:pPr>
      <w:r>
        <w:t xml:space="preserve">Il sonno si frammenta: la continuità si spezza, e sono i risvegli — non le ore mancanti — a spegnere l’inibizione discendente.</w:t>
      </w:r>
    </w:p>
    <w:p>
      <w:pPr>
        <w:pStyle w:val="Compact"/>
        <w:numPr>
          <w:ilvl w:val="0"/>
          <w:numId w:val="1015"/>
        </w:numPr>
      </w:pPr>
      <w:r>
        <w:t xml:space="preserve">La manutenzione notturna del sistema di modulazione discendente non si completa, e la soglia del mattino dopo riparte più bassa di quella della sera prima.</w:t>
      </w:r>
    </w:p>
    <w:p>
      <w:pPr>
        <w:pStyle w:val="Compact"/>
        <w:numPr>
          <w:ilvl w:val="0"/>
          <w:numId w:val="1015"/>
        </w:numPr>
      </w:pPr>
      <w:r>
        <w:t xml:space="preserve">Il dolore della giornata aumenta. Con il dolore aumenta la frammentazione della notte successiva, e il ciclo si chiude su se stesso: non ha più bisogno di una causa esterna per continuare.</w:t>
      </w:r>
    </w:p>
    <w:p>
      <w:pPr>
        <w:pStyle w:val="FirstParagraph"/>
      </w:pPr>
      <w:r>
        <w:t xml:space="preserve">L’anello 1→3 è stato prodotto sperimentalmente in persone sane. Privare del sonno di stadio 4 sei volontari giovani ha generato sintomi muscolo-scheletrici e un aumento misurato della dolorabilità, assente nel gruppo privato del solo REM (Moldofsky, 1976, PMID 176677).</w:t>
      </w:r>
    </w:p>
    <w:p>
      <w:pPr>
        <w:pStyle w:val="BodyText"/>
      </w:pPr>
      <w:r>
        <w:t xml:space="preserve">L’esperimento che separa le variabili è più recente, e sposta il bersaglio. Risvegli forzati ripetuti hanno</w:t>
      </w:r>
      <w:r>
        <w:t xml:space="preserve"> </w:t>
      </w:r>
      <w:r>
        <w:rPr>
          <w:b/>
          <w:bCs/>
        </w:rPr>
        <w:t xml:space="preserve">abolito l’inibizione endogena del dolore</w:t>
      </w:r>
      <w:r>
        <w:t xml:space="preserve"> </w:t>
      </w:r>
      <w:r>
        <w:t xml:space="preserve">e aumentato il dolore spontaneo. La sola riduzione della durata, a parità di continuità, non lo ha fatto (Smith, 2007, PMID 17520794).</w:t>
      </w:r>
      <w:r>
        <w:t xml:space="preserve"> </w:t>
      </w:r>
      <w:r>
        <w:rPr>
          <w:b/>
          <w:bCs/>
        </w:rPr>
        <w:t xml:space="preserve">Per te:</w:t>
      </w:r>
      <w:r>
        <w:t xml:space="preserve"> </w:t>
      </w:r>
      <w:r>
        <w:t xml:space="preserve">è la ragione per cui conti i risvegli e non le ore.</w:t>
      </w:r>
    </w:p>
    <w:p>
      <w:pPr>
        <w:pStyle w:val="BodyText"/>
      </w:pPr>
      <w:r>
        <w:t xml:space="preserve">La direzione della freccia nella vita reale è stata misurata su popolazioni seguite nel tempo.</w:t>
      </w:r>
      <w:r>
        <w:t xml:space="preserve"> </w:t>
      </w:r>
      <w:r>
        <w:rPr>
          <w:b/>
          <w:bCs/>
        </w:rPr>
        <w:t xml:space="preserve">Il sonno disturbato predice la comparsa e il peggioramento del dolore cronico più di quanto il dolore predica il sonno disturbato</w:t>
      </w:r>
      <w:r>
        <w:t xml:space="preserve"> </w:t>
      </w:r>
      <w:r>
        <w:t xml:space="preserve">(Finan, 2013, PMID 24290442).</w:t>
      </w:r>
      <w:r>
        <w:t xml:space="preserve"> </w:t>
      </w:r>
      <w:r>
        <w:rPr>
          <w:i/>
          <w:iCs/>
        </w:rPr>
        <w:t xml:space="preserve">Misurato su popolazioni con dolore cronico in generale, non su pazienti con fibromialgia.</w:t>
      </w:r>
    </w:p>
    <w:p>
      <w:pPr>
        <w:pStyle w:val="BlockText"/>
      </w:pPr>
      <w:r>
        <w:rPr>
          <w:b/>
          <w:bCs/>
        </w:rPr>
        <w:t xml:space="preserve">Quanto è solido:</w:t>
      </w:r>
      <w:r>
        <w:t xml:space="preserve"> </w:t>
      </w:r>
      <w:r>
        <w:t xml:space="preserve">l’etichetta si spezza, perché i pezzi non hanno la stessa forza. Che la privazione di sonno profondo abbassi la soglia del dolore:</w:t>
      </w:r>
      <w:r>
        <w:t xml:space="preserve"> </w:t>
      </w:r>
      <w:r>
        <w:rPr>
          <w:b/>
          <w:bCs/>
        </w:rPr>
        <w:t xml:space="preserve">DIMOSTRATO</w:t>
      </w:r>
      <w:r>
        <w:t xml:space="preserve"> </w:t>
      </w:r>
      <w:r>
        <w:rPr>
          <w:i/>
          <w:iCs/>
        </w:rPr>
        <w:t xml:space="preserve">(studi sull’uomo, solidi)</w:t>
      </w:r>
      <w:r>
        <w:t xml:space="preserve"> </w:t>
      </w:r>
      <w:r>
        <w:t xml:space="preserve">— esperimento controllato con condizione di confronto. Che il sonno sia il motore principale in</w:t>
      </w:r>
      <w:r>
        <w:t xml:space="preserve"> </w:t>
      </w:r>
      <w:r>
        <w:rPr>
          <w:b/>
          <w:bCs/>
        </w:rPr>
        <w:t xml:space="preserve">questo</w:t>
      </w:r>
      <w:r>
        <w:t xml:space="preserve"> </w:t>
      </w:r>
      <w:r>
        <w:t xml:space="preserve">paziente:</w:t>
      </w:r>
      <w:r>
        <w:t xml:space="preserve"> </w:t>
      </w:r>
      <w:r>
        <w:rPr>
          <w:b/>
          <w:bCs/>
        </w:rPr>
        <w:t xml:space="preserve">PROBABILE</w:t>
      </w:r>
      <w:r>
        <w:t xml:space="preserve"> </w:t>
      </w:r>
      <w:r>
        <w:rPr>
          <w:i/>
          <w:iCs/>
        </w:rPr>
        <w:t xml:space="preserve">(razionale forte, prove parziali)</w:t>
      </w:r>
      <w:r>
        <w:t xml:space="preserve"> </w:t>
      </w:r>
      <w:r>
        <w:t xml:space="preserve">— la direzione prevalente è stabilita su popolazioni, non su individui.</w:t>
      </w:r>
    </w:p>
    <w:p>
      <w:pPr>
        <w:pStyle w:val="FirstParagraph"/>
      </w:pPr>
      <w:r>
        <w:rPr>
          <w:b/>
          <w:bCs/>
        </w:rPr>
        <w:t xml:space="preserve">Come si vede addosso al paziente:</w:t>
      </w:r>
      <w:r>
        <w:t xml:space="preserve"> </w:t>
      </w:r>
      <w:r>
        <w:t xml:space="preserve">la rigidità mattutina è il sintomo peggiore della giornata; sta peggio al risveglio che alla sera; il dolore segue le notti e non le attività; racconta di svegliarsi più volte, o di dormire otto ore e sentirsi come se non avesse dormito; la nebbia cognitiva peggiora dopo le notti peggiori.</w:t>
      </w:r>
    </w:p>
    <w:p>
      <w:pPr>
        <w:pStyle w:val="BodyText"/>
      </w:pPr>
      <w:r>
        <w:rPr>
          <w:b/>
          <w:bCs/>
        </w:rPr>
        <w:t xml:space="preserve">È il turno di notte della manutenzione: se nessuno entra a fare i lavori, la mattina l’impianto riparte con i guasti del giorno prima.</w:t>
      </w:r>
    </w:p>
    <w:bookmarkEnd w:id="34"/>
    <w:bookmarkStart w:id="35" w:name="il-sistema-che-non-torna-mai-in-stand-by"/>
    <w:p>
      <w:pPr>
        <w:pStyle w:val="Heading3"/>
      </w:pPr>
      <w:r>
        <w:t xml:space="preserve">3. Il sistema che non torna mai in stand-by</w:t>
      </w:r>
    </w:p>
    <w:p>
      <w:pPr>
        <w:pStyle w:val="FirstParagraph"/>
      </w:pPr>
      <w:r>
        <w:t xml:space="preserve">La sequenza:</w:t>
      </w:r>
    </w:p>
    <w:p>
      <w:pPr>
        <w:pStyle w:val="Compact"/>
        <w:numPr>
          <w:ilvl w:val="0"/>
          <w:numId w:val="1016"/>
        </w:numPr>
      </w:pPr>
      <w:r>
        <w:t xml:space="preserve">Il carico — di vita, di dolore, di incertezza — tiene alto lo stato di allerta, e il ramo parasimpatico non riprende il comando nelle fasi in cui dovrebbe.</w:t>
      </w:r>
    </w:p>
    <w:p>
      <w:pPr>
        <w:pStyle w:val="Compact"/>
        <w:numPr>
          <w:ilvl w:val="0"/>
          <w:numId w:val="1016"/>
        </w:numPr>
      </w:pPr>
      <w:r>
        <w:t xml:space="preserve">La variabilità fra un battito e l’altro si riduce, e la riduzione è misurabile.</w:t>
      </w:r>
    </w:p>
    <w:p>
      <w:pPr>
        <w:pStyle w:val="Compact"/>
        <w:numPr>
          <w:ilvl w:val="0"/>
          <w:numId w:val="1016"/>
        </w:numPr>
      </w:pPr>
      <w:r>
        <w:t xml:space="preserve">Lo stesso regolatore tronco-limbico che tiene alto lo stato di allerta tiene alto anche il guadagno nocicettivo. Variabilità ridotta e soglia bassa sono</w:t>
      </w:r>
      <w:r>
        <w:t xml:space="preserve"> </w:t>
      </w:r>
      <w:r>
        <w:rPr>
          <w:b/>
          <w:bCs/>
        </w:rPr>
        <w:t xml:space="preserve">due sue letture</w:t>
      </w:r>
      <w:r>
        <w:t xml:space="preserve">, non l’una la causa dell’altra. La soglia a cui una sensazione diventa sintomo è più bassa, ma la strada per alzarla non passa dall’indice.</w:t>
      </w:r>
    </w:p>
    <w:p>
      <w:pPr>
        <w:pStyle w:val="FirstParagraph"/>
      </w:pPr>
      <w:r>
        <w:t xml:space="preserve">La misura esiste ed è ampia. La revisione raccoglie cinquantuno studi di dolore cronico, ventisei dei quali entrati nelle meta-analisi. La variabilità cardiaca ad alta frequenza — l’indice più vicino all’attività parasimpatica — è ridotta con un effetto da moderato a grande. E</w:t>
      </w:r>
      <w:r>
        <w:t xml:space="preserve"> </w:t>
      </w:r>
      <w:r>
        <w:rPr>
          <w:b/>
          <w:bCs/>
        </w:rPr>
        <w:t xml:space="preserve">quell’effetto è trainato in modo determinante proprio dagli studi sulla fibromialgia</w:t>
      </w:r>
      <w:r>
        <w:t xml:space="preserve"> </w:t>
      </w:r>
      <w:r>
        <w:t xml:space="preserve">(Tracy, 2016, PMID 26431423).</w:t>
      </w:r>
    </w:p>
    <w:p>
      <w:pPr>
        <w:pStyle w:val="BodyText"/>
      </w:pPr>
      <w:r>
        <w:rPr>
          <w:b/>
          <w:bCs/>
        </w:rPr>
        <w:t xml:space="preserve">Per te:</w:t>
      </w:r>
      <w:r>
        <w:t xml:space="preserve"> </w:t>
      </w:r>
      <w:r>
        <w:t xml:space="preserve">questo è il dato che ti autorizza a mettere il modello Neurologico in cima all’ordine di interrogazione su questa condizione, invece che il biomeccanico. Non ti dice che il tuo tocco sposta quell’indice: quella è un’altra domanda, e la risposta sta nel capitolo sulle leve.</w:t>
      </w:r>
    </w:p>
    <w:p>
      <w:pPr>
        <w:pStyle w:val="BodyText"/>
      </w:pPr>
      <w:r>
        <w:rPr>
          <w:b/>
          <w:bCs/>
        </w:rPr>
        <w:t xml:space="preserve">E sotto l’indice funzionale c’è un substrato anatomico:</w:t>
      </w:r>
      <w:r>
        <w:t xml:space="preserve"> </w:t>
      </w:r>
      <w:r>
        <w:t xml:space="preserve">il 45% di danno autonomico del Capitolo 3, con la sua qualificazione (Galosi, 2022, PMID 35626288).</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l’alterazione è misurata e replicata, ma è un’associazione trasversale: non è dimostrato che venga prima del dolore invece che dopo.</w:t>
      </w:r>
    </w:p>
    <w:p>
      <w:pPr>
        <w:pStyle w:val="FirstParagraph"/>
      </w:pPr>
      <w:r>
        <w:t xml:space="preserve">La variabilità cardiaca è una</w:t>
      </w:r>
      <w:r>
        <w:t xml:space="preserve"> </w:t>
      </w:r>
      <w:r>
        <w:rPr>
          <w:b/>
          <w:bCs/>
        </w:rPr>
        <w:t xml:space="preserve">spia del regolatore, non una manopola</w:t>
      </w:r>
      <w:r>
        <w:t xml:space="preserve">. Alzarla non è una strada per alzare la soglia del dolore. E chi ne trovasse una variazione dopo una seduta non ha per questo dimostrato di aver toccato il guadagno.</w:t>
      </w:r>
    </w:p>
    <w:p>
      <w:pPr>
        <w:pStyle w:val="BodyText"/>
      </w:pPr>
      <w:r>
        <w:rPr>
          <w:b/>
          <w:bCs/>
        </w:rPr>
        <w:t xml:space="preserve">Come si vede addosso al paziente:</w:t>
      </w:r>
      <w:r>
        <w:t xml:space="preserve"> </w:t>
      </w:r>
      <w:r>
        <w:t xml:space="preserve">tessuti che sobbalzano appena appoggi le mani; il paziente che trattiene il fiato mentre gli parli; il respiro alto e corto; il racconto che sta meglio in vacanza; mani fredde; il fatto che non riesca a stare fermo e non riesca nemmeno a riposare; la nebbia cognitiva che cresce con l’allerta.</w:t>
      </w:r>
    </w:p>
    <w:p>
      <w:pPr>
        <w:pStyle w:val="BodyText"/>
      </w:pPr>
      <w:r>
        <w:rPr>
          <w:b/>
          <w:bCs/>
        </w:rPr>
        <w:t xml:space="preserve">Dentro questo meccanismo c’è l’ortostatismo, che il racconto del carico nasconde.</w:t>
      </w:r>
      <w:r>
        <w:t xml:space="preserve"> </w:t>
      </w:r>
      <w:r>
        <w:t xml:space="preserve">Al tilt test, sedici pazienti contro sedici controlli: nessun incremento dell’attività simpatica ai vasi e</w:t>
      </w:r>
      <w:r>
        <w:t xml:space="preserve"> </w:t>
      </w:r>
      <w:r>
        <w:rPr>
          <w:b/>
          <w:bCs/>
        </w:rPr>
        <w:t xml:space="preserve">44% di sincopi</w:t>
      </w:r>
      <w:r>
        <w:t xml:space="preserve"> </w:t>
      </w:r>
      <w:r>
        <w:t xml:space="preserve">(Furlan, 2005, PMID 16142879; risposta discordante anche in Martínez-Lavín, 1997, PMID 9101507).</w:t>
      </w:r>
      <w:r>
        <w:t xml:space="preserve"> </w:t>
      </w:r>
      <w:r>
        <w:rPr>
          <w:b/>
          <w:bCs/>
        </w:rPr>
        <w:t xml:space="preserve">Per te:</w:t>
      </w:r>
      <w:r>
        <w:t xml:space="preserve"> </w:t>
      </w:r>
      <w:r>
        <w:t xml:space="preserve">chi «paga» dopo aver stirato o fatto la fila non ha necessariamente esagerato con lo sforzo. È rimasta in piedi ferma, e la domanda che separa le due cose è</w:t>
      </w:r>
      <w:r>
        <w:t xml:space="preserve"> </w:t>
      </w:r>
      <w:r>
        <w:rPr>
          <w:i/>
          <w:iCs/>
        </w:rPr>
        <w:t xml:space="preserve">«cosa ti succede se stai in piedi ferma dieci minuti?»</w:t>
      </w:r>
      <w:r>
        <w:t xml:space="preserve"> </w:t>
      </w:r>
      <w:r>
        <w:t xml:space="preserve">È anche il motivo per cui l’acqua è la forma tollerata per prima.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l’alterazione ortostatica, su campioni piccolissimi;</w:t>
      </w:r>
      <w:r>
        <w:t xml:space="preserve"> </w:t>
      </w:r>
      <w:r>
        <w:rPr>
          <w:b/>
          <w:bCs/>
        </w:rPr>
        <w:t xml:space="preserve">IPOTESI</w:t>
      </w:r>
      <w:r>
        <w:t xml:space="preserve"> </w:t>
      </w:r>
      <w:r>
        <w:rPr>
          <w:i/>
          <w:iCs/>
        </w:rPr>
        <w:t xml:space="preserve">(meccanismo coerente, nessuno studio)</w:t>
      </w:r>
      <w:r>
        <w:t xml:space="preserve"> </w:t>
      </w:r>
      <w:r>
        <w:t xml:space="preserve">per il legame con le riacutizzazioni raccontate.</w:t>
      </w:r>
    </w:p>
    <w:p>
      <w:pPr>
        <w:pStyle w:val="FirstParagraph"/>
      </w:pPr>
      <w:r>
        <w:rPr>
          <w:b/>
          <w:bCs/>
        </w:rPr>
        <w:t xml:space="preserve">Sulla nebbia cognitiva.</w:t>
      </w:r>
      <w:r>
        <w:t xml:space="preserve"> </w:t>
      </w:r>
      <w:r>
        <w:t xml:space="preserve">In trentotto donne contro trentadue controlli la memoria di lavoro complessiva</w:t>
      </w:r>
      <w:r>
        <w:t xml:space="preserve"> </w:t>
      </w:r>
      <w:r>
        <w:rPr>
          <w:b/>
          <w:bCs/>
        </w:rPr>
        <w:t xml:space="preserve">non</w:t>
      </w:r>
      <w:r>
        <w:t xml:space="preserve"> </w:t>
      </w:r>
      <w:r>
        <w:t xml:space="preserve">differisce. Il deficit misurato è limitato ed è mediato da depressione, stanchezza e dolore, mentre la difficoltà percepita è molto più alta (Pidal-Miranda, 2018, PMID 30498630).</w:t>
      </w:r>
      <w:r>
        <w:t xml:space="preserve"> </w:t>
      </w:r>
      <w:r>
        <w:rPr>
          <w:b/>
          <w:bCs/>
        </w:rPr>
        <w:t xml:space="preserve">Per te:</w:t>
      </w:r>
      <w:r>
        <w:t xml:space="preserve"> </w:t>
      </w:r>
      <w:r>
        <w:t xml:space="preserve">la nebbia segue il sonno e l’attivazione, non un deficit strutturale, e il dato è tranquillizzante.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campione piccolo, un solo centro.</w:t>
      </w:r>
    </w:p>
    <w:p>
      <w:pPr>
        <w:pStyle w:val="FirstParagraph"/>
      </w:pPr>
      <w:r>
        <w:rPr>
          <w:b/>
          <w:bCs/>
        </w:rPr>
        <w:t xml:space="preserve">È il frigorifero che non stacca mai il compressore: di notte lo senti, e la bolletta arriva a fine mese.</w:t>
      </w:r>
    </w:p>
    <w:bookmarkEnd w:id="35"/>
    <w:bookmarkStart w:id="36" w:name="X9e9111496a99763d3644f03719c9f4eb95a1356"/>
    <w:p>
      <w:pPr>
        <w:pStyle w:val="Heading3"/>
      </w:pPr>
      <w:r>
        <w:t xml:space="preserve">4. L’acceleratore e il freno — il ciclo delle giornate buone</w:t>
      </w:r>
    </w:p>
    <w:p>
      <w:pPr>
        <w:pStyle w:val="FirstParagraph"/>
      </w:pPr>
      <w:r>
        <w:t xml:space="preserve">La sequenza:</w:t>
      </w:r>
    </w:p>
    <w:p>
      <w:pPr>
        <w:pStyle w:val="Compact"/>
        <w:numPr>
          <w:ilvl w:val="0"/>
          <w:numId w:val="1017"/>
        </w:numPr>
      </w:pPr>
      <w:r>
        <w:t xml:space="preserve">Arriva una giornata buona, e il paziente fa tutto quello che aveva rimandato, perché non sa quando ne arriverà un’altra.</w:t>
      </w:r>
    </w:p>
    <w:p>
      <w:pPr>
        <w:pStyle w:val="Compact"/>
        <w:numPr>
          <w:ilvl w:val="0"/>
          <w:numId w:val="1017"/>
        </w:numPr>
      </w:pPr>
      <w:r>
        <w:t xml:space="preserve">Il carico supera di molto la media dei giorni precedenti, e nelle ventiquattro-quarantotto ore successive il dolore e la stanchezza aumentano.</w:t>
      </w:r>
    </w:p>
    <w:p>
      <w:pPr>
        <w:pStyle w:val="Compact"/>
        <w:numPr>
          <w:ilvl w:val="0"/>
          <w:numId w:val="1017"/>
        </w:numPr>
      </w:pPr>
      <w:r>
        <w:t xml:space="preserve">Seguono giorni di riposo forzato. La capacità scende ancora, e la soglia oltre la quale si «paga» si abbassa.</w:t>
      </w:r>
    </w:p>
    <w:p>
      <w:pPr>
        <w:pStyle w:val="FirstParagraph"/>
      </w:pPr>
      <w:r>
        <w:t xml:space="preserve">Che la capacità sia ridotta è misurato. Venti donne con fibromialgia sono state confrontate con venti donne sane di pari età e livello di attività: fanno meno metri al test dei sei minuti, meno alzate al test della sedia, e hanno un consumo massimo di ossigeno più basso. Alla valutazione isocinetica, invece,</w:t>
      </w:r>
      <w:r>
        <w:t xml:space="preserve"> </w:t>
      </w:r>
      <w:r>
        <w:rPr>
          <w:b/>
          <w:bCs/>
        </w:rPr>
        <w:t xml:space="preserve">non c’è differenza</w:t>
      </w:r>
      <w:r>
        <w:t xml:space="preserve">: il deficit è funzionale e non di forza pura (Tavares, 2020, PMID 31987552).</w:t>
      </w:r>
    </w:p>
    <w:p>
      <w:pPr>
        <w:pStyle w:val="BodyText"/>
      </w:pPr>
      <w:r>
        <w:t xml:space="preserve">Che l’esercizio graduato migliori il quadro è la conclusione più solida di tutta la letteratura sulla condizione, e sta nel capitolo sugli strumenti attivi.</w:t>
      </w:r>
    </w:p>
    <w:p>
      <w:pPr>
        <w:pStyle w:val="BlockText"/>
      </w:pPr>
      <w:r>
        <w:rPr>
          <w:b/>
          <w:bCs/>
        </w:rPr>
        <w:t xml:space="preserve">Quanto è solido:</w:t>
      </w:r>
      <w:r>
        <w:t xml:space="preserve"> </w:t>
      </w:r>
      <w:r>
        <w:t xml:space="preserve">l’etichetta si spezza. Che la capacità funzionale sia ridotta:</w:t>
      </w:r>
      <w:r>
        <w:t xml:space="preserve"> </w:t>
      </w:r>
      <w:r>
        <w:rPr>
          <w:b/>
          <w:bCs/>
        </w:rPr>
        <w:t xml:space="preserve">PROBABILE</w:t>
      </w:r>
      <w:r>
        <w:t xml:space="preserve"> </w:t>
      </w:r>
      <w:r>
        <w:rPr>
          <w:i/>
          <w:iCs/>
        </w:rPr>
        <w:t xml:space="preserve">(razionale forte, prove parziali)</w:t>
      </w:r>
      <w:r>
        <w:t xml:space="preserve"> </w:t>
      </w:r>
      <w:r>
        <w:t xml:space="preserve">— misurato, ma in un solo studio trasversale su venti pazienti e venti controlli, e con l’isocinetica negativa (Tavares, 2020, PMID 31987552). Che il ciclo alto-basso sia il motore di quel calo, e non solo la sua conseguenza:</w:t>
      </w:r>
      <w:r>
        <w:t xml:space="preserve"> </w:t>
      </w:r>
      <w:r>
        <w:rPr>
          <w:b/>
          <w:bCs/>
        </w:rPr>
        <w:t xml:space="preserve">RAGIONAMENTO</w:t>
      </w:r>
      <w:r>
        <w:t xml:space="preserve"> </w:t>
      </w:r>
      <w:r>
        <w:rPr>
          <w:i/>
          <w:iCs/>
        </w:rPr>
        <w:t xml:space="preserve">(cornice clinica, non una prova)</w:t>
      </w:r>
      <w:r>
        <w:t xml:space="preserve"> </w:t>
      </w:r>
      <w:r>
        <w:t xml:space="preserve">— non è stato isolato sperimentalmente. L’intervento che da quel ragionamento discende, però, è stato testato, e con esito misto: lo trovi come Strumento 5 nel capitolo sugli strumenti attivi.</w:t>
      </w:r>
    </w:p>
    <w:p>
      <w:pPr>
        <w:pStyle w:val="FirstParagraph"/>
      </w:pPr>
      <w:r>
        <w:rPr>
          <w:b/>
          <w:bCs/>
        </w:rPr>
        <w:t xml:space="preserve">Come si vede addosso al paziente:</w:t>
      </w:r>
      <w:r>
        <w:t xml:space="preserve"> </w:t>
      </w:r>
      <w:r>
        <w:t xml:space="preserve">riacutizzazioni che seguono un’attività di uno o due giorni invece di accompagnarla; una settimana con un picco e quattro giorni sotto; l’espressione «l’ho pagata»; un programma di esercizio abbandonato dopo dieci giorni perché stava peggio.</w:t>
      </w:r>
    </w:p>
    <w:p>
      <w:pPr>
        <w:pStyle w:val="BodyText"/>
      </w:pPr>
      <w:r>
        <w:rPr>
          <w:b/>
          <w:bCs/>
        </w:rPr>
        <w:t xml:space="preserve">È il traffico fatto di acceleratore e freno: arrivi lo stesso, e consumi il doppio di chi tiene una velocità costante.</w:t>
      </w:r>
    </w:p>
    <w:bookmarkEnd w:id="36"/>
    <w:bookmarkStart w:id="37" w:name="X8f26cb2f9417dc434113c93c643aa8355fbd3e9"/>
    <w:p>
      <w:pPr>
        <w:pStyle w:val="Heading3"/>
      </w:pPr>
      <w:r>
        <w:t xml:space="preserve">5. Gli ingressi periferici che alimentano l’amplificatore</w:t>
      </w:r>
    </w:p>
    <w:p>
      <w:pPr>
        <w:pStyle w:val="FirstParagraph"/>
      </w:pPr>
      <w:r>
        <w:t xml:space="preserve">La sequenza:</w:t>
      </w:r>
    </w:p>
    <w:p>
      <w:pPr>
        <w:pStyle w:val="Compact"/>
        <w:numPr>
          <w:ilvl w:val="0"/>
          <w:numId w:val="1018"/>
        </w:numPr>
      </w:pPr>
      <w:r>
        <w:t xml:space="preserve">Dentro il quadro diffuso esiste una sorgente regionale reale — una cervicale rigida, una spalla, una mandibola, un piede — che manda un ingresso nocicettivo continuo.</w:t>
      </w:r>
    </w:p>
    <w:p>
      <w:pPr>
        <w:pStyle w:val="Compact"/>
        <w:numPr>
          <w:ilvl w:val="0"/>
          <w:numId w:val="1018"/>
        </w:numPr>
      </w:pPr>
      <w:r>
        <w:t xml:space="preserve">Quell’ingresso entra in un sistema con il guadagno alzato. Un segnale che in un altro corpo sarebbe rumore di fondo, qui produce dolore.</w:t>
      </w:r>
    </w:p>
    <w:p>
      <w:pPr>
        <w:pStyle w:val="Compact"/>
        <w:numPr>
          <w:ilvl w:val="0"/>
          <w:numId w:val="1018"/>
        </w:numPr>
      </w:pPr>
      <w:r>
        <w:t xml:space="preserve">Ridurre quell’ingresso non abbassa il guadagno, ma riduce quello che ci entra dentro.</w:t>
      </w:r>
    </w:p>
    <w:p>
      <w:pPr>
        <w:pStyle w:val="FirstParagraph"/>
      </w:pPr>
      <w:r>
        <w:t xml:space="preserve">Questo è il meccanismo su cui poggia tutto il razionale delle tue mani, ed è il più debole dei cinque. È anche il modello che spiega una cosa nota. Nel dolore nociplastico gli interventi diretti alla periferia — antinfiammatori,</w:t>
      </w:r>
      <w:r>
        <w:t xml:space="preserve"> </w:t>
      </w:r>
      <w:r>
        <w:rPr>
          <w:b/>
          <w:bCs/>
        </w:rPr>
        <w:t xml:space="preserve">oppioidi</w:t>
      </w:r>
      <w:r>
        <w:t xml:space="preserve">, infiltrazioni, chirurgia — rendono meno del previsto (Fitzcharles e Clauw, 2021, PMID 34062144).</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se ridurre un generatore regionale identificato cambi il quadro diffuso in questi pazienti. E c’è una prova contraria da dichiarare. Il trattamento manuale è stato somministrato</w:t>
      </w:r>
      <w:r>
        <w:t xml:space="preserve"> </w:t>
      </w:r>
      <w:r>
        <w:rPr>
          <w:b/>
          <w:bCs/>
        </w:rPr>
        <w:t xml:space="preserve">al quadro nel suo insieme</w:t>
      </w:r>
      <w:r>
        <w:t xml:space="preserve">, invece che a un generatore identificato, in uno studio randomizzato con finto trattamento su 101 pazienti. La differenza sul dolore è stata di 2,2 mm su una scala di 100 (Coste, 2021, PMID 33948127). Quello studio non ha testato questa ipotesi. Ma è l’unica misura che abbiamo, e va davanti.</w:t>
      </w:r>
    </w:p>
    <w:p>
      <w:pPr>
        <w:pStyle w:val="FirstParagraph"/>
      </w:pPr>
      <w:r>
        <w:rPr>
          <w:b/>
          <w:bCs/>
        </w:rPr>
        <w:t xml:space="preserve">Come si vede addosso al paziente:</w:t>
      </w:r>
      <w:r>
        <w:t xml:space="preserve"> </w:t>
      </w:r>
      <w:r>
        <w:t xml:space="preserve">una sede sempre peggiore, con una storia sua; un’escursione ridotta in un solo distretto, in un corpo che altrove si muove; un fattore scatenante meccanico riproducibile, quando il resto non ne ha.</w:t>
      </w:r>
    </w:p>
    <w:p>
      <w:pPr>
        <w:pStyle w:val="BodyText"/>
      </w:pPr>
      <w:r>
        <w:rPr>
          <w:b/>
          <w:bCs/>
        </w:rPr>
        <w:t xml:space="preserve">È la finestra socchiusa in una stanza dove l’eco è già alta: non è la finestra a fare il rumore, ma da lì entra.</w:t>
      </w:r>
    </w:p>
    <w:p>
      <w:pPr>
        <w:pStyle w:val="BodyText"/>
      </w:pPr>
      <w:r>
        <w:rPr>
          <w:b/>
          <w:bCs/>
        </w:rPr>
        <w:t xml:space="preserve">Le tre cose da ricordare, più una</w:t>
      </w:r>
    </w:p>
    <w:p>
      <w:pPr>
        <w:pStyle w:val="Compact"/>
        <w:numPr>
          <w:ilvl w:val="0"/>
          <w:numId w:val="1019"/>
        </w:numPr>
      </w:pPr>
      <w:r>
        <w:t xml:space="preserve">Il guadagno centrale alzato è dimostrato con misura diretta: è il fatto attorno a cui gira tutto.</w:t>
      </w:r>
    </w:p>
    <w:p>
      <w:pPr>
        <w:pStyle w:val="Compact"/>
        <w:numPr>
          <w:ilvl w:val="0"/>
          <w:numId w:val="1019"/>
        </w:numPr>
      </w:pPr>
      <w:r>
        <w:t xml:space="preserve">Sonno, allerta e ciclo del carico sono i tre acceleratori, e sono più forti del quinto meccanismo.</w:t>
      </w:r>
    </w:p>
    <w:p>
      <w:pPr>
        <w:pStyle w:val="Compact"/>
        <w:numPr>
          <w:ilvl w:val="0"/>
          <w:numId w:val="1019"/>
        </w:numPr>
      </w:pPr>
      <w:r>
        <w:t xml:space="preserve">Il quinto meccanismo è l’unico tuo, ed è il meno solido: questa proporzione va tenuta in stanza.</w:t>
      </w:r>
    </w:p>
    <w:p>
      <w:pPr>
        <w:pStyle w:val="Compact"/>
        <w:numPr>
          <w:ilvl w:val="0"/>
          <w:numId w:val="1019"/>
        </w:numPr>
      </w:pPr>
      <w:r>
        <w:rPr>
          <w:b/>
          <w:bCs/>
        </w:rPr>
        <w:t xml:space="preserve">Perché ci sei tu.</w:t>
      </w:r>
      <w:r>
        <w:t xml:space="preserve"> </w:t>
      </w:r>
      <w:r>
        <w:t xml:space="preserve">A parità di pressione al pollice, il cervello di questi pazienti attiva tredici regioni in più (Gracely, 2002, PMID 12115241). Ti autorizza a dire, con una fonte in mano, che il dolore è reale ed è stato misurato. Non a dedurne che il tuo tocco lo modifica.</w:t>
      </w:r>
    </w:p>
    <w:p>
      <w:r>
        <w:pict>
          <v:rect style="width:0;height:1.5pt" o:hralign="center" o:hrstd="t" o:hr="t"/>
        </w:pict>
      </w:r>
    </w:p>
    <w:bookmarkEnd w:id="37"/>
    <w:bookmarkEnd w:id="38"/>
    <w:bookmarkStart w:id="39" w:name="X73cfc9b44780cb1d9f2357b3490cfca0ad098e4"/>
    <w:p>
      <w:pPr>
        <w:pStyle w:val="Heading2"/>
      </w:pPr>
      <w:r>
        <w:t xml:space="preserve">Capitolo 6 — Non è una condizione sola: i pattern</w:t>
      </w:r>
    </w:p>
    <w:p>
      <w:pPr>
        <w:pStyle w:val="BlockText"/>
      </w:pPr>
      <w:r>
        <w:rPr>
          <w:b/>
          <w:bCs/>
        </w:rPr>
        <w:t xml:space="preserve">In una riga:</w:t>
      </w:r>
      <w:r>
        <w:t xml:space="preserve"> </w:t>
      </w:r>
      <w:r>
        <w:t xml:space="preserve">tutti hanno male dappertutto, ma quello che tiene su il quadro è diverso, e cambia da dove parti.</w:t>
      </w:r>
    </w:p>
    <w:p>
      <w:pPr>
        <w:pStyle w:val="FirstParagraph"/>
      </w:pPr>
      <w:r>
        <w:rPr>
          <w:b/>
          <w:bCs/>
        </w:rPr>
        <w:t xml:space="preserve">Prima dei pattern, uno stato.</w:t>
      </w:r>
      <w:r>
        <w:t xml:space="preserve"> </w:t>
      </w:r>
      <w:r>
        <w:t xml:space="preserve">La</w:t>
      </w:r>
      <w:r>
        <w:t xml:space="preserve"> </w:t>
      </w:r>
      <w:r>
        <w:rPr>
          <w:b/>
          <w:bCs/>
        </w:rPr>
        <w:t xml:space="preserve">riacutizzazione</w:t>
      </w:r>
      <w:r>
        <w:t xml:space="preserve"> </w:t>
      </w:r>
      <w:r>
        <w:t xml:space="preserve">è uno stato clinico distinto, non un valore più alto della stessa scala. Quarantaquattro pazienti la descrivono come episodi distinguibili dai sintomi abituali: dolori «tipo influenza» ed esaurimento, con innesti riconoscibili — stress, aver esagerato, notti cattive, cambi di tempo (Vincent, 2016, PMID 25586303). In riacutizzazione il tetto di spesa non è quello di sempre, e il pattern che leggi non è quello che leggeresti in una giornata qualunque.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che la riacutizzazione sia uno stato distinguibile con innesti riconoscibili — studio qualitativo, autoriferito, quarantaquattro persone.</w:t>
      </w:r>
      <w:r>
        <w:t xml:space="preserve"> </w:t>
      </w:r>
      <w:r>
        <w:rPr>
          <w:b/>
          <w:bCs/>
        </w:rPr>
        <w:t xml:space="preserve">RAGIONAMENTO</w:t>
      </w:r>
      <w:r>
        <w:t xml:space="preserve"> </w:t>
      </w:r>
      <w:r>
        <w:rPr>
          <w:i/>
          <w:iCs/>
        </w:rPr>
        <w:t xml:space="preserve">(cornice clinica, non una prova)</w:t>
      </w:r>
      <w:r>
        <w:t xml:space="preserve"> </w:t>
      </w:r>
      <w:r>
        <w:t xml:space="preserve">per la condotta che ne discende: non si rifà il ragionamento diagnostico, si riconosce lo stato e si conta l’innesto.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Guidato dal sonno</w:t>
            </w:r>
          </w:p>
        </w:tc>
        <w:tc>
          <w:tcPr/>
          <w:p>
            <w:pPr>
              <w:pStyle w:val="Compact"/>
            </w:pPr>
            <w:r>
              <w:t xml:space="preserve">Peggio al risveglio</w:t>
            </w:r>
          </w:p>
        </w:tc>
        <w:tc>
          <w:tcPr/>
          <w:p>
            <w:pPr>
              <w:pStyle w:val="Compact"/>
            </w:pPr>
            <w:r>
              <w:t xml:space="preserve">Sonno che non rifà la taratura</w:t>
            </w:r>
          </w:p>
        </w:tc>
        <w:tc>
          <w:tcPr/>
          <w:p>
            <w:pPr>
              <w:pStyle w:val="Compact"/>
            </w:pPr>
            <w:r>
              <w:t xml:space="preserve">Poco diretto, molto indiretto</w:t>
            </w:r>
          </w:p>
        </w:tc>
      </w:tr>
      <w:tr>
        <w:tc>
          <w:tcPr/>
          <w:p>
            <w:pPr>
              <w:pStyle w:val="Compact"/>
            </w:pPr>
            <w:r>
              <w:t xml:space="preserve">Guidato dall’allerta</w:t>
            </w:r>
          </w:p>
        </w:tc>
        <w:tc>
          <w:tcPr/>
          <w:p>
            <w:pPr>
              <w:pStyle w:val="Compact"/>
            </w:pPr>
            <w:r>
              <w:t xml:space="preserve">Segue gli eventi di vita</w:t>
            </w:r>
          </w:p>
        </w:tc>
        <w:tc>
          <w:tcPr/>
          <w:p>
            <w:pPr>
              <w:pStyle w:val="Compact"/>
            </w:pPr>
            <w:r>
              <w:t xml:space="preserve">Sistema che non torna in stand-by</w:t>
            </w:r>
          </w:p>
        </w:tc>
        <w:tc>
          <w:tcPr/>
          <w:p>
            <w:pPr>
              <w:pStyle w:val="Compact"/>
            </w:pPr>
            <w:r>
              <w:t xml:space="preserve">Abbastanza</w:t>
            </w:r>
          </w:p>
        </w:tc>
      </w:tr>
      <w:tr>
        <w:tc>
          <w:tcPr/>
          <w:p>
            <w:pPr>
              <w:pStyle w:val="Compact"/>
            </w:pPr>
            <w:r>
              <w:t xml:space="preserve">Guidato dal carico</w:t>
            </w:r>
          </w:p>
        </w:tc>
        <w:tc>
          <w:tcPr/>
          <w:p>
            <w:pPr>
              <w:pStyle w:val="Compact"/>
            </w:pPr>
            <w:r>
              <w:t xml:space="preserve">Riacutizza a 24-48 ore</w:t>
            </w:r>
          </w:p>
        </w:tc>
        <w:tc>
          <w:tcPr/>
          <w:p>
            <w:pPr>
              <w:pStyle w:val="Compact"/>
            </w:pPr>
            <w:r>
              <w:t xml:space="preserve">Ciclo acceleratore-freno</w:t>
            </w:r>
          </w:p>
        </w:tc>
        <w:tc>
          <w:tcPr/>
          <w:p>
            <w:pPr>
              <w:pStyle w:val="Compact"/>
            </w:pPr>
            <w:r>
              <w:t xml:space="preserve">Abbastanza</w:t>
            </w:r>
          </w:p>
        </w:tc>
      </w:tr>
      <w:tr>
        <w:tc>
          <w:tcPr/>
          <w:p>
            <w:pPr>
              <w:pStyle w:val="Compact"/>
            </w:pPr>
            <w:r>
              <w:t xml:space="preserve">Guadagno di base alto</w:t>
            </w:r>
          </w:p>
        </w:tc>
        <w:tc>
          <w:tcPr/>
          <w:p>
            <w:pPr>
              <w:pStyle w:val="Compact"/>
            </w:pPr>
            <w:r>
              <w:t xml:space="preserve">Ipersensibile a rumori e luci</w:t>
            </w:r>
          </w:p>
        </w:tc>
        <w:tc>
          <w:tcPr/>
          <w:p>
            <w:pPr>
              <w:pStyle w:val="Compact"/>
            </w:pPr>
            <w:r>
              <w:t xml:space="preserve">Guadagno alzato al centro</w:t>
            </w:r>
          </w:p>
        </w:tc>
        <w:tc>
          <w:tcPr/>
          <w:p>
            <w:pPr>
              <w:pStyle w:val="Compact"/>
            </w:pPr>
            <w:r>
              <w:t xml:space="preserve">Poco: la leva è educativa</w:t>
            </w:r>
          </w:p>
        </w:tc>
      </w:tr>
      <w:tr>
        <w:tc>
          <w:tcPr/>
          <w:p>
            <w:pPr>
              <w:pStyle w:val="Compact"/>
            </w:pPr>
            <w:r>
              <w:t xml:space="preserve">Con generatore regionale</w:t>
            </w:r>
          </w:p>
        </w:tc>
        <w:tc>
          <w:tcPr/>
          <w:p>
            <w:pPr>
              <w:pStyle w:val="Compact"/>
            </w:pPr>
            <w:r>
              <w:t xml:space="preserve">Una sede ha un reperto suo</w:t>
            </w:r>
          </w:p>
        </w:tc>
        <w:tc>
          <w:tcPr/>
          <w:p>
            <w:pPr>
              <w:pStyle w:val="Compact"/>
            </w:pPr>
            <w:r>
              <w:t xml:space="preserve">Ingressi periferici</w:t>
            </w:r>
          </w:p>
        </w:tc>
        <w:tc>
          <w:tcPr/>
          <w:p>
            <w:pPr>
              <w:pStyle w:val="Compact"/>
            </w:pPr>
            <w:r>
              <w:t xml:space="preserve">Molto, su quella sede</w:t>
            </w:r>
          </w:p>
        </w:tc>
      </w:tr>
      <w:tr>
        <w:tc>
          <w:tcPr/>
          <w:p>
            <w:pPr>
              <w:pStyle w:val="Compact"/>
            </w:pPr>
            <w:r>
              <w:t xml:space="preserve">Ipermobile</w:t>
            </w:r>
          </w:p>
        </w:tc>
        <w:tc>
          <w:tcPr/>
          <w:p>
            <w:pPr>
              <w:pStyle w:val="Compact"/>
            </w:pPr>
            <w:r>
              <w:t xml:space="preserve">Articolazioni che vanno oltre</w:t>
            </w:r>
          </w:p>
        </w:tc>
        <w:tc>
          <w:tcPr/>
          <w:p>
            <w:pPr>
              <w:pStyle w:val="Compact"/>
            </w:pPr>
            <w:r>
              <w:t xml:space="preserve">Ciclo acceleratore-freno</w:t>
            </w:r>
          </w:p>
        </w:tc>
        <w:tc>
          <w:tcPr/>
          <w:p>
            <w:pPr>
              <w:pStyle w:val="Compact"/>
            </w:pPr>
            <w:r>
              <w:t xml:space="preserve">Molto da cambiare, poco con le mani</w:t>
            </w:r>
          </w:p>
        </w:tc>
      </w:tr>
    </w:tbl>
    <w:p>
      <w:pPr>
        <w:pStyle w:val="BodyText"/>
      </w:pPr>
      <w:r>
        <w:rPr>
          <w:b/>
          <w:bCs/>
        </w:rPr>
        <w:t xml:space="preserve">Fuori dalla tabella, perché non è un pattern:</w:t>
      </w:r>
      <w:r>
        <w:t xml:space="preserve"> </w:t>
      </w:r>
      <w:r>
        <w:t xml:space="preserve">il quadro che</w:t>
      </w:r>
      <w:r>
        <w:t xml:space="preserve"> </w:t>
      </w:r>
      <w:r>
        <w:rPr>
          <w:b/>
          <w:bCs/>
        </w:rPr>
        <w:t xml:space="preserve">non è fibromialgia</w:t>
      </w:r>
      <w:r>
        <w:t xml:space="preserve">. È l’uscita del triage, non un sottotipo, e la trovi in fondo al capitolo.</w:t>
      </w:r>
    </w:p>
    <w:p>
      <w:pPr>
        <w:pStyle w:val="BodyText"/>
      </w:pPr>
      <w:r>
        <w:rPr>
          <w:b/>
          <w:bCs/>
        </w:rPr>
        <w:t xml:space="preserve">I pattern non sono alternativi: si sommano.</w:t>
      </w:r>
      <w:r>
        <w:t xml:space="preserve"> </w:t>
      </w:r>
      <w:r>
        <w:t xml:space="preserve">La paziente media ha il sonno rotto</w:t>
      </w:r>
      <w:r>
        <w:t xml:space="preserve"> </w:t>
      </w:r>
      <w:r>
        <w:rPr>
          <w:b/>
          <w:bCs/>
        </w:rPr>
        <w:t xml:space="preserve">e</w:t>
      </w:r>
      <w:r>
        <w:t xml:space="preserve"> </w:t>
      </w:r>
      <w:r>
        <w:t xml:space="preserve">l’allerta alta</w:t>
      </w:r>
      <w:r>
        <w:t xml:space="preserve"> </w:t>
      </w:r>
      <w:r>
        <w:rPr>
          <w:b/>
          <w:bCs/>
        </w:rPr>
        <w:t xml:space="preserve">e</w:t>
      </w:r>
      <w:r>
        <w:t xml:space="preserve"> </w:t>
      </w:r>
      <w:r>
        <w:t xml:space="preserve">la settimana a picchi. Con più piani accesi non si sceglie il più grande — che è quasi sempre il sonno, cioè quello che non eroghi tu. Si sceglie</w:t>
      </w:r>
      <w:r>
        <w:t xml:space="preserve"> </w:t>
      </w:r>
      <w:r>
        <w:rPr>
          <w:b/>
          <w:bCs/>
        </w:rPr>
        <w:t xml:space="preserve">quello su cui puoi vedere qualcosa muoversi entro la data di revisione scritta in cartella</w:t>
      </w:r>
      <w:r>
        <w:t xml:space="preserve">. Come le spese di casa: la voce più grossa è l’affitto, e l’unica su cui puoi agire questo mese è un’altra. Sul più grande scrivi al curante.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è una regola di priorità, non un effetto misurato.</w:t>
      </w:r>
    </w:p>
    <w:p>
      <w:pPr>
        <w:pStyle w:val="FirstParagraph"/>
      </w:pPr>
      <w:r>
        <w:rPr>
          <w:b/>
          <w:bCs/>
        </w:rPr>
        <w:t xml:space="preserve">Il pattern guidato dal sonno.</w:t>
      </w:r>
      <w:r>
        <w:t xml:space="preserve"> </w:t>
      </w:r>
      <w:r>
        <w:t xml:space="preserve">Una domanda lo separa dagli altri:</w:t>
      </w:r>
      <w:r>
        <w:t xml:space="preserve"> </w:t>
      </w:r>
      <w:r>
        <w:rPr>
          <w:i/>
          <w:iCs/>
        </w:rPr>
        <w:t xml:space="preserve">«se dormi bene una notte, il giorno dopo com’è?»</w:t>
      </w:r>
      <w:r>
        <w:t xml:space="preserve"> </w:t>
      </w:r>
      <w:r>
        <w:t xml:space="preserve">Se la risposta è netta, hai il pattern. Qui il lavoro manuale è secondario. La leva sta nel capitolo sugli strumenti attivi, non è tua da erogare, e riconoscerla e indirizzarla vale più di quello che fai con le mani.</w:t>
      </w:r>
    </w:p>
    <w:p>
      <w:pPr>
        <w:pStyle w:val="BodyText"/>
      </w:pPr>
      <w:r>
        <w:rPr>
          <w:b/>
          <w:bCs/>
        </w:rPr>
        <w:t xml:space="preserve">Il pattern guidato dall’allerta.</w:t>
      </w:r>
      <w:r>
        <w:t xml:space="preserve"> </w:t>
      </w:r>
      <w:r>
        <w:t xml:space="preserve">Un lutto, una separazione, un carico di cura, un lavoro: il paziente migliora in vacanza. I tessuti reagiscono appena li tocchi. Qui</w:t>
      </w:r>
      <w:r>
        <w:t xml:space="preserve"> </w:t>
      </w:r>
      <w:r>
        <w:rPr>
          <w:b/>
          <w:bCs/>
        </w:rPr>
        <w:t xml:space="preserve">hai più da fare, non meno</w:t>
      </w:r>
      <w:r>
        <w:t xml:space="preserve">. Se il piano che comanda è il livello di attivazione, allora l’attivazione è il bersaglio, ed è precisamente quello che il contatto lento, il ritmo del respiro e il tempo dedicato modulano. Con l’etichetta reale di quella leva, che leggi in «Perché le mani possono cambiare qualcosa», e nemmeno una in più.</w:t>
      </w:r>
      <w:r>
        <w:t xml:space="preserve"> </w:t>
      </w:r>
      <w:r>
        <w:rPr>
          <w:b/>
          <w:bCs/>
        </w:rPr>
        <w:t xml:space="preserve">Hai più da fare, e non sei l’unico ad averne:</w:t>
      </w:r>
      <w:r>
        <w:t xml:space="preserve"> </w:t>
      </w:r>
      <w:r>
        <w:t xml:space="preserve">su un quadro agganciato a un evento di vita esiste un trattamento psicologico che non è tuo, e va nominato al curante come si nomina il sonno.</w:t>
      </w:r>
    </w:p>
    <w:p>
      <w:pPr>
        <w:pStyle w:val="BodyText"/>
      </w:pPr>
      <w:r>
        <w:rPr>
          <w:b/>
          <w:bCs/>
        </w:rPr>
        <w:t xml:space="preserve">Il pattern guidato dal carico.</w:t>
      </w:r>
      <w:r>
        <w:t xml:space="preserve"> </w:t>
      </w:r>
      <w:r>
        <w:t xml:space="preserve">La ricostruzione della settimana è diagnostica. È il pattern in cui il paziente ha già provato l’esercizio e lo ha abbandonato perché stava peggio, ed è quello in cui l’errore più costoso è dargli ragione. Il tuo lavoro è rendere tollerabile l’ingresso in un carico graduato, non sostituirlo.</w:t>
      </w:r>
    </w:p>
    <w:p>
      <w:pPr>
        <w:pStyle w:val="BodyText"/>
      </w:pPr>
      <w:r>
        <w:rPr>
          <w:b/>
          <w:bCs/>
        </w:rPr>
        <w:t xml:space="preserve">Il pattern del guadagno di base alto.</w:t>
      </w:r>
      <w:r>
        <w:t xml:space="preserve"> </w:t>
      </w:r>
      <w:r>
        <w:t xml:space="preserve">È la terza porta del modello che comanda, e nella pratica non ha nome. Nessuna delle altre porte è aperta: il sonno regge, non c’è un evento agganciato, la settimana è regolare, non c’è nessun reperto regionale. Quello che trovi è ipersensibilità anche a rumori, luci, freddo e odori, dolore che continua dopo che hai tolto la mano, sedi che migrano senza fattore meccanico.</w:t>
      </w:r>
      <w:r>
        <w:t xml:space="preserve"> </w:t>
      </w:r>
      <w:r>
        <w:rPr>
          <w:b/>
          <w:bCs/>
        </w:rPr>
        <w:t xml:space="preserve">Qui la tua mano ha meno da fare, e riconoscerlo serve a non passare il ciclo a cercare un generatore che non c’è.</w:t>
      </w:r>
      <w:r>
        <w:t xml:space="preserve"> </w:t>
      </w:r>
      <w:r>
        <w:t xml:space="preserve">La leva è l’educazione al meccanismo e il carico graduato.</w:t>
      </w:r>
    </w:p>
    <w:p>
      <w:pPr>
        <w:pStyle w:val="BodyText"/>
      </w:pPr>
      <w:r>
        <w:rPr>
          <w:b/>
          <w:bCs/>
        </w:rPr>
        <w:t xml:space="preserve">Il pattern con un generatore regionale riconoscibile.</w:t>
      </w:r>
      <w:r>
        <w:t xml:space="preserve"> </w:t>
      </w:r>
      <w:r>
        <w:t xml:space="preserve">Dentro il diffuso c’è un distretto che ha una storia sua, con una data.</w:t>
      </w:r>
      <w:r>
        <w:t xml:space="preserve"> </w:t>
      </w:r>
      <w:r>
        <w:rPr>
          <w:b/>
          <w:bCs/>
        </w:rPr>
        <w:t xml:space="preserve">È la componente nocicettiva dentro un quadro nociplastico</w:t>
      </w:r>
      <w:r>
        <w:t xml:space="preserve">, ed è il motivo per cui su questo pattern la leva regge e sugli altri no. È anche quello che il racconto nasconde di più, perché «mi fa male dappertutto» livella tutto.</w:t>
      </w:r>
    </w:p>
    <w:p>
      <w:pPr>
        <w:pStyle w:val="BodyText"/>
      </w:pPr>
      <w:r>
        <w:t xml:space="preserve">La domanda</w:t>
      </w:r>
      <w:r>
        <w:t xml:space="preserve"> </w:t>
      </w:r>
      <w:r>
        <w:rPr>
          <w:i/>
          <w:iCs/>
        </w:rPr>
        <w:t xml:space="preserve">«se dovesse toglierne una sola, quale?»</w:t>
      </w:r>
      <w:r>
        <w:t xml:space="preserve"> </w:t>
      </w:r>
      <w:r>
        <w:rPr>
          <w:b/>
          <w:bCs/>
        </w:rPr>
        <w:t xml:space="preserve">genera l’ipotesi, non la conferma.</w:t>
      </w:r>
      <w:r>
        <w:t xml:space="preserve"> </w:t>
      </w:r>
      <w:r>
        <w:t xml:space="preserve">In un sistema con il guadagno alzato ovunque, la sede che si sente peggio è la percezione che parla più forte. La conferma è un reperto misurato: escursione ridotta in quel solo distretto, fattore meccanico riproducibile, una storia con una data. Se il reperto non c’è, il generatore non c’è.</w:t>
      </w:r>
    </w:p>
    <w:p>
      <w:pPr>
        <w:pStyle w:val="BodyText"/>
      </w:pPr>
      <w:r>
        <w:rPr>
          <w:b/>
          <w:bCs/>
        </w:rPr>
        <w:t xml:space="preserve">Il pattern ipermobile.</w:t>
      </w:r>
      <w:r>
        <w:t xml:space="preserve"> </w:t>
      </w:r>
      <w:r>
        <w:t xml:space="preserve">Novantatré donne con fibromialgia sono state confrontate con cinquantotto controlli sane, valutate in cieco con i criteri di Beighton. L’ipermobilità generalizzata era presente nel</w:t>
      </w:r>
      <w:r>
        <w:t xml:space="preserve"> </w:t>
      </w:r>
      <w:r>
        <w:rPr>
          <w:b/>
          <w:bCs/>
        </w:rPr>
        <w:t xml:space="preserve">64,2%</w:t>
      </w:r>
      <w:r>
        <w:t xml:space="preserve"> </w:t>
      </w:r>
      <w:r>
        <w:t xml:space="preserve">contro il</w:t>
      </w:r>
      <w:r>
        <w:t xml:space="preserve"> </w:t>
      </w:r>
      <w:r>
        <w:rPr>
          <w:b/>
          <w:bCs/>
        </w:rPr>
        <w:t xml:space="preserve">22%</w:t>
      </w:r>
      <w:r>
        <w:t xml:space="preserve"> </w:t>
      </w:r>
      <w:r>
        <w:t xml:space="preserve">(Ofluoglu, 2006, PMID 16228925 — studio singolo, un centro, sole donne). Si vede in due minuti: gomiti e ginocchia che vanno oltre, pollice al polso, mani a terra a ginocchia dritte, storia di distorsioni.</w:t>
      </w:r>
    </w:p>
    <w:p>
      <w:pPr>
        <w:pStyle w:val="BodyText"/>
      </w:pPr>
      <w:r>
        <w:rPr>
          <w:b/>
          <w:bCs/>
        </w:rPr>
        <w:t xml:space="preserve">È l’unico pattern in cui il resto di questo documento ti porterebbe nella direzione sbagliata.</w:t>
      </w:r>
      <w:r>
        <w:t xml:space="preserve"> </w:t>
      </w:r>
      <w:r>
        <w:t xml:space="preserve">Tu cerchi dove si muove meno, e qui il distretto rigido è spesso l’unico pezzo che regge il carico. Ridurlo è il modo più rapido di produrre la riacutizzazione a quarantotto ore, che poi attribuiresti alla dose e non al bersaglio. Il bersaglio non è l’escursione mancante: è il controllo del carico,</w:t>
      </w:r>
      <w:r>
        <w:t xml:space="preserve"> </w:t>
      </w:r>
      <w:r>
        <w:rPr>
          <w:b/>
          <w:bCs/>
        </w:rPr>
        <w:t xml:space="preserve">e non lo eroghi tu</w:t>
      </w:r>
      <w:r>
        <w:t xml:space="preserve">. Vale come per il quarto meccanismo, di cui questo pattern è la forma articolare.</w:t>
      </w:r>
    </w:p>
    <w:p>
      <w:pPr>
        <w:pStyle w:val="BodyText"/>
      </w:pPr>
      <w:r>
        <w:rPr>
          <w:b/>
          <w:bCs/>
        </w:rPr>
        <w:t xml:space="preserve">Per te:</w:t>
      </w:r>
      <w:r>
        <w:t xml:space="preserve"> </w:t>
      </w:r>
      <w:r>
        <w:t xml:space="preserve">64,2% contro 22% vuol dire che qui l’ipermobilità è la regola in due pazienti su tre. Quindi il test di Beighton si fa</w:t>
      </w:r>
      <w:r>
        <w:t xml:space="preserve"> </w:t>
      </w:r>
      <w:r>
        <w:rPr>
          <w:b/>
          <w:bCs/>
        </w:rPr>
        <w:t xml:space="preserve">sempre</w:t>
      </w:r>
      <w:r>
        <w:t xml:space="preserve">, prima di decidere dove mobilizzare, e non solo quando qualcosa te lo suggerisce.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l’eccesso di ipermobilità in questa popolazione.</w:t>
      </w:r>
      <w:r>
        <w:t xml:space="preserve"> </w:t>
      </w:r>
      <w:r>
        <w:rPr>
          <w:b/>
          <w:bCs/>
        </w:rPr>
        <w:t xml:space="preserve">RAGIONAMENTO</w:t>
      </w:r>
      <w:r>
        <w:t xml:space="preserve"> </w:t>
      </w:r>
      <w:r>
        <w:rPr>
          <w:i/>
          <w:iCs/>
        </w:rPr>
        <w:t xml:space="preserve">(cornice clinica, non una prova)</w:t>
      </w:r>
      <w:r>
        <w:t xml:space="preserve"> </w:t>
      </w:r>
      <w:r>
        <w:t xml:space="preserve">per il ribaltamento del bersaglio.</w:t>
      </w:r>
    </w:p>
    <w:p>
      <w:pPr>
        <w:pStyle w:val="FirstParagraph"/>
      </w:pPr>
      <w:r>
        <w:rPr>
          <w:b/>
          <w:bCs/>
        </w:rPr>
        <w:t xml:space="preserve">L’uscita del triage: il quadro che non è fibromialgia.</w:t>
      </w:r>
      <w:r>
        <w:t xml:space="preserve"> </w:t>
      </w:r>
      <w:r>
        <w:t xml:space="preserve">È la minoranza, e non si tratta. Articolazioni gonfie e calde, rigidità mattutina oltre l’ora, indici infiammatori alterati, febbre, calo di peso, debolezza vera e progressiva, dolore diffuso comparso dopo l’inizio di una statina, quadro nuovo dopo i cinquant’anni con i cingoli coinvolti.</w:t>
      </w:r>
      <w:r>
        <w:t xml:space="preserve"> </w:t>
      </w:r>
      <w:r>
        <w:rPr>
          <w:b/>
          <w:bCs/>
        </w:rPr>
        <w:t xml:space="preserve">Sopra i sessantacinque anni questa uscita pesa di più:</w:t>
      </w:r>
      <w:r>
        <w:t xml:space="preserve"> </w:t>
      </w:r>
      <w:r>
        <w:t xml:space="preserve">in un dolore diffuso di nuova insorgenza la probabilità che sia fibromialgia scende, e quella che sia un’altra cosa sale. La tabella delle bandiere rosse, in «Dove finisce il nostro campo», dice a chi si manda e con che tempi.</w:t>
      </w:r>
    </w:p>
    <w:p>
      <w:pPr>
        <w:pStyle w:val="BlockText"/>
      </w:pPr>
      <w:r>
        <w:rPr>
          <w:b/>
          <w:bCs/>
        </w:rPr>
        <w:t xml:space="preserve">Condizioni spesso associate:</w:t>
      </w:r>
      <w:r>
        <w:t xml:space="preserve"> </w:t>
      </w:r>
      <w:r>
        <w:t xml:space="preserve">se il paziente ha anche colon irritabile, disturbi del sonno, cefalea tensiva, dolori mandibolari o stanchezza cronica invalidante, vedi le Bibbie corrispondenti. I quadri condividono l’amplificazione centrale e il sonno non ristoratore, e su ciascuno di essi la Bibbia dedicata dice cose che questa non può dire.</w:t>
      </w:r>
    </w:p>
    <w:p>
      <w:pPr>
        <w:pStyle w:val="FirstParagraph"/>
      </w:pPr>
      <w:r>
        <w:rPr>
          <w:b/>
          <w:bCs/>
        </w:rPr>
        <w:t xml:space="preserve">Le tre cose da ricordare, più una</w:t>
      </w:r>
    </w:p>
    <w:p>
      <w:pPr>
        <w:pStyle w:val="Compact"/>
        <w:numPr>
          <w:ilvl w:val="0"/>
          <w:numId w:val="1020"/>
        </w:numPr>
      </w:pPr>
      <w:r>
        <w:t xml:space="preserve">La domanda che separa i pattern è sempre temporale: cosa viene prima, il sonno, l’evento, l’attività o la sede.</w:t>
      </w:r>
    </w:p>
    <w:p>
      <w:pPr>
        <w:pStyle w:val="Compact"/>
        <w:numPr>
          <w:ilvl w:val="0"/>
          <w:numId w:val="1020"/>
        </w:numPr>
      </w:pPr>
      <w:r>
        <w:t xml:space="preserve">Il pattern dell’allerta è quello in cui hai più da fare, non meno.</w:t>
      </w:r>
    </w:p>
    <w:p>
      <w:pPr>
        <w:pStyle w:val="Compact"/>
        <w:numPr>
          <w:ilvl w:val="0"/>
          <w:numId w:val="1020"/>
        </w:numPr>
      </w:pPr>
      <w:r>
        <w:t xml:space="preserve">Il generatore regionale si sospetta con una domanda e si conferma con un reperto misurato, mai con la sede che duole di più.</w:t>
      </w:r>
    </w:p>
    <w:p>
      <w:pPr>
        <w:pStyle w:val="Compact"/>
        <w:numPr>
          <w:ilvl w:val="0"/>
          <w:numId w:val="1020"/>
        </w:numPr>
      </w:pPr>
      <w:r>
        <w:rPr>
          <w:b/>
          <w:bCs/>
        </w:rPr>
        <w:t xml:space="preserve">Perché ci sei tu.</w:t>
      </w:r>
      <w:r>
        <w:t xml:space="preserve"> </w:t>
      </w:r>
      <w:r>
        <w:t xml:space="preserve">Su questa uscita non ci sei: i quadri di dolore diffuso che non sono fibromialgia stanno in cinque famiglie (Häuser, 2017, PMID 29392213). Ti autorizza a riconoscerle e a mandarle con un motivo scritto. Non a trattarle mentre aspetti la risposta.</w:t>
      </w:r>
    </w:p>
    <w:p>
      <w:r>
        <w:pict>
          <v:rect style="width:0;height:1.5pt" o:hralign="center" o:hrstd="t" o:hr="t"/>
        </w:pict>
      </w:r>
    </w:p>
    <w:bookmarkEnd w:id="39"/>
    <w:bookmarkStart w:id="45"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il modello Neurologico comanda, il Comportamentale è quello con le prove migliori, e il Biomeccanico è quello che le tue mani toccano.</w:t>
      </w:r>
    </w:p>
    <w:bookmarkStart w:id="40" w:name="biomeccanico-strutturale"/>
    <w:p>
      <w:pPr>
        <w:pStyle w:val="Heading3"/>
      </w:pPr>
      <w:r>
        <w:t xml:space="preserve">Biomeccanico-Strutturale</w:t>
      </w:r>
    </w:p>
    <w:p>
      <w:pPr>
        <w:pStyle w:val="FirstParagraph"/>
      </w:pPr>
      <w:r>
        <w:rPr>
          <w:b/>
          <w:bCs/>
        </w:rPr>
        <w:t xml:space="preserve">Cosa governa qui:</w:t>
      </w:r>
      <w:r>
        <w:t xml:space="preserve"> </w:t>
      </w:r>
      <w:r>
        <w:t xml:space="preserve">il carico locale, l’escursione dei distretti, la qualità del tessuto e i generatori regionali che alimentano il quadro diffuso.</w:t>
      </w:r>
      <w:r>
        <w:t xml:space="preserve"> </w:t>
      </w:r>
      <w:r>
        <w:rPr>
          <w:b/>
          <w:bCs/>
        </w:rPr>
        <w:t xml:space="preserve">Quali meccanismi governa:</w:t>
      </w:r>
      <w:r>
        <w:t xml:space="preserve"> </w:t>
      </w:r>
      <w:r>
        <w:t xml:space="preserve">il quinto — gli ingressi periferici — in via</w:t>
      </w:r>
      <w:r>
        <w:t xml:space="preserve"> </w:t>
      </w:r>
      <w:r>
        <w:rPr>
          <w:b/>
          <w:bCs/>
        </w:rPr>
        <w:t xml:space="preserve">primaria</w:t>
      </w:r>
      <w:r>
        <w:t xml:space="preserve">. E il quarto in</w:t>
      </w:r>
      <w:r>
        <w:t xml:space="preserve"> </w:t>
      </w:r>
      <w:r>
        <w:rPr>
          <w:b/>
          <w:bCs/>
        </w:rPr>
        <w:t xml:space="preserve">concorrenza</w:t>
      </w:r>
      <w:r>
        <w:t xml:space="preserve"> </w:t>
      </w:r>
      <w:r>
        <w:t xml:space="preserve">con Metabolico-Energetico e Comportamentale, per la componente di ridotta capacità funzionale.</w:t>
      </w:r>
      <w:r>
        <w:t xml:space="preserve"> </w:t>
      </w:r>
      <w:r>
        <w:rPr>
          <w:b/>
          <w:bCs/>
        </w:rPr>
        <w:t xml:space="preserve">Gli attori:</w:t>
      </w:r>
      <w:r>
        <w:t xml:space="preserve"> </w:t>
      </w:r>
      <w:r>
        <w:t xml:space="preserve">i generatori regionali, il muscolo a riposo, il diaframma come struttura di carico.</w:t>
      </w:r>
      <w:r>
        <w:t xml:space="preserve"> </w:t>
      </w:r>
      <w:r>
        <w:rPr>
          <w:b/>
          <w:bCs/>
        </w:rPr>
        <w:t xml:space="preserve">Cosa possiede fra gli strumenti attivi:</w:t>
      </w:r>
      <w:r>
        <w:t xml:space="preserve"> </w:t>
      </w:r>
      <w:r>
        <w:t xml:space="preserve">l’esercizio graduato e il rinforzo sono carico progressivo, cioè questo modello letto insieme al Comportamentale per la parte di aderenza. È il posto in cui questo modello ha le prove migliori del documento, e non passa dalle mani.</w:t>
      </w:r>
      <w:r>
        <w:t xml:space="preserve"> </w:t>
      </w:r>
      <w:r>
        <w:rPr>
          <w:b/>
          <w:bCs/>
        </w:rPr>
        <w:t xml:space="preserve">I segnali che ti dicono che pesa in questo paziente:</w:t>
      </w:r>
      <w:r>
        <w:t xml:space="preserve"> </w:t>
      </w:r>
      <w:r>
        <w:t xml:space="preserve">una sede con un reperto misurato suo; un’escursione ridotta in un solo distretto; un fattore meccanico riproducibile in un quadro che altrove non ne ha.</w:t>
      </w:r>
      <w:r>
        <w:t xml:space="preserve"> </w:t>
      </w:r>
      <w:r>
        <w:rPr>
          <w:b/>
          <w:bCs/>
        </w:rPr>
        <w:t xml:space="preserve">Un’avvertenza di segno:</w:t>
      </w:r>
      <w:r>
        <w:t xml:space="preserve"> </w:t>
      </w:r>
      <w:r>
        <w:t xml:space="preserve">nel paziente ipermobile la lettura si rovescia, e il distretto rigido va interrogato prima di essere ridotto.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l’effetto di ridurre un generatore regionale identificato sul quadro diffuso di questi pazienti, e sul gesto applicato al quadro intero la misura esiste ed è negativa (Coste, 2021, PMID 33948127).</w:t>
      </w:r>
    </w:p>
    <w:bookmarkEnd w:id="40"/>
    <w:bookmarkStart w:id="41" w:name="respiratorio-circolatorio"/>
    <w:p>
      <w:pPr>
        <w:pStyle w:val="Heading3"/>
      </w:pPr>
      <w:r>
        <w:t xml:space="preserve">Respiratorio-Circolatorio</w:t>
      </w:r>
    </w:p>
    <w:p>
      <w:pPr>
        <w:pStyle w:val="FirstParagraph"/>
      </w:pPr>
      <w:r>
        <w:rPr>
          <w:b/>
          <w:bCs/>
        </w:rPr>
        <w:t xml:space="preserve">Su questa condizione è un modello accessorio, e va dichiarato.</w:t>
      </w:r>
      <w:r>
        <w:t xml:space="preserve"> </w:t>
      </w:r>
      <w:r>
        <w:rPr>
          <w:b/>
          <w:bCs/>
        </w:rPr>
        <w:t xml:space="preserve">Cosa governa qui:</w:t>
      </w:r>
      <w:r>
        <w:t xml:space="preserve"> </w:t>
      </w:r>
      <w:r>
        <w:t xml:space="preserve">la meccanica ventilatoria come</w:t>
      </w:r>
      <w:r>
        <w:t xml:space="preserve"> </w:t>
      </w:r>
      <w:r>
        <w:rPr>
          <w:b/>
          <w:bCs/>
        </w:rPr>
        <w:t xml:space="preserve">attuatore</w:t>
      </w:r>
      <w:r>
        <w:t xml:space="preserve">, non come bersaglio. È l’interruttore, non la stanza che vuoi illuminare. Il bersaglio — l’assetto autonomico — appartiene al Neurologico; il costo energetico di un torace tenuto alto tutto il giorno appartiene al Metabolico-Energetico.</w:t>
      </w:r>
      <w:r>
        <w:t xml:space="preserve"> </w:t>
      </w:r>
      <w:r>
        <w:rPr>
          <w:b/>
          <w:bCs/>
        </w:rPr>
        <w:t xml:space="preserve">Quali meccanismi governa:</w:t>
      </w:r>
      <w:r>
        <w:t xml:space="preserve"> </w:t>
      </w:r>
      <w:r>
        <w:t xml:space="preserve">nessuno in via primaria. Fornisce al terzo la via d’accesso, e basta.</w:t>
      </w:r>
      <w:r>
        <w:t xml:space="preserve"> </w:t>
      </w:r>
      <w:r>
        <w:rPr>
          <w:b/>
          <w:bCs/>
        </w:rPr>
        <w:t xml:space="preserve">Gli attori:</w:t>
      </w:r>
      <w:r>
        <w:t xml:space="preserve"> </w:t>
      </w:r>
      <w:r>
        <w:t xml:space="preserve">diaframma, coste basse, muscoli accessori del collo.</w:t>
      </w:r>
    </w:p>
    <w:p>
      <w:pPr>
        <w:pStyle w:val="BodyText"/>
      </w:pPr>
      <w:r>
        <w:rPr>
          <w:b/>
          <w:bCs/>
        </w:rPr>
        <w:t xml:space="preserve">Sulla gabbia toracica bassa il limite non è il razionale, è la tolleranza dell’osso.</w:t>
      </w:r>
      <w:r>
        <w:t xml:space="preserve"> </w:t>
      </w:r>
      <w:r>
        <w:t xml:space="preserve">Una storia di frattura da fragilità, una terapia steroidea prolungata o un’osteoporosi nota cambiano ciò che quella zona sopporta. Come si dosa sta nella Procedura; che quella variabile esista devi saperlo qui.</w:t>
      </w:r>
    </w:p>
    <w:p>
      <w:pPr>
        <w:pStyle w:val="BodyText"/>
      </w:pPr>
      <w:r>
        <w:rPr>
          <w:b/>
          <w:bCs/>
        </w:rPr>
        <w:t xml:space="preserve">I segnali che ti dicono che pesa in questo paziente:</w:t>
      </w:r>
      <w:r>
        <w:t xml:space="preserve"> </w:t>
      </w:r>
      <w:r>
        <w:t xml:space="preserve">respiro alto e corto; apnea quando gli parli di qualcosa che pesa; escursione toracica ridotta senza patologia polmonare; il paziente che non sa rallentare il respiro quando glielo chiedi.</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per l’effetto del lavoro manuale sul diaframma in questi pazienti.</w:t>
      </w:r>
      <w:r>
        <w:t xml:space="preserve"> </w:t>
      </w:r>
      <w:r>
        <w:rPr>
          <w:b/>
          <w:bCs/>
        </w:rPr>
        <w:t xml:space="preserve">IPOTESI</w:t>
      </w:r>
      <w:r>
        <w:t xml:space="preserve"> </w:t>
      </w:r>
      <w:r>
        <w:rPr>
          <w:i/>
          <w:iCs/>
        </w:rPr>
        <w:t xml:space="preserve">(meccanismo coerente, nessuno studio)</w:t>
      </w:r>
      <w:r>
        <w:t xml:space="preserve"> </w:t>
      </w:r>
      <w:r>
        <w:t xml:space="preserve">anche per il respiro lento condotto</w:t>
      </w:r>
      <w:r>
        <w:t xml:space="preserve"> </w:t>
      </w:r>
      <w:r>
        <w:rPr>
          <w:b/>
          <w:bCs/>
        </w:rPr>
        <w:t xml:space="preserve">dal paziente</w:t>
      </w:r>
      <w:r>
        <w:t xml:space="preserve">, e qui con due misure contrarie da scrivere nella frase. Il respiro lento riduce intensità e sgradevolezza del dolore, ma</w:t>
      </w:r>
      <w:r>
        <w:t xml:space="preserve"> </w:t>
      </w:r>
      <w:r>
        <w:rPr>
          <w:b/>
          <w:bCs/>
        </w:rPr>
        <w:t xml:space="preserve">nei pazienti con fibromialgia il beneficio è meno affidabile che nei controlli sani</w:t>
      </w:r>
      <w:r>
        <w:t xml:space="preserve"> </w:t>
      </w:r>
      <w:r>
        <w:t xml:space="preserve">(Zautra, 2010, PMID 19875429). E uno studio randomizzato di fase II ha testato il biofeedback della variabilità cardiaca in questi pazienti. Non trova nessuna differenza fra i gruppi, né sugli esiti primari né sui secondari (Carta, 2024, PMID 38652978). È la ragione per cui il respiro</w:t>
      </w:r>
      <w:r>
        <w:t xml:space="preserve"> </w:t>
      </w:r>
      <w:r>
        <w:rPr>
          <w:b/>
          <w:bCs/>
        </w:rPr>
        <w:t xml:space="preserve">non</w:t>
      </w:r>
      <w:r>
        <w:t xml:space="preserve"> </w:t>
      </w:r>
      <w:r>
        <w:t xml:space="preserve">compare fra gli strumenti attivi.</w:t>
      </w:r>
    </w:p>
    <w:bookmarkEnd w:id="41"/>
    <w:bookmarkStart w:id="42" w:name="neurologico"/>
    <w:p>
      <w:pPr>
        <w:pStyle w:val="Heading3"/>
      </w:pPr>
      <w:r>
        <w:t xml:space="preserve">Neurologico</w:t>
      </w:r>
    </w:p>
    <w:p>
      <w:pPr>
        <w:pStyle w:val="FirstParagraph"/>
      </w:pPr>
      <w:r>
        <w:rPr>
          <w:b/>
          <w:bCs/>
        </w:rPr>
        <w:t xml:space="preserve">Cosa governa qui:</w:t>
      </w:r>
      <w:r>
        <w:t xml:space="preserve"> </w:t>
      </w:r>
      <w:r>
        <w:t xml:space="preserve">tutto quello che decide l’intensità — guadagno centrale, sommazione temporale, modulazione discendente, assetto autonomico, soglia a cui una sensazione diventa sintomo.</w:t>
      </w:r>
      <w:r>
        <w:t xml:space="preserve"> </w:t>
      </w:r>
      <w:r>
        <w:rPr>
          <w:b/>
          <w:bCs/>
        </w:rPr>
        <w:t xml:space="preserve">Quali meccanismi governa:</w:t>
      </w:r>
      <w:r>
        <w:t xml:space="preserve"> </w:t>
      </w:r>
      <w:r>
        <w:t xml:space="preserve">il primo e il terzo in via</w:t>
      </w:r>
      <w:r>
        <w:t xml:space="preserve"> </w:t>
      </w:r>
      <w:r>
        <w:rPr>
          <w:b/>
          <w:bCs/>
        </w:rPr>
        <w:t xml:space="preserve">primaria</w:t>
      </w:r>
      <w:r>
        <w:t xml:space="preserve">, il secondo in</w:t>
      </w:r>
      <w:r>
        <w:t xml:space="preserve"> </w:t>
      </w:r>
      <w:r>
        <w:rPr>
          <w:b/>
          <w:bCs/>
        </w:rPr>
        <w:t xml:space="preserve">concorrenza</w:t>
      </w:r>
      <w:r>
        <w:t xml:space="preserve"> </w:t>
      </w:r>
      <w:r>
        <w:t xml:space="preserve">con il Metabolico-Energetico. Cioè i tre più solidi.</w:t>
      </w:r>
      <w:r>
        <w:t xml:space="preserve"> </w:t>
      </w:r>
      <w:r>
        <w:rPr>
          <w:b/>
          <w:bCs/>
        </w:rPr>
        <w:t xml:space="preserve">Gli attori:</w:t>
      </w:r>
      <w:r>
        <w:t xml:space="preserve"> </w:t>
      </w:r>
      <w:r>
        <w:t xml:space="preserve">corno posteriore, vie discendenti, piccole fibre cutanee, sistema nervoso autonomo.</w:t>
      </w:r>
      <w:r>
        <w:t xml:space="preserve"> </w:t>
      </w:r>
      <w:r>
        <w:rPr>
          <w:b/>
          <w:bCs/>
        </w:rPr>
        <w:t xml:space="preserve">I segnali che ti dicono che pesa in questo paziente:</w:t>
      </w:r>
      <w:r>
        <w:t xml:space="preserve"> </w:t>
      </w:r>
      <w:r>
        <w:t xml:space="preserve">dolore sproporzionato alla pressione; sensibilità aumentata anche a rumori, luci e freddo; dolore che continua dopo che hai tolto la mano; tessuti che rimbalzano ogni correzione; sedi che migrano.</w:t>
      </w:r>
    </w:p>
    <w:p>
      <w:pPr>
        <w:pStyle w:val="BodyText"/>
      </w:pPr>
      <w:r>
        <w:rPr>
          <w:b/>
          <w:bCs/>
        </w:rPr>
        <w:t xml:space="preserve">Questo modello comanda sempre</w:t>
      </w:r>
      <w:r>
        <w:t xml:space="preserve">, e non è una scelta clinica: è la definizione della condizione. La domanda non è</w:t>
      </w:r>
      <w:r>
        <w:t xml:space="preserve"> </w:t>
      </w:r>
      <w:r>
        <w:rPr>
          <w:i/>
          <w:iCs/>
        </w:rPr>
        <w:t xml:space="preserve">se</w:t>
      </w:r>
      <w:r>
        <w:t xml:space="preserve"> </w:t>
      </w:r>
      <w:r>
        <w:t xml:space="preserve">comanda, ma</w:t>
      </w:r>
      <w:r>
        <w:t xml:space="preserve"> </w:t>
      </w:r>
      <w:r>
        <w:rPr>
          <w:i/>
          <w:iCs/>
        </w:rPr>
        <w:t xml:space="preserve">quale delle sue tre porte</w:t>
      </w:r>
      <w:r>
        <w:t xml:space="preserve"> </w:t>
      </w:r>
      <w:r>
        <w:t xml:space="preserve">è aperta — il sonno, l’allerta o il guadagno di base.</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DIMOSTRATO</w:t>
      </w:r>
      <w:r>
        <w:t xml:space="preserve"> </w:t>
      </w:r>
      <w:r>
        <w:rPr>
          <w:i/>
          <w:iCs/>
        </w:rPr>
        <w:t xml:space="preserve">(studi sull’uomo, solidi)</w:t>
      </w:r>
      <w:r>
        <w:t xml:space="preserve"> </w:t>
      </w:r>
      <w:r>
        <w:t xml:space="preserve">per il guadagno centrale e la sommazione temporale (Gracely, 2002, PMID 12115241; Staud, 2001, PMID 11240089).</w:t>
      </w:r>
      <w:r>
        <w:t xml:space="preserve"> </w:t>
      </w:r>
      <w:r>
        <w:rPr>
          <w:b/>
          <w:bCs/>
        </w:rPr>
        <w:t xml:space="preserve">PROBABILE</w:t>
      </w:r>
      <w:r>
        <w:t xml:space="preserve"> </w:t>
      </w:r>
      <w:r>
        <w:rPr>
          <w:i/>
          <w:iCs/>
        </w:rPr>
        <w:t xml:space="preserve">(razionale forte, prove parziali)</w:t>
      </w:r>
      <w:r>
        <w:t xml:space="preserve"> </w:t>
      </w:r>
      <w:r>
        <w:t xml:space="preserve">per l’assetto autonomico, che è un’associazione trasversale misurata su dolore cronico in generale e trainata dagli studi su questa condizione (Tracy, 2016, PMID 26431423).</w:t>
      </w:r>
      <w:r>
        <w:t xml:space="preserve"> </w:t>
      </w:r>
      <w:r>
        <w:rPr>
          <w:b/>
          <w:bCs/>
        </w:rPr>
        <w:t xml:space="preserve">IPOTESI</w:t>
      </w:r>
      <w:r>
        <w:t xml:space="preserve"> </w:t>
      </w:r>
      <w:r>
        <w:rPr>
          <w:i/>
          <w:iCs/>
        </w:rPr>
        <w:t xml:space="preserve">(meccanismo coerente, nessuno studio)</w:t>
      </w:r>
      <w:r>
        <w:t xml:space="preserve"> </w:t>
      </w:r>
      <w:r>
        <w:t xml:space="preserve">per l’idea che il nostro tocco lo modifichi. La distanza fra la prima riga e l’ultima è il contenuto onesto di questo capitolo.</w:t>
      </w:r>
    </w:p>
    <w:bookmarkEnd w:id="42"/>
    <w:bookmarkStart w:id="43" w:name="metabolico-energetico"/>
    <w:p>
      <w:pPr>
        <w:pStyle w:val="Heading3"/>
      </w:pPr>
      <w:r>
        <w:t xml:space="preserve">Metabolico-Energetico</w:t>
      </w:r>
    </w:p>
    <w:p>
      <w:pPr>
        <w:pStyle w:val="FirstParagraph"/>
      </w:pPr>
      <w:r>
        <w:rPr>
          <w:b/>
          <w:bCs/>
        </w:rPr>
        <w:t xml:space="preserve">Cosa governa qui:</w:t>
      </w:r>
      <w:r>
        <w:t xml:space="preserve"> </w:t>
      </w:r>
      <w:r>
        <w:t xml:space="preserve">il bilancio fra spesa e recupero. Sonno, ritmo delle giornate, peso, farmaci, condizioni endocrine che entrano nella diagnosi differenziale.</w:t>
      </w:r>
      <w:r>
        <w:t xml:space="preserve"> </w:t>
      </w:r>
      <w:r>
        <w:rPr>
          <w:b/>
          <w:bCs/>
        </w:rPr>
        <w:t xml:space="preserve">Quali meccanismi governa:</w:t>
      </w:r>
      <w:r>
        <w:t xml:space="preserve"> </w:t>
      </w:r>
      <w:r>
        <w:t xml:space="preserve">il secondo in</w:t>
      </w:r>
      <w:r>
        <w:t xml:space="preserve"> </w:t>
      </w:r>
      <w:r>
        <w:rPr>
          <w:b/>
          <w:bCs/>
        </w:rPr>
        <w:t xml:space="preserve">concorrenza</w:t>
      </w:r>
      <w:r>
        <w:t xml:space="preserve"> </w:t>
      </w:r>
      <w:r>
        <w:t xml:space="preserve">con il Neurologico, il quarto in</w:t>
      </w:r>
      <w:r>
        <w:t xml:space="preserve"> </w:t>
      </w:r>
      <w:r>
        <w:rPr>
          <w:b/>
          <w:bCs/>
        </w:rPr>
        <w:t xml:space="preserve">concorrenza</w:t>
      </w:r>
      <w:r>
        <w:t xml:space="preserve"> </w:t>
      </w:r>
      <w:r>
        <w:t xml:space="preserve">con Biomeccanico e Comportamentale.</w:t>
      </w:r>
      <w:r>
        <w:t xml:space="preserve"> </w:t>
      </w:r>
      <w:r>
        <w:rPr>
          <w:b/>
          <w:bCs/>
        </w:rPr>
        <w:t xml:space="preserve">Gli attori:</w:t>
      </w:r>
      <w:r>
        <w:t xml:space="preserve"> </w:t>
      </w:r>
      <w:r>
        <w:t xml:space="preserve">nessuno che si tocchi con le mani. Sono variabili che si valutano, si nominano e si rinviano.</w:t>
      </w:r>
      <w:r>
        <w:t xml:space="preserve"> </w:t>
      </w:r>
      <w:r>
        <w:rPr>
          <w:b/>
          <w:bCs/>
        </w:rPr>
        <w:t xml:space="preserve">I segnali che ti dicono che pesa in questo paziente:</w:t>
      </w:r>
      <w:r>
        <w:t xml:space="preserve"> </w:t>
      </w:r>
      <w:r>
        <w:t xml:space="preserve">il sonno non ristoratore è il sintomo peggiore; il quadro è comparso o peggiorato dopo l’inizio di un farmaco; funzione tiroidea mai controllata o non ricontrollata da anni; una settimana fatta di un picco e quattro giorni sotto.</w:t>
      </w:r>
    </w:p>
    <w:p>
      <w:pPr>
        <w:pStyle w:val="BodyText"/>
      </w:pPr>
      <w:r>
        <w:t xml:space="preserve">Sul sonno, lo strumento con le prove migliori lo eroga qualcun altro.</w:t>
      </w:r>
    </w:p>
    <w:p>
      <w:pPr>
        <w:pStyle w:val="BlockText"/>
      </w:pPr>
      <w:r>
        <w:rPr>
          <w:b/>
          <w:bCs/>
        </w:rPr>
        <w:t xml:space="preserve">Quanto è solido:</w:t>
      </w:r>
      <w:r>
        <w:t xml:space="preserve"> </w:t>
      </w:r>
      <w:r>
        <w:t xml:space="preserve">l’etichetta si spezza su tre livelli, perché in un capitolo di modelli un’etichetta unica si legge come «questo modello è provato qui». Il</w:t>
      </w:r>
      <w:r>
        <w:t xml:space="preserve"> </w:t>
      </w:r>
      <w:r>
        <w:rPr>
          <w:b/>
          <w:bCs/>
        </w:rPr>
        <w:t xml:space="preserve">fatto fisiologico</w:t>
      </w:r>
      <w:r>
        <w:t xml:space="preserve"> </w:t>
      </w:r>
      <w:r>
        <w:t xml:space="preserve">che il modello legge — il legame fra sonno e dolore — è</w:t>
      </w:r>
      <w:r>
        <w:t xml:space="preserve"> </w:t>
      </w:r>
      <w:r>
        <w:rPr>
          <w:b/>
          <w:bCs/>
        </w:rPr>
        <w:t xml:space="preserve">DIMOSTRATO</w:t>
      </w:r>
      <w:r>
        <w:t xml:space="preserve"> </w:t>
      </w:r>
      <w:r>
        <w:rPr>
          <w:i/>
          <w:iCs/>
        </w:rPr>
        <w:t xml:space="preserve">(studi sull’uomo, solidi)</w:t>
      </w:r>
      <w:r>
        <w:t xml:space="preserve"> </w:t>
      </w:r>
      <w:r>
        <w:t xml:space="preserve">(Moldofsky, 1976, PMID 176677; Smith, 2007, PMID 17520794; Finan, 2013, PMID 24290442) —</w:t>
      </w:r>
      <w:r>
        <w:t xml:space="preserve"> </w:t>
      </w:r>
      <w:r>
        <w:rPr>
          <w:i/>
          <w:iCs/>
        </w:rPr>
        <w:t xml:space="preserve">misurato su volontari sani e su popolazioni con dolore cronico in generale, non su pazienti con fibromialgia</w:t>
      </w:r>
      <w:r>
        <w:t xml:space="preserve">. L’</w:t>
      </w:r>
      <w:r>
        <w:rPr>
          <w:b/>
          <w:bCs/>
        </w:rPr>
        <w:t xml:space="preserve">uso del modello</w:t>
      </w:r>
      <w:r>
        <w:t xml:space="preserve"> </w:t>
      </w:r>
      <w:r>
        <w:t xml:space="preserve">come ordine di priorità in stanza è</w:t>
      </w:r>
      <w:r>
        <w:t xml:space="preserve"> </w:t>
      </w:r>
      <w:r>
        <w:rPr>
          <w:b/>
          <w:bCs/>
        </w:rPr>
        <w:t xml:space="preserve">RAGIONAMENTO</w:t>
      </w:r>
      <w:r>
        <w:t xml:space="preserve"> </w:t>
      </w:r>
      <w:r>
        <w:rPr>
          <w:i/>
          <w:iCs/>
        </w:rPr>
        <w:t xml:space="preserve">(cornice clinica, non una prova)</w:t>
      </w:r>
      <w:r>
        <w:t xml:space="preserve">. E</w:t>
      </w:r>
      <w:r>
        <w:t xml:space="preserve"> </w:t>
      </w:r>
      <w:r>
        <w:rPr>
          <w:b/>
          <w:bCs/>
        </w:rPr>
        <w:t xml:space="preserve">nessuna leva manuale</w:t>
      </w:r>
      <w:r>
        <w:t xml:space="preserve"> </w:t>
      </w:r>
      <w:r>
        <w:t xml:space="preserve">di questo modello porta un’etichetta propria, perché non ne ha una.</w:t>
      </w:r>
    </w:p>
    <w:bookmarkEnd w:id="43"/>
    <w:bookmarkStart w:id="44"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credenze sul dolore, aspettativa, rapporto terapeutico, distribuzione del carico, e la storia di non essere stato creduto.</w:t>
      </w:r>
      <w:r>
        <w:t xml:space="preserve"> </w:t>
      </w:r>
      <w:r>
        <w:rPr>
          <w:b/>
          <w:bCs/>
        </w:rPr>
        <w:t xml:space="preserve">Quali meccanismi governa:</w:t>
      </w:r>
      <w:r>
        <w:t xml:space="preserve"> </w:t>
      </w:r>
      <w:r>
        <w:t xml:space="preserve">il quarto in via</w:t>
      </w:r>
      <w:r>
        <w:t xml:space="preserve"> </w:t>
      </w:r>
      <w:r>
        <w:rPr>
          <w:b/>
          <w:bCs/>
        </w:rPr>
        <w:t xml:space="preserve">primaria</w:t>
      </w:r>
      <w:r>
        <w:t xml:space="preserve">, e il terzo in</w:t>
      </w:r>
      <w:r>
        <w:t xml:space="preserve"> </w:t>
      </w:r>
      <w:r>
        <w:rPr>
          <w:b/>
          <w:bCs/>
        </w:rPr>
        <w:t xml:space="preserve">concorrenza</w:t>
      </w:r>
      <w:r>
        <w:t xml:space="preserve"> </w:t>
      </w:r>
      <w:r>
        <w:t xml:space="preserve">con il Neurologico, attraverso il livello di attivazione.</w:t>
      </w:r>
      <w:r>
        <w:t xml:space="preserve"> </w:t>
      </w:r>
      <w:r>
        <w:rPr>
          <w:b/>
          <w:bCs/>
        </w:rPr>
        <w:t xml:space="preserve">Gli attori:</w:t>
      </w:r>
      <w:r>
        <w:t xml:space="preserve"> </w:t>
      </w:r>
      <w:r>
        <w:t xml:space="preserve">il racconto, l’aspettativa dichiarata, il modo in cui presenti il lavoro.</w:t>
      </w:r>
      <w:r>
        <w:t xml:space="preserve"> </w:t>
      </w:r>
      <w:r>
        <w:rPr>
          <w:b/>
          <w:bCs/>
        </w:rPr>
        <w:t xml:space="preserve">Cosa possiede fra gli strumenti attivi:</w:t>
      </w:r>
      <w:r>
        <w:t xml:space="preserve"> </w:t>
      </w:r>
      <w:r>
        <w:t xml:space="preserve">l’educazione al meccanismo del dolore e il trattamento cognitivo-comportamentale dell’insonnia sono leve di questo modello. È qui che vive la scienza migliore del documento.</w:t>
      </w:r>
      <w:r>
        <w:t xml:space="preserve"> </w:t>
      </w:r>
      <w:r>
        <w:rPr>
          <w:b/>
          <w:bCs/>
        </w:rPr>
        <w:t xml:space="preserve">I segnali che ti dicono che pesa in questo paziente:</w:t>
      </w:r>
      <w:r>
        <w:t xml:space="preserve"> </w:t>
      </w:r>
      <w:r>
        <w:t xml:space="preserve">convinzione che ci sia un danno non ancora trovato; paura del movimento; storia di rifiuto da parte di altri professionisti; oscillazione dei sintomi con il contesto più che con il carico.</w:t>
      </w:r>
    </w:p>
    <w:p>
      <w:pPr>
        <w:pStyle w:val="BodyText"/>
      </w:pPr>
      <w:r>
        <w:t xml:space="preserve">Qui c’è la misura più scomoda del documento, e viene dallo studio che ci smentisce. Nel trial con finto trattamento su 101 pazienti,</w:t>
      </w:r>
      <w:r>
        <w:t xml:space="preserve"> </w:t>
      </w:r>
      <w:r>
        <w:rPr>
          <w:b/>
          <w:bCs/>
        </w:rPr>
        <w:t xml:space="preserve">l’aspettativa dichiarata prima di iniziare prediceva il dolore durante il trattamento</w:t>
      </w:r>
      <w:r>
        <w:t xml:space="preserve">: 12,9 mm in meno su 100 per ogni 10 punti in più di aspettativa (Coste, 2021, PMID 33948127).</w:t>
      </w:r>
      <w:r>
        <w:t xml:space="preserve"> </w:t>
      </w:r>
      <w:r>
        <w:rPr>
          <w:b/>
          <w:bCs/>
        </w:rPr>
        <w:t xml:space="preserve">Per te:</w:t>
      </w:r>
      <w:r>
        <w:t xml:space="preserve"> </w:t>
      </w:r>
      <w:r>
        <w:t xml:space="preserve">il modo in cui presenti il lavoro pesa, e pesa in modo misurato. Non è una scusa per promettere di più, perché un’aspettativa gonfiata è una premessa di delusione. È un motivo per dedicare tempo vero alla spiegazione.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che l’aspettativa predica l’esito riferito in questi pazienti.</w:t>
      </w:r>
      <w:r>
        <w:t xml:space="preserve"> </w:t>
      </w:r>
      <w:r>
        <w:rPr>
          <w:b/>
          <w:bCs/>
        </w:rPr>
        <w:t xml:space="preserve">IPOTESI</w:t>
      </w:r>
      <w:r>
        <w:t xml:space="preserve"> </w:t>
      </w:r>
      <w:r>
        <w:rPr>
          <w:i/>
          <w:iCs/>
        </w:rPr>
        <w:t xml:space="preserve">(meccanismo coerente, nessuno studio)</w:t>
      </w:r>
      <w:r>
        <w:t xml:space="preserve"> </w:t>
      </w:r>
      <w:r>
        <w:t xml:space="preserve">che il modo in cui tu la costruisci produca un effetto clinico durevole.</w:t>
      </w:r>
    </w:p>
    <w:p>
      <w:pPr>
        <w:pStyle w:val="FirstParagraph"/>
      </w:pPr>
      <w:r>
        <w:rPr>
          <w:b/>
          <w:bCs/>
        </w:rPr>
        <w:t xml:space="preserve">Questo modello ha l’unica leva manuale con un risultato positivo misurato:</w:t>
      </w:r>
      <w:r>
        <w:t xml:space="preserve"> </w:t>
      </w:r>
      <w:r>
        <w:t xml:space="preserve">la depressione si riduce dopo interventi osteopatici manuali, con effetto maggiore proprio nelle popolazioni con dolore (Gordon, 2025, PMID 39920074). Numeri, limiti ed etichetta stanno nel capitolo sulle mani, alla voce «Sul carico affettivo del quadro».</w:t>
      </w:r>
    </w:p>
    <w:p>
      <w:pPr>
        <w:pStyle w:val="BodyText"/>
      </w:pPr>
      <w:r>
        <w:rPr>
          <w:b/>
          <w:bCs/>
        </w:rPr>
        <w:t xml:space="preserve">Le tre cose da ricordare, più una</w:t>
      </w:r>
    </w:p>
    <w:p>
      <w:pPr>
        <w:pStyle w:val="Compact"/>
        <w:numPr>
          <w:ilvl w:val="0"/>
          <w:numId w:val="1021"/>
        </w:numPr>
      </w:pPr>
      <w:r>
        <w:t xml:space="preserve">Il modello Neurologico comanda per definizione: la domanda è quale delle sue tre porte è aperta.</w:t>
      </w:r>
    </w:p>
    <w:p>
      <w:pPr>
        <w:pStyle w:val="Compact"/>
        <w:numPr>
          <w:ilvl w:val="0"/>
          <w:numId w:val="1021"/>
        </w:numPr>
      </w:pPr>
      <w:r>
        <w:t xml:space="preserve">Il modello Respiratorio-Circolatorio qui è accessorio: fornisce un attuatore, non un bersaglio, e la metà circolatoria non si invoca.</w:t>
      </w:r>
    </w:p>
    <w:p>
      <w:pPr>
        <w:pStyle w:val="Compact"/>
        <w:numPr>
          <w:ilvl w:val="0"/>
          <w:numId w:val="1021"/>
        </w:numPr>
      </w:pPr>
      <w:r>
        <w:t xml:space="preserve">Il Comportamentale porta il numero più solido che riguarda direttamente il tuo comportamento in stanza.</w:t>
      </w:r>
    </w:p>
    <w:p>
      <w:pPr>
        <w:pStyle w:val="Compact"/>
        <w:numPr>
          <w:ilvl w:val="0"/>
          <w:numId w:val="1021"/>
        </w:numPr>
      </w:pPr>
      <w:r>
        <w:rPr>
          <w:b/>
          <w:bCs/>
        </w:rPr>
        <w:t xml:space="preserve">Perché ci sei tu.</w:t>
      </w:r>
      <w:r>
        <w:t xml:space="preserve"> </w:t>
      </w:r>
      <w:r>
        <w:t xml:space="preserve">Nel dolore cronico la variabilità cardiaca ad alta frequenza è ridotta, con effetto trainato dagli studi sulla fibromialgia (Tracy, 2016, PMID 26431423). Ti autorizza a interrogare il modello Neurologico per primo. Non a dire che le tue mani spostano quell’indice.</w:t>
      </w:r>
    </w:p>
    <w:p>
      <w:r>
        <w:pict>
          <v:rect style="width:0;height:1.5pt" o:hralign="center" o:hrstd="t" o:hr="t"/>
        </w:pict>
      </w:r>
    </w:p>
    <w:bookmarkEnd w:id="44"/>
    <w:bookmarkEnd w:id="45"/>
    <w:bookmarkStart w:id="52"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su questa condizione non cerchi la lesione che genera il dolore, cerchi quale dei tre acceleratori è acceso — e prima ancora cerchi quanto puoi chiedere al paziente senza fargli pagare la valutazione.</w:t>
      </w:r>
    </w:p>
    <w:p>
      <w:pPr>
        <w:pStyle w:val="FirstParagraph"/>
      </w:pPr>
      <w:r>
        <w:t xml:space="preserve">Tutto questo capitolo porta un’etichetta sola.</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è il modo in cui si decide da dove partire, non una prova su cosa funziona.</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bookmarkStart w:id="46" w:name="il-passo-0-quanto-puoi-spendere"/>
    <w:p>
      <w:pPr>
        <w:pStyle w:val="Heading3"/>
      </w:pPr>
      <w:r>
        <w:t xml:space="preserve">Il passo 0 — quanto puoi spendere</w:t>
      </w:r>
    </w:p>
    <w:p>
      <w:pPr>
        <w:pStyle w:val="FirstParagraph"/>
      </w:pPr>
      <w:r>
        <w:t xml:space="preserve">Prima di qualunque indagine, due domande. Non appartengono a nessun piano, e servono a stabilire il tetto.</w:t>
      </w:r>
    </w:p>
    <w:p>
      <w:pPr>
        <w:pStyle w:val="BlockText"/>
      </w:pPr>
      <w:r>
        <w:rPr>
          <w:i/>
          <w:iCs/>
        </w:rPr>
        <w:t xml:space="preserve">«Oggi è una giornata come le altre, o è una di quelle brutte?»</w:t>
      </w:r>
      <w:r>
        <w:t xml:space="preserve"> </w:t>
      </w:r>
      <w:r>
        <w:rPr>
          <w:i/>
          <w:iCs/>
        </w:rPr>
        <w:t xml:space="preserve">«Quando ti sforzi, quanto tempo passa prima che tu stia peggio, e quanto dura?»</w:t>
      </w:r>
    </w:p>
    <w:p>
      <w:pPr>
        <w:pStyle w:val="FirstParagraph"/>
      </w:pPr>
      <w:r>
        <w:rPr>
          <w:b/>
          <w:bCs/>
        </w:rPr>
        <w:t xml:space="preserve">La prima viene prima per una ragione.</w:t>
      </w:r>
      <w:r>
        <w:t xml:space="preserve"> </w:t>
      </w:r>
      <w:r>
        <w:t xml:space="preserve">In riacutizzazione il tetto crolla, e il numero che raccogli non è il suo. Se è una giornata brutta, la misura del tetto si rimanda. Si conta l’innesto — stress, un carico esagerato, notti cattive, un cambio di tempo — e non si apre nessun bersaglio nuovo.</w:t>
      </w:r>
    </w:p>
    <w:p>
      <w:pPr>
        <w:pStyle w:val="BodyText"/>
      </w:pPr>
      <w:r>
        <w:t xml:space="preserve">A volte il paziente ha un tetto: una giornata piena si paga a ventiquattro ore, e il conto dura due giorni. Allora</w:t>
      </w:r>
      <w:r>
        <w:t xml:space="preserve"> </w:t>
      </w:r>
      <w:r>
        <w:rPr>
          <w:b/>
          <w:bCs/>
        </w:rPr>
        <w:t xml:space="preserve">tutti i passi successivi si eseguono a dose bassa</w:t>
      </w:r>
      <w:r>
        <w:t xml:space="preserve">.</w:t>
      </w:r>
    </w:p>
    <w:p>
      <w:pPr>
        <w:pStyle w:val="BodyText"/>
      </w:pPr>
      <w:r>
        <w:t xml:space="preserve">Il passo 0 porta con sé anche un secondo tempo della verifica, che il metodo standard non prevede. Oltre al marker misurato in stanza, serve</w:t>
      </w:r>
      <w:r>
        <w:t xml:space="preserve"> </w:t>
      </w:r>
      <w:r>
        <w:rPr>
          <w:b/>
          <w:bCs/>
        </w:rPr>
        <w:t xml:space="preserve">la domanda su come sono andate le quarantotto ore successive</w:t>
      </w:r>
      <w:r>
        <w:t xml:space="preserve">: la annunci al paziente prima di toccarlo, e la raccogli alla seduta seguente. E il passo 0 dice già qualcosa sul piano dominante: un tetto misurabile è il primo segnale che il ciclo acceleratore-freno è in campo.</w:t>
      </w:r>
    </w:p>
    <w:p>
      <w:pPr>
        <w:pStyle w:val="BlockText"/>
      </w:pPr>
      <w:r>
        <w:rPr>
          <w:b/>
          <w:bCs/>
        </w:rPr>
        <w:t xml:space="preserve">Attenzione — valutare è un carico.</w:t>
      </w:r>
      <w:r>
        <w:t xml:space="preserve"> </w:t>
      </w:r>
      <w:r>
        <w:t xml:space="preserve">La sequenza di test, manovre di prova e re-test non è a costo zero per questo paziente. E il danno non compare in stanza: compare uno o due giorni dopo, quando lui non c’è più. Le due regole di dose che ne discendono stanno nella Procedura. Il paziente esce sapendo che potrebbe stare peggio, e sapendo che quel dato lo conterete insieme.</w:t>
      </w:r>
    </w:p>
    <w:p>
      <w:pPr>
        <w:pStyle w:val="FirstParagraph"/>
      </w:pPr>
      <w:r>
        <w:t xml:space="preserve">Il passo 0 sta fuori dal conteggio della Road Map.</w:t>
      </w:r>
    </w:p>
    <w:bookmarkEnd w:id="46"/>
    <w:bookmarkStart w:id="47" w:name="la-punta-e-il-sommerso"/>
    <w:p>
      <w:pPr>
        <w:pStyle w:val="Heading3"/>
      </w:pPr>
      <w:r>
        <w:t xml:space="preserve">La punta e il sommerso</w:t>
      </w:r>
    </w:p>
    <w:p>
      <w:pPr>
        <w:pStyle w:val="BlockText"/>
      </w:pPr>
      <w:r>
        <w:rPr>
          <w:b/>
          <w:bCs/>
        </w:rPr>
        <w:t xml:space="preserve">Definizione.</w:t>
      </w:r>
      <w:r>
        <w:t xml:space="preserve"> </w:t>
      </w:r>
      <w:r>
        <w:t xml:space="preserve">La</w:t>
      </w:r>
      <w:r>
        <w:t xml:space="preserve"> </w:t>
      </w:r>
      <w:r>
        <w:rPr>
          <w:b/>
          <w:bCs/>
        </w:rPr>
        <w:t xml:space="preserve">punta</w:t>
      </w:r>
      <w:r>
        <w:t xml:space="preserve"> </w:t>
      </w:r>
      <w:r>
        <w:t xml:space="preserve">è quello che il paziente racconta: il sintomo, la sede, il «mi fa male dappertutto». Il</w:t>
      </w:r>
      <w:r>
        <w:t xml:space="preserve"> </w:t>
      </w:r>
      <w:r>
        <w:rPr>
          <w:b/>
          <w:bCs/>
        </w:rPr>
        <w:t xml:space="preserve">sommerso</w:t>
      </w:r>
      <w:r>
        <w:t xml:space="preserve"> </w:t>
      </w:r>
      <w:r>
        <w:t xml:space="preserve">è il piano che lo tiene su, e quasi mai coincide con la punta. Il lavoro di questo capitolo è separarli.</w:t>
      </w:r>
    </w:p>
    <w:p>
      <w:pPr>
        <w:pStyle w:val="FirstParagraph"/>
      </w:pPr>
      <w:r>
        <w:rPr>
          <w:b/>
          <w:bCs/>
        </w:rPr>
        <w:t xml:space="preserve">Tre pezzi del metodo, qui, non si applicano: vanno tolti alla lettera e non attenuati.</w:t>
      </w:r>
    </w:p>
    <w:p>
      <w:pPr>
        <w:pStyle w:val="BodyText"/>
      </w:pPr>
      <w:r>
        <w:rPr>
          <w:b/>
          <w:bCs/>
        </w:rPr>
        <w:t xml:space="preserve">Il primo è la regola del Centro di Coordinazione e del Centro di Percezione</w:t>
      </w:r>
      <w:r>
        <w:t xml:space="preserve"> </w:t>
      </w:r>
      <w:r>
        <w:t xml:space="preserve">— tratta dove il movimento si organizza, non dove il paziente sente. Qui non discrimina niente: in un corpo con il guadagno alzato ovunque la sede peggiore è la percezione che parla più forte, non un bersaglio. È lo stesso principio, scritto tre volte in questo documento, per cui il generatore regionale si riconosce da un reperto misurato e mai dalla sede che duole di più.</w:t>
      </w:r>
    </w:p>
    <w:p>
      <w:pPr>
        <w:pStyle w:val="BodyText"/>
      </w:pPr>
      <w:r>
        <w:rPr>
          <w:b/>
          <w:bCs/>
        </w:rPr>
        <w:t xml:space="preserve">Il secondo è la lesione primaria</w:t>
      </w:r>
      <w:r>
        <w:t xml:space="preserve">, cioè la disfunzione che nella ricostruzione clinica ha innescato le altre. Qui non c’è una prima pietra da ritrovare: il quadro è nociplastico e diffuso, e cercarla produce una storia, non un bersaglio.</w:t>
      </w:r>
    </w:p>
    <w:p>
      <w:pPr>
        <w:pStyle w:val="BodyText"/>
      </w:pPr>
      <w:r>
        <w:rPr>
          <w:b/>
          <w:bCs/>
        </w:rPr>
        <w:t xml:space="preserve">Il terzo è la catena</w:t>
      </w:r>
      <w:r>
        <w:t xml:space="preserve"> </w:t>
      </w:r>
      <w:r>
        <w:t xml:space="preserve">meccanica, l’insieme di strutture collegate che si influenzano a distanza per continuità o per via nervosa. Regge altrove. Qui «monte» non è una coordinata anatomica, ma un livello di regolazione.</w:t>
      </w:r>
    </w:p>
    <w:p>
      <w:pPr>
        <w:pStyle w:val="BodyText"/>
      </w:pPr>
      <w:r>
        <w:rPr>
          <w:b/>
          <w:bCs/>
        </w:rPr>
        <w:t xml:space="preserve">Quello che resta intatto è la regola di verifica:</w:t>
      </w:r>
      <w:r>
        <w:t xml:space="preserve"> </w:t>
      </w:r>
      <w:r>
        <w:t xml:space="preserve">il marker appartiene a un piano che non hai trattato. E resta il</w:t>
      </w:r>
      <w:r>
        <w:t xml:space="preserve"> </w:t>
      </w:r>
      <w:r>
        <w:rPr>
          <w:b/>
          <w:bCs/>
        </w:rPr>
        <w:t xml:space="preserve">compenso</w:t>
      </w:r>
      <w:r>
        <w:t xml:space="preserve">, cioè l’adattamento che il corpo mette in atto per continuare a funzionare nonostante un problema, e che costa comfort, efficienza o escursione. Qui il compenso più caro non è posturale: è il ciclo delle giornate buone del quarto meccanismo, che regge finché può e poi cede.</w:t>
      </w:r>
    </w:p>
    <w:p>
      <w:pPr>
        <w:pStyle w:val="BodyText"/>
      </w:pPr>
      <w:r>
        <w:t xml:space="preserve">Cinque pazienti con lo stesso racconto, e cinque sommersi diversi.</w:t>
      </w:r>
    </w:p>
    <w:p>
      <w:pPr>
        <w:pStyle w:val="BodyText"/>
      </w:pPr>
      <w:r>
        <w:rPr>
          <w:b/>
          <w:bCs/>
        </w:rPr>
        <w:t xml:space="preserve">Paziente A — il sommerso è la notte.</w:t>
      </w:r>
      <w:r>
        <w:t xml:space="preserve"> </w:t>
      </w:r>
      <w:r>
        <w:t xml:space="preserve">Quarantasei anni. Il risveglio è il momento peggiore, e la giornata migliora andando avanti. Dorme sette ore e si sveglia quattro volte; il dolore segue le notti, non le attività.</w:t>
      </w:r>
      <w:r>
        <w:t xml:space="preserve"> </w:t>
      </w:r>
      <w:r>
        <w:rPr>
          <w:b/>
          <w:bCs/>
        </w:rPr>
        <w:t xml:space="preserve">Cosa fai:</w:t>
      </w:r>
      <w:r>
        <w:t xml:space="preserve"> </w:t>
      </w:r>
      <w:r>
        <w:t xml:space="preserve">conti il sonno invece di raccontarlo, chiedi delle gambe e del russare, e scrivi al curante che il quadro è guidato dal sonno. Con le mani lavori sui distretti che rendono il decubito intollerabile, dichiarandolo per quello che è: una condizione al contorno, non la leva.</w:t>
      </w:r>
    </w:p>
    <w:p>
      <w:pPr>
        <w:pStyle w:val="BodyText"/>
      </w:pPr>
      <w:r>
        <w:rPr>
          <w:b/>
          <w:bCs/>
        </w:rPr>
        <w:t xml:space="preserve">Paziente B — il sommerso è il livello di attivazione.</w:t>
      </w:r>
      <w:r>
        <w:t xml:space="preserve"> </w:t>
      </w:r>
      <w:r>
        <w:t xml:space="preserve">Cinquantadue anni. Il quadro è iniziato l’anno della malattia della madre e non è più andato via. Migliora in vacanza; i tessuti sobbalzano appena appoggi le mani; trattiene il fiato mentre parla; il respiro è alto e corto.</w:t>
      </w:r>
      <w:r>
        <w:t xml:space="preserve"> </w:t>
      </w:r>
      <w:r>
        <w:rPr>
          <w:b/>
          <w:bCs/>
        </w:rPr>
        <w:t xml:space="preserve">Cosa fai:</w:t>
      </w:r>
      <w:r>
        <w:t xml:space="preserve"> </w:t>
      </w:r>
      <w:r>
        <w:t xml:space="preserve">qui hai più da fare, non meno. Il piano che comanda è l’attivazione, quindi l’attivazione è il bersaglio, e le leve che agiscono su di essa sono manuali a tutti gli effetti. Con l’etichetta che portano nel capitolo sulle mani, che è IPOTESI, e con i tempi reali: uno stato dentro la seduta, una soglia che si sposta semmai in settimane. Non chiami «trattamento del sistema nervoso autonomo» un contatto lento in un contesto sicuro. E nomini al curante il canale psicologico come nomini il sonno per il paziente A.</w:t>
      </w:r>
    </w:p>
    <w:p>
      <w:pPr>
        <w:pStyle w:val="BodyText"/>
      </w:pPr>
      <w:r>
        <w:rPr>
          <w:b/>
          <w:bCs/>
        </w:rPr>
        <w:t xml:space="preserve">Paziente C — due piani accesi insieme, ed è il caso più frequente.</w:t>
      </w:r>
      <w:r>
        <w:t xml:space="preserve"> </w:t>
      </w:r>
      <w:r>
        <w:t xml:space="preserve">Trentotto anni, due figli, una settimana fatta di un giorno pieno e quattro sotto. Ha già provato la piscina e l’ha lasciata dopo dieci giorni perché stava peggio.</w:t>
      </w:r>
      <w:r>
        <w:t xml:space="preserve"> </w:t>
      </w:r>
      <w:r>
        <w:rPr>
          <w:b/>
          <w:bCs/>
        </w:rPr>
        <w:t xml:space="preserve">Ma si sveglia anche tre volte a notte, e il quadro è iniziato l’anno del secondo figlio:</w:t>
      </w:r>
      <w:r>
        <w:t xml:space="preserve"> </w:t>
      </w:r>
      <w:r>
        <w:t xml:space="preserve">il sonno e il carico sono accesi tutti e due, e nessuno dei due è di contorno.</w:t>
      </w:r>
      <w:r>
        <w:t xml:space="preserve"> </w:t>
      </w:r>
      <w:r>
        <w:rPr>
          <w:b/>
          <w:bCs/>
        </w:rPr>
        <w:t xml:space="preserve">Cosa fai:</w:t>
      </w:r>
      <w:r>
        <w:t xml:space="preserve"> </w:t>
      </w:r>
      <w:r>
        <w:t xml:space="preserve">scegli con la regola dei pattern che si sommano. Il sonno è il piano più grande, ma non lo eroghi tu e non si muove entro la data di revisione: va nella lettera al curante. Il carico si muove e si misura: il bersaglio è lì. Poi ricostruisci la settimana ora per ora e gliela mostri — è la prima volta che qualcuno gliela fa vedere. Il tuo lavoro manuale rende tollerabile l’ingresso in un carico graduato, non lo sostituisce, e lo dici. In cartella scrivi il livello di attività che</w:t>
      </w:r>
      <w:r>
        <w:t xml:space="preserve"> </w:t>
      </w:r>
      <w:r>
        <w:rPr>
          <w:b/>
          <w:bCs/>
        </w:rPr>
        <w:t xml:space="preserve">non</w:t>
      </w:r>
      <w:r>
        <w:t xml:space="preserve"> </w:t>
      </w:r>
      <w:r>
        <w:t xml:space="preserve">produce riacutizzazione: è il punto da cui si riparte, e il piano appartiene alla Procedura.</w:t>
      </w:r>
    </w:p>
    <w:p>
      <w:pPr>
        <w:pStyle w:val="BodyText"/>
      </w:pPr>
      <w:r>
        <w:rPr>
          <w:b/>
          <w:bCs/>
        </w:rPr>
        <w:t xml:space="preserve">Paziente D — il sommerso è un generatore regionale.</w:t>
      </w:r>
      <w:r>
        <w:t xml:space="preserve"> </w:t>
      </w:r>
      <w:r>
        <w:t xml:space="preserve">Cinquantanove anni, dolore diffuso da otto.</w:t>
      </w:r>
      <w:r>
        <w:t xml:space="preserve"> </w:t>
      </w:r>
      <w:r>
        <w:rPr>
          <w:b/>
          <w:bCs/>
        </w:rPr>
        <w:t xml:space="preserve">E i tre piani sopra sono quieti:</w:t>
      </w:r>
      <w:r>
        <w:t xml:space="preserve"> </w:t>
      </w:r>
      <w:r>
        <w:t xml:space="preserve">dorme, nessun evento agganciato, nessuna settimana a picchi. Da sempre la spalla destra è la peggiore. Ha un trauma datato, un’escursione ridotta solo lì, e un dolore riproducibile con un movimento preciso, in un corpo che altrove non ha fattori meccanici.</w:t>
      </w:r>
      <w:r>
        <w:t xml:space="preserve"> </w:t>
      </w:r>
      <w:r>
        <w:rPr>
          <w:b/>
          <w:bCs/>
        </w:rPr>
        <w:t xml:space="preserve">Cosa fai:</w:t>
      </w:r>
      <w:r>
        <w:t xml:space="preserve"> </w:t>
      </w:r>
      <w:r>
        <w:t xml:space="preserve">questo è il paziente su cui la tua leva è più forte, ed è l’unico in cui la lavori come bersaglio principale. Lo dichiari per quello che è:</w:t>
      </w:r>
      <w:r>
        <w:t xml:space="preserve"> </w:t>
      </w:r>
      <w:r>
        <w:rPr>
          <w:i/>
          <w:iCs/>
        </w:rPr>
        <w:t xml:space="preserve">«sto lavorando su questa spalla, non sulla fibromialgia.»</w:t>
      </w:r>
      <w:r>
        <w:t xml:space="preserve"> </w:t>
      </w:r>
      <w:r>
        <w:t xml:space="preserve">Il marker lo scegli fuori da quella spalla.</w:t>
      </w:r>
      <w:r>
        <w:t xml:space="preserve"> </w:t>
      </w:r>
      <w:r>
        <w:rPr>
          <w:b/>
          <w:bCs/>
        </w:rPr>
        <w:t xml:space="preserve">Non è il permesso di andare diretti alla spalla:</w:t>
      </w:r>
      <w:r>
        <w:t xml:space="preserve"> </w:t>
      </w:r>
      <w:r>
        <w:t xml:space="preserve">è il caso in cui i tre piani sopra sono già stati interrogati e sono risultati quieti, secondo la regola che sta qui sotto, in «Perché si indaga da monte».</w:t>
      </w:r>
    </w:p>
    <w:p>
      <w:pPr>
        <w:pStyle w:val="BodyText"/>
      </w:pPr>
      <w:r>
        <w:rPr>
          <w:b/>
          <w:bCs/>
        </w:rPr>
        <w:t xml:space="preserve">Paziente E — il sommerso è la politerapia.</w:t>
      </w:r>
      <w:r>
        <w:t xml:space="preserve"> </w:t>
      </w:r>
      <w:r>
        <w:t xml:space="preserve">Settantotto anni, in amitriptilina, ciclobenzaprina e pregabalin, più tre farmaci per altro. Dorme male e ha capogiri.</w:t>
      </w:r>
      <w:r>
        <w:t xml:space="preserve"> </w:t>
      </w:r>
      <w:r>
        <w:rPr>
          <w:b/>
          <w:bCs/>
        </w:rPr>
        <w:t xml:space="preserve">Cosa fai:</w:t>
      </w:r>
      <w:r>
        <w:t xml:space="preserve"> </w:t>
      </w:r>
      <w:r>
        <w:t xml:space="preserve">non aggiungi un bersaglio, ne togli. Qui il passo 0 misura anche il carico sedativo e anticolinergico che entra in stanza con lei. E il contributo più utile non passa dalle mani: è la lettera che scrive cosa prende davvero, compreso quello che compra da sola.</w:t>
      </w:r>
    </w:p>
    <w:bookmarkEnd w:id="47"/>
    <w:bookmarkStart w:id="48" w:name="perché-si-indaga-da-monte"/>
    <w:p>
      <w:pPr>
        <w:pStyle w:val="Heading3"/>
      </w:pPr>
      <w:r>
        <w:t xml:space="preserve">Perché si indaga da monte</w:t>
      </w:r>
    </w:p>
    <w:p>
      <w:pPr>
        <w:pStyle w:val="FirstParagraph"/>
      </w:pPr>
      <w:r>
        <w:t xml:space="preserve">Il corpo sacrifica il comfort per proteggere le funzioni vitali. Quindi il piano più alto che risulta disfunzionale comanda su quelli sotto. Su questa condizione «monte» non è una coordinata anatomica: è il livello di regolazione.</w:t>
      </w:r>
    </w:p>
    <w:p>
      <w:pPr>
        <w:pStyle w:val="BodyText"/>
      </w:pPr>
      <w:r>
        <w:t xml:space="preserve">L’ordine di interrogazione è sempre lo stesso, e in questo documento è scritto sempre con le stesse parole:</w:t>
      </w:r>
      <w:r>
        <w:t xml:space="preserve"> </w:t>
      </w:r>
      <w:r>
        <w:rPr>
          <w:b/>
          <w:bCs/>
        </w:rPr>
        <w:t xml:space="preserve">bandiere rosse → sonno → livello di attivazione → ritmo del carico → generatore regionale.</w:t>
      </w:r>
      <w:r>
        <w:t xml:space="preserve"> </w:t>
      </w:r>
      <w:r>
        <w:t xml:space="preserve">Un sistema che non recupera mai riporta a casa qualunque correzione locale.</w:t>
      </w:r>
    </w:p>
    <w:p>
      <w:pPr>
        <w:pStyle w:val="BodyText"/>
      </w:pPr>
      <w:r>
        <w:rPr>
          <w:b/>
          <w:bCs/>
        </w:rPr>
        <w:t xml:space="preserve">Da qui discende la regola sul generatore regionale:</w:t>
      </w:r>
      <w:r>
        <w:t xml:space="preserve"> </w:t>
      </w:r>
      <w:r>
        <w:t xml:space="preserve">è bersaglio primario</w:t>
      </w:r>
      <w:r>
        <w:t xml:space="preserve"> </w:t>
      </w:r>
      <w:r>
        <w:rPr>
          <w:b/>
          <w:bCs/>
        </w:rPr>
        <w:t xml:space="preserve">solo</w:t>
      </w:r>
      <w:r>
        <w:t xml:space="preserve"> </w:t>
      </w:r>
      <w:r>
        <w:t xml:space="preserve">quando i tre piani sopra sono stati interrogati e sono risultati quieti. Se uno di essi è acceso, il generatore resta una condizione al contorno, come nel paziente A.</w:t>
      </w:r>
    </w:p>
    <w:p>
      <w:pPr>
        <w:pStyle w:val="BodyText"/>
      </w:pPr>
      <w:r>
        <w:rPr>
          <w:b/>
          <w:bCs/>
        </w:rPr>
        <w:t xml:space="preserve">I due ordini sono due ordini.</w:t>
      </w:r>
      <w:r>
        <w:t xml:space="preserve"> </w:t>
      </w:r>
      <w:r>
        <w:t xml:space="preserve">Si</w:t>
      </w:r>
      <w:r>
        <w:t xml:space="preserve"> </w:t>
      </w:r>
      <w:r>
        <w:rPr>
          <w:b/>
          <w:bCs/>
        </w:rPr>
        <w:t xml:space="preserve">interroga</w:t>
      </w:r>
      <w:r>
        <w:t xml:space="preserve"> </w:t>
      </w:r>
      <w:r>
        <w:t xml:space="preserve">da monte. Si</w:t>
      </w:r>
      <w:r>
        <w:t xml:space="preserve"> </w:t>
      </w:r>
      <w:r>
        <w:rPr>
          <w:b/>
          <w:bCs/>
        </w:rPr>
        <w:t xml:space="preserve">tratta</w:t>
      </w:r>
      <w:r>
        <w:t xml:space="preserve"> </w:t>
      </w:r>
      <w:r>
        <w:t xml:space="preserve">dove puoi vedere qualcosa muoversi entro la data di revisione. E sul piano più alto — quasi sempre il sonno, che non eroghi tu — si scrive al curante. La gerarchia dice da dove guardare, non dove mettere le mani: un paziente guidato dal sonno non è un paziente su cui non hai niente da fare.</w:t>
      </w:r>
    </w:p>
    <w:bookmarkEnd w:id="48"/>
    <w:bookmarkStart w:id="49" w:name="la-prova-della-chiave-di-volta"/>
    <w:p>
      <w:pPr>
        <w:pStyle w:val="Heading3"/>
      </w:pPr>
      <w:r>
        <w:t xml:space="preserve">La prova della chiave di volta</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lockText"/>
      </w:pPr>
      <w:r>
        <w:rPr>
          <w:b/>
          <w:bCs/>
        </w:rPr>
        <w:t xml:space="preserve">Definizione.</w:t>
      </w:r>
      <w:r>
        <w:t xml:space="preserve"> </w:t>
      </w:r>
      <w:r>
        <w:t xml:space="preserve">La</w:t>
      </w:r>
      <w:r>
        <w:t xml:space="preserve"> </w:t>
      </w:r>
      <w:r>
        <w:rPr>
          <w:b/>
          <w:bCs/>
        </w:rPr>
        <w:t xml:space="preserve">prova della chiave di volta</w:t>
      </w:r>
      <w:r>
        <w:t xml:space="preserve"> </w:t>
      </w:r>
      <w:r>
        <w:t xml:space="preserve">è il gesto di togliere una sola pietra e guardare se l’arco si muove: tratti il piano che hai ipotizzato dominante e verifichi l’effetto</w:t>
      </w:r>
      <w:r>
        <w:t xml:space="preserve"> </w:t>
      </w:r>
      <w:r>
        <w:rPr>
          <w:b/>
          <w:bCs/>
        </w:rPr>
        <w:t xml:space="preserve">altrove</w:t>
      </w:r>
      <w:r>
        <w:t xml:space="preserve">. Se l’arco non si muove, quella pietra non era la chiave.</w:t>
      </w:r>
    </w:p>
    <w:p>
      <w:pPr>
        <w:pStyle w:val="FirstParagraph"/>
      </w:pPr>
      <w:r>
        <w:t xml:space="preserve">Cinque requisiti. Il terzo salva dall’auto-inganno, il quinto impedisce che l’ipotesi si confermi da sola.</w:t>
      </w:r>
    </w:p>
    <w:p>
      <w:pPr>
        <w:pStyle w:val="Compact"/>
        <w:numPr>
          <w:ilvl w:val="0"/>
          <w:numId w:val="1022"/>
        </w:numPr>
      </w:pPr>
      <w:r>
        <w:rPr>
          <w:b/>
          <w:bCs/>
        </w:rPr>
        <w:t xml:space="preserve">È misurabile e ripetibile</w:t>
      </w:r>
      <w:r>
        <w:t xml:space="preserve">, con un numero e un’unità, non con un’impressione.</w:t>
      </w:r>
    </w:p>
    <w:p>
      <w:pPr>
        <w:pStyle w:val="Compact"/>
        <w:numPr>
          <w:ilvl w:val="0"/>
          <w:numId w:val="1022"/>
        </w:numPr>
      </w:pPr>
      <w:r>
        <w:rPr>
          <w:b/>
          <w:bCs/>
        </w:rPr>
        <w:t xml:space="preserve">È scelto e misurato prima</w:t>
      </w:r>
      <w:r>
        <w:t xml:space="preserve"> </w:t>
      </w:r>
      <w:r>
        <w:t xml:space="preserve">di trattare, non dopo aver visto la faccia del paziente.</w:t>
      </w:r>
    </w:p>
    <w:p>
      <w:pPr>
        <w:pStyle w:val="Compact"/>
        <w:numPr>
          <w:ilvl w:val="0"/>
          <w:numId w:val="1022"/>
        </w:numPr>
      </w:pPr>
      <w:r>
        <w:rPr>
          <w:b/>
          <w:bCs/>
        </w:rPr>
        <w:t xml:space="preserve">Appartiene a un piano che non hai trattato.</w:t>
      </w:r>
      <w:r>
        <w:t xml:space="preserve"> </w:t>
      </w:r>
      <w:r>
        <w:t xml:space="preserve">Se lavori sulla cervicale e rimisuri l’escursione cervicale, verifichi che il tessuto appena inibito si è mosso, non che comandava.</w:t>
      </w:r>
    </w:p>
    <w:p>
      <w:pPr>
        <w:pStyle w:val="Compact"/>
        <w:numPr>
          <w:ilvl w:val="0"/>
          <w:numId w:val="1022"/>
        </w:numPr>
      </w:pPr>
      <w:r>
        <w:rPr>
          <w:b/>
          <w:bCs/>
        </w:rPr>
        <w:t xml:space="preserve">Ha una soglia dichiarata prima</w:t>
      </w:r>
      <w:r>
        <w:t xml:space="preserve">, con la provenienza di quella soglia, e un momento dichiarato in cui si rimisura.</w:t>
      </w:r>
    </w:p>
    <w:p>
      <w:pPr>
        <w:pStyle w:val="Compact"/>
        <w:numPr>
          <w:ilvl w:val="0"/>
          <w:numId w:val="1022"/>
        </w:numPr>
      </w:pPr>
      <w:r>
        <w:rPr>
          <w:b/>
          <w:bCs/>
        </w:rPr>
        <w:t xml:space="preserve">Ha un esito che ti smentisce, dichiarato prima anche lui.</w:t>
      </w:r>
      <w:r>
        <w:t xml:space="preserve"> </w:t>
      </w:r>
      <w:r>
        <w:t xml:space="preserve">Se quel piano comanda, il marker fuori piano deve muoversi entro la data dichiarata. Se non si muove, l’ipotesi era sbagliata. Non è una rinuncia, è un’informazione: si cambia bersaglio dichiarandolo, al paziente e in cartella, con un nuovo marker e una nuova data.</w:t>
      </w:r>
    </w:p>
    <w:p>
      <w:pPr>
        <w:pStyle w:val="FirstParagraph"/>
      </w:pPr>
      <w:r>
        <w:rPr>
          <w:b/>
          <w:bCs/>
        </w:rPr>
        <w:t xml:space="preserve">I marker di questa condizione — quattro, con la soglia e la sua provenienza.</w:t>
      </w:r>
    </w:p>
    <w:p>
      <w:pPr>
        <w:pStyle w:val="BodyText"/>
      </w:pPr>
      <w:r>
        <w:rPr>
          <w:b/>
          <w:bCs/>
        </w:rPr>
        <w:t xml:space="preserve">1. Soglia di pressione algometrica su un sito remoto.</w:t>
      </w:r>
      <w:r>
        <w:t xml:space="preserve"> </w:t>
      </w:r>
      <w:r>
        <w:t xml:space="preserve">Si misura con un algometro digitale, su un punto che non hai toccato e sul lato che non hai lavorato: il deltoide controlaterale, o l’eminenza tenar.</w:t>
      </w:r>
      <w:r>
        <w:t xml:space="preserve"> </w:t>
      </w:r>
      <w:r>
        <w:rPr>
          <w:b/>
          <w:bCs/>
        </w:rPr>
        <w:t xml:space="preserve">Soglia: 1 kg/cm².</w:t>
      </w:r>
      <w:r>
        <w:t xml:space="preserve"> </w:t>
      </w:r>
      <w:r>
        <w:rPr>
          <w:i/>
          <w:iCs/>
        </w:rPr>
        <w:t xml:space="preserve">Provenienza della soglia:</w:t>
      </w:r>
      <w:r>
        <w:t xml:space="preserve"> </w:t>
      </w:r>
      <w:r>
        <w:t xml:space="preserve">non viene da uno studio su pazienti con fibromialgia. Viene dall’errore tipico dello strumento raddoppiato, ed è dichiarata per questo. L’affidabilità dell’algometria digitale è buona: coefficienti di correlazione intraclasse fra 0,72 e 0,95 al test-retest, e fra 0,64 e 0,92 fra operatori diversi. Ma quel dato è stato prodotto su pazienti con sindrome del piriforme, non su questi (Tabatabaiee, 2020, PMID 31821801).</w:t>
      </w:r>
    </w:p>
    <w:p>
      <w:pPr>
        <w:pStyle w:val="BodyText"/>
      </w:pPr>
      <w:r>
        <w:rPr>
          <w:b/>
          <w:bCs/>
        </w:rPr>
        <w:t xml:space="preserve">Il limite di questo marker è grosso.</w:t>
      </w:r>
      <w:r>
        <w:t xml:space="preserve"> </w:t>
      </w:r>
      <w:r>
        <w:t xml:space="preserve">La distanza anatomica non è distanza di piano. Il deltoide controlaterale è lontano dalla spalla, ma sta sullo stesso piano — il guadagno centrale — che il capitolo sulle mani dichiara modulabile dal contatto in sé. E una mano che lavora ovunque</w:t>
      </w:r>
      <w:r>
        <w:t xml:space="preserve"> </w:t>
      </w:r>
      <w:r>
        <w:rPr>
          <w:b/>
          <w:bCs/>
        </w:rPr>
        <w:t xml:space="preserve">può alzare</w:t>
      </w:r>
      <w:r>
        <w:t xml:space="preserve"> </w:t>
      </w:r>
      <w:r>
        <w:t xml:space="preserve">la soglia proprio nei siti remoti.</w:t>
      </w:r>
      <w:r>
        <w:t xml:space="preserve"> </w:t>
      </w:r>
      <w:r>
        <w:rPr>
          <w:b/>
          <w:bCs/>
        </w:rPr>
        <w:t xml:space="preserve">Quindi non discrimina fra effetto specifico sul generatore e ipoalgesia aspecifica da contatto, e da sola non conferma niente.</w:t>
      </w:r>
    </w:p>
    <w:p>
      <w:pPr>
        <w:pStyle w:val="BodyText"/>
      </w:pPr>
      <w:r>
        <w:t xml:space="preserve">Ha anche un orologio. Il fenomeno che invoca dura minuti: si rimisura subito dopo il gesto e a fine seduta, e</w:t>
      </w:r>
      <w:r>
        <w:t xml:space="preserve"> </w:t>
      </w:r>
      <w:r>
        <w:rPr>
          <w:b/>
          <w:bCs/>
        </w:rPr>
        <w:t xml:space="preserve">un rialzo che si ritrova intatto alla seduta successiva non è quel meccanismo</w:t>
      </w:r>
      <w:r>
        <w:t xml:space="preserve">. Infine, in questi pazienti la variabilità biologica giorno per giorno è più grande dell’errore dello strumento da cui la soglia di 1 kg/cm² è ricavata.</w:t>
      </w:r>
    </w:p>
    <w:p>
      <w:pPr>
        <w:pStyle w:val="BodyText"/>
      </w:pPr>
      <w:r>
        <w:rPr>
          <w:b/>
          <w:bCs/>
        </w:rPr>
        <w:t xml:space="preserve">La coppia che decide è un’altra:</w:t>
      </w:r>
      <w:r>
        <w:t xml:space="preserve"> </w:t>
      </w:r>
      <w:r>
        <w:t xml:space="preserve">il test funzionale, che il contatto non muove, e il conteggio dei giorni di riacutizzazione. La soglia remota resta, retrocessa a informazione sul sistema.</w:t>
      </w:r>
    </w:p>
    <w:p>
      <w:pPr>
        <w:pStyle w:val="BodyText"/>
      </w:pPr>
      <w:r>
        <w:rPr>
          <w:b/>
          <w:bCs/>
        </w:rPr>
        <w:t xml:space="preserve">2. Test della sedia, trenta secondi.</w:t>
      </w:r>
      <w:r>
        <w:t xml:space="preserve"> </w:t>
      </w:r>
      <w:r>
        <w:t xml:space="preserve">Numero di alzate complete da seduto a in piedi, senza appoggio delle braccia.</w:t>
      </w:r>
      <w:r>
        <w:t xml:space="preserve"> </w:t>
      </w:r>
      <w:r>
        <w:rPr>
          <w:b/>
          <w:bCs/>
        </w:rPr>
        <w:t xml:space="preserve">Soglia: 3,5 alzate.</w:t>
      </w:r>
      <w:r>
        <w:t xml:space="preserve"> </w:t>
      </w:r>
      <w:r>
        <w:rPr>
          <w:i/>
          <w:iCs/>
        </w:rPr>
        <w:t xml:space="preserve">Provenienza della soglia:</w:t>
      </w:r>
      <w:r>
        <w:t xml:space="preserve"> </w:t>
      </w:r>
      <w:r>
        <w:t xml:space="preserve">in cento donne con fibromialgia, la differenza media fra due esecuzioni a sette giorni di distanza è di 0,99 alzate, con deviazione standard delle differenze 1,7. I coefficienti di correlazione intraclasse dell’insieme dei test stanno fra 0,92 e 0,96 (Carbonell-Baeza, 2015, PMID 25329431).</w:t>
      </w:r>
      <w:r>
        <w:t xml:space="preserve"> </w:t>
      </w:r>
      <w:r>
        <w:rPr>
          <w:b/>
          <w:bCs/>
        </w:rPr>
        <w:t xml:space="preserve">La formula è una sola su tutti i marker funzionali di questo documento, ed è dichiarata: 1,96 × deviazione standard delle differenze.</w:t>
      </w:r>
      <w:r>
        <w:t xml:space="preserve"> </w:t>
      </w:r>
      <w:r>
        <w:t xml:space="preserve">È il cambiamento minimo che al 95% stai osservando davvero, e non l’errore dell’apparecchio. Qui fa 3,3, arrotondato a 3,5. Questo marker è stato validato</w:t>
      </w:r>
      <w:r>
        <w:t xml:space="preserve"> </w:t>
      </w:r>
      <w:r>
        <w:rPr>
          <w:b/>
          <w:bCs/>
        </w:rPr>
        <w:t xml:space="preserve">su questi pazienti</w:t>
      </w:r>
      <w:r>
        <w:t xml:space="preserve">, ed è la ragione per cui viene per secondo e non per quarto.</w:t>
      </w:r>
    </w:p>
    <w:p>
      <w:pPr>
        <w:pStyle w:val="BodyText"/>
      </w:pPr>
      <w:r>
        <w:rPr>
          <w:b/>
          <w:bCs/>
        </w:rPr>
        <w:t xml:space="preserve">3. Test di alzata e cammino, otto piedi.</w:t>
      </w:r>
      <w:r>
        <w:t xml:space="preserve"> </w:t>
      </w:r>
      <w:r>
        <w:t xml:space="preserve">Tempo in secondi per alzarsi, percorrere due metri e mezzo, girare e tornare a sedersi.</w:t>
      </w:r>
      <w:r>
        <w:t xml:space="preserve"> </w:t>
      </w:r>
      <w:r>
        <w:rPr>
          <w:b/>
          <w:bCs/>
        </w:rPr>
        <w:t xml:space="preserve">Soglia: 2,5 secondi.</w:t>
      </w:r>
      <w:r>
        <w:t xml:space="preserve"> </w:t>
      </w:r>
      <w:r>
        <w:rPr>
          <w:i/>
          <w:iCs/>
        </w:rPr>
        <w:t xml:space="preserve">Provenienza:</w:t>
      </w:r>
      <w:r>
        <w:t xml:space="preserve"> </w:t>
      </w:r>
      <w:r>
        <w:t xml:space="preserve">stessa fonte e stessa formula. Differenza test-retest 0,38 secondi, deviazione standard delle differenze 1,09, e 1,96 × 1,09 fa 2,1, arrotondato per prudenza a 2,5.</w:t>
      </w:r>
    </w:p>
    <w:p>
      <w:pPr>
        <w:pStyle w:val="BodyText"/>
      </w:pPr>
      <w:r>
        <w:rPr>
          <w:b/>
          <w:bCs/>
        </w:rPr>
        <w:t xml:space="preserve">4. I giorni di riacutizzazione dopo la seduta.</w:t>
      </w:r>
      <w:r>
        <w:t xml:space="preserve"> </w:t>
      </w:r>
      <w:r>
        <w:t xml:space="preserve">Contati, non raccontati: quanti giorni sono passati prima di tornare al livello del giorno prima della seduta.</w:t>
      </w:r>
      <w:r>
        <w:t xml:space="preserve"> </w:t>
      </w:r>
      <w:r>
        <w:rPr>
          <w:b/>
          <w:bCs/>
        </w:rPr>
        <w:t xml:space="preserve">Soglia: qualunque valore superiore a 1 giorno cambia la dose.</w:t>
      </w:r>
      <w:r>
        <w:t xml:space="preserve"> </w:t>
      </w:r>
      <w:r>
        <w:rPr>
          <w:i/>
          <w:iCs/>
        </w:rPr>
        <w:t xml:space="preserve">Provenienza:</w:t>
      </w:r>
      <w:r>
        <w:t xml:space="preserve"> </w:t>
      </w:r>
      <w:r>
        <w:t xml:space="preserve">è un marker di sicurezza, non di efficacia. Il rimbalzo tardivo documentato in Coste 2021 è dichiarato nel consenso (Capitolo 9). E ha un’ancora che non dipende da questa condizione: negli studi sulla terapia manuale il 51% dei pazienti con almeno tre trattamenti riferisce almeno un evento avverso. La frequenza è circa doppia nelle donne, ed è</w:t>
      </w:r>
      <w:r>
        <w:t xml:space="preserve"> </w:t>
      </w:r>
      <w:r>
        <w:rPr>
          <w:b/>
          <w:bCs/>
        </w:rPr>
        <w:t xml:space="preserve">invariata escludendo la manipolazione spinale</w:t>
      </w:r>
      <w:r>
        <w:t xml:space="preserve"> </w:t>
      </w:r>
      <w:r>
        <w:t xml:space="preserve">(Paanalahti, 2014, PMID 24618345). La delicatezza del gesto non è una protezione.</w:t>
      </w:r>
    </w:p>
    <w:p>
      <w:pPr>
        <w:pStyle w:val="BodyText"/>
      </w:pPr>
      <w:r>
        <w:rPr>
          <w:b/>
          <w:bCs/>
        </w:rPr>
        <w:t xml:space="preserve">La misura di esito, dichiarata come tale.</w:t>
      </w:r>
      <w:r>
        <w:t xml:space="preserve"> </w:t>
      </w:r>
      <w:r>
        <w:t xml:space="preserve">Il questionario di impatto della fibromialgia è la scala su cui poggiano quasi tutti gli studi che leggerai. Si compila in poco più di un minuto e va da 0 a 100. La differenza minima che conta è una</w:t>
      </w:r>
      <w:r>
        <w:t xml:space="preserve"> </w:t>
      </w:r>
      <w:r>
        <w:rPr>
          <w:b/>
          <w:bCs/>
        </w:rPr>
        <w:t xml:space="preserve">variazione del 14% del punteggio del paziente</w:t>
      </w:r>
      <w:r>
        <w:t xml:space="preserve">: su un basale tipico di sessanta,</w:t>
      </w:r>
      <w:r>
        <w:t xml:space="preserve"> </w:t>
      </w:r>
      <w:r>
        <w:rPr>
          <w:b/>
          <w:bCs/>
        </w:rPr>
        <w:t xml:space="preserve">circa otto-nove punti, non quattordici</w:t>
      </w:r>
      <w:r>
        <w:t xml:space="preserve"> </w:t>
      </w:r>
      <w:r>
        <w:t xml:space="preserve">(Bennett, 2009, PMID 19369473).</w:t>
      </w:r>
    </w:p>
    <w:p>
      <w:pPr>
        <w:pStyle w:val="BodyText"/>
      </w:pPr>
      <w:r>
        <w:rPr>
          <w:i/>
          <w:iCs/>
        </w:rPr>
        <w:t xml:space="preserve">Provenienza della soglia:</w:t>
      </w:r>
      <w:r>
        <w:t xml:space="preserve"> </w:t>
      </w:r>
      <w:r>
        <w:t xml:space="preserve">è stata derivata su 2.228 pazienti in trial di pregabalin, e sul</w:t>
      </w:r>
      <w:r>
        <w:t xml:space="preserve"> </w:t>
      </w:r>
      <w:r>
        <w:rPr>
          <w:b/>
          <w:bCs/>
        </w:rPr>
        <w:t xml:space="preserve">FIQ</w:t>
      </w:r>
      <w:r>
        <w:t xml:space="preserve">. Noi la applichiamo alla versione rivista, il FIQR, che ha lo stesso intervallo 0-100 ma item e pesi diversi, e il trasferimento fra i due strumenti non è stato validato. La seconda fonte (Bennett, 2009, PMID 19664287) è la validazione psicometrica del FIQR e non stabilisce nessuna soglia.</w:t>
      </w:r>
    </w:p>
    <w:p>
      <w:pPr>
        <w:pStyle w:val="BodyText"/>
      </w:pPr>
      <w:r>
        <w:t xml:space="preserve">C’è poi un secondo salto. È una soglia</w:t>
      </w:r>
      <w:r>
        <w:t xml:space="preserve"> </w:t>
      </w:r>
      <w:r>
        <w:rPr>
          <w:b/>
          <w:bCs/>
        </w:rPr>
        <w:t xml:space="preserve">dentro il paziente</w:t>
      </w:r>
      <w:r>
        <w:t xml:space="preserve">, pre contro post, e noi la usiamo per leggere</w:t>
      </w:r>
      <w:r>
        <w:t xml:space="preserve"> </w:t>
      </w:r>
      <w:r>
        <w:rPr>
          <w:b/>
          <w:bCs/>
        </w:rPr>
        <w:t xml:space="preserve">differenze fra gruppi</w:t>
      </w:r>
      <w:r>
        <w:t xml:space="preserve"> </w:t>
      </w:r>
      <w:r>
        <w:t xml:space="preserve">negli studi. Sono due grandezze diverse, e i numeri della letteratura vanno pesati contro di essa con quella cautela dichiarata.</w:t>
      </w:r>
      <w:r>
        <w:t xml:space="preserve"> </w:t>
      </w:r>
      <w:r>
        <w:rPr>
          <w:b/>
          <w:bCs/>
        </w:rPr>
        <w:t xml:space="preserve">Non è un marker</w:t>
      </w:r>
      <w:r>
        <w:t xml:space="preserve">, perché è il sintomo del paziente e non un segno che verifichi la tua ipotesi.</w:t>
      </w:r>
    </w:p>
    <w:bookmarkEnd w:id="49"/>
    <w:bookmarkStart w:id="50" w:name="la-road-map"/>
    <w:p>
      <w:pPr>
        <w:pStyle w:val="Heading3"/>
      </w:pPr>
      <w:r>
        <w:t xml:space="preserve">La Road Map</w:t>
      </w:r>
    </w:p>
    <w:p>
      <w:pPr>
        <w:pStyle w:val="FirstParagraph"/>
      </w:pPr>
      <w:r>
        <w:t xml:space="preserve">Cinque passi, più il passo 0 che sta fuori conteggio: stabilisce il tetto di spesa e non interroga nessun piano.</w:t>
      </w:r>
    </w:p>
    <w:p>
      <w:pPr>
        <w:pStyle w:val="Compact"/>
        <w:numPr>
          <w:ilvl w:val="0"/>
          <w:numId w:val="1023"/>
        </w:numPr>
      </w:pPr>
      <w:r>
        <w:rPr>
          <w:b/>
          <w:bCs/>
        </w:rPr>
        <w:t xml:space="preserve">Cerca le bandiere rosse.</w:t>
      </w:r>
      <w:r>
        <w:t xml:space="preserve"> </w:t>
      </w:r>
      <w:r>
        <w:t xml:space="preserve">Prima di ogni ragionamento, non dopo. Se ce n’è una, il ragionamento si ferma e si va al capitolo sui limiti.</w:t>
      </w:r>
    </w:p>
    <w:p>
      <w:pPr>
        <w:pStyle w:val="Compact"/>
        <w:numPr>
          <w:ilvl w:val="0"/>
          <w:numId w:val="1023"/>
        </w:numPr>
      </w:pPr>
      <w:r>
        <w:rPr>
          <w:b/>
          <w:bCs/>
        </w:rPr>
        <w:t xml:space="preserve">Interroga il sonno.</w:t>
      </w:r>
      <w:r>
        <w:t xml:space="preserve"> </w:t>
      </w:r>
      <w:r>
        <w:t xml:space="preserve">Contato, non raccontato: quante volte si sveglia, quanto ci mette a riaddormentarsi. E poi due domande che aprono canali diversi dal tuo, perché dentro il «dormo male» si nascondono due disturbi curabili che il trattamento dell’insonnia non tocca.</w:t>
      </w:r>
      <w:r>
        <w:t xml:space="preserve"> </w:t>
      </w:r>
      <w:r>
        <w:rPr>
          <w:i/>
          <w:iCs/>
        </w:rPr>
        <w:t xml:space="preserve">«Quando stai ferma la sera, ti viene la voglia irrefrenabile di muovere le gambe, e muovendole passa?»</w:t>
      </w:r>
      <w:r>
        <w:t xml:space="preserve"> </w:t>
      </w:r>
      <w:r>
        <w:t xml:space="preserve">Una persona su tre ha la sindrome delle gambe senza riposo, contro tre su cento nei controlli (Viola-Saltzman, 2010, PMID 20957840). Si nomina nella lettera e si chiede una ferritina.</w:t>
      </w:r>
      <w:r>
        <w:t xml:space="preserve"> </w:t>
      </w:r>
      <w:r>
        <w:rPr>
          <w:i/>
          <w:iCs/>
        </w:rPr>
        <w:t xml:space="preserve">«Russi? Ti hanno mai detto che di notte smetti di respirare?»</w:t>
      </w:r>
      <w:r>
        <w:t xml:space="preserve"> </w:t>
      </w:r>
      <w:r>
        <w:t xml:space="preserve">Nell’uomo con fibromialgia l’apnea è stata riportata nel 44% dei casi, contro il 2,2% delle donne (May, 1993, PMID 8498395). La domanda vale a maggior ragione se il paziente è in pregabalin o amitriptilina.</w:t>
      </w:r>
    </w:p>
    <w:p>
      <w:pPr>
        <w:pStyle w:val="Compact"/>
        <w:numPr>
          <w:ilvl w:val="0"/>
          <w:numId w:val="1023"/>
        </w:numPr>
      </w:pPr>
      <w:r>
        <w:rPr>
          <w:b/>
          <w:bCs/>
        </w:rPr>
        <w:t xml:space="preserve">Interroga il livello di attivazione.</w:t>
      </w:r>
      <w:r>
        <w:t xml:space="preserve"> </w:t>
      </w:r>
      <w:r>
        <w:t xml:space="preserve">Eventi di vita, respiro, reattività del tessuto, miglioramento in vacanza. E qui, agganciata agli eventi di vita, la domanda che rende raccoglibile una bandiera rossa che altrimenti resta scritta in tabella e mai vista:</w:t>
      </w:r>
      <w:r>
        <w:t xml:space="preserve"> </w:t>
      </w:r>
      <w:r>
        <w:rPr>
          <w:i/>
          <w:iCs/>
        </w:rPr>
        <w:t xml:space="preserve">«In questi mesi ti è mai capitato di pensare che non valga la pena andare avanti?»</w:t>
      </w:r>
      <w:r>
        <w:t xml:space="preserve"> </w:t>
      </w:r>
      <w:r>
        <w:t xml:space="preserve">Una risposta affermativa</w:t>
      </w:r>
      <w:r>
        <w:t xml:space="preserve"> </w:t>
      </w:r>
      <w:r>
        <w:rPr>
          <w:b/>
          <w:bCs/>
        </w:rPr>
        <w:t xml:space="preserve">non si valuta, non si approfondisce e non si tratta</w:t>
      </w:r>
      <w:r>
        <w:t xml:space="preserve">: si porta alla riga corrispondente della tabella del capitolo seguente.</w:t>
      </w:r>
    </w:p>
    <w:p>
      <w:pPr>
        <w:pStyle w:val="Compact"/>
        <w:numPr>
          <w:ilvl w:val="0"/>
          <w:numId w:val="1023"/>
        </w:numPr>
      </w:pPr>
      <w:r>
        <w:rPr>
          <w:b/>
          <w:bCs/>
        </w:rPr>
        <w:t xml:space="preserve">Ricostruisci il ritmo del carico.</w:t>
      </w:r>
      <w:r>
        <w:t xml:space="preserve"> </w:t>
      </w:r>
      <w:r>
        <w:t xml:space="preserve">La settimana ora per ora, il livello di attività che non produce riacutizzazione, e cosa succede quando resta in piedi ferma dieci minuti.</w:t>
      </w:r>
    </w:p>
    <w:p>
      <w:pPr>
        <w:pStyle w:val="Compact"/>
        <w:numPr>
          <w:ilvl w:val="0"/>
          <w:numId w:val="1023"/>
        </w:numPr>
      </w:pPr>
      <w:r>
        <w:rPr>
          <w:b/>
          <w:bCs/>
        </w:rPr>
        <w:t xml:space="preserve">Cerca il generatore regionale.</w:t>
      </w:r>
      <w:r>
        <w:t xml:space="preserve"> </w:t>
      </w:r>
      <w:r>
        <w:rPr>
          <w:i/>
          <w:iCs/>
        </w:rPr>
        <w:t xml:space="preserve">«Se dovesse toglierne una sola, quale?»</w:t>
      </w:r>
      <w:r>
        <w:t xml:space="preserve"> </w:t>
      </w:r>
      <w:r>
        <w:t xml:space="preserve">genera l’ipotesi; il reperto misurato la conferma o la scarta. Quella sede si esamina come se fosse la sola cosa che il paziente ha.</w:t>
      </w:r>
    </w:p>
    <w:p>
      <w:pPr>
        <w:pStyle w:val="FirstParagraph"/>
      </w:pPr>
      <w:r>
        <w:rPr>
          <w:b/>
          <w:bCs/>
        </w:rPr>
        <w:t xml:space="preserve">Il modificatore da cercare sempre, fuori dai cinque passi:</w:t>
      </w:r>
      <w:r>
        <w:t xml:space="preserve"> </w:t>
      </w:r>
      <w:r>
        <w:t xml:space="preserve">un</w:t>
      </w:r>
      <w:r>
        <w:t xml:space="preserve"> </w:t>
      </w:r>
      <w:r>
        <w:rPr>
          <w:b/>
          <w:bCs/>
        </w:rPr>
        <w:t xml:space="preserve">trauma</w:t>
      </w:r>
      <w:r>
        <w:t xml:space="preserve"> </w:t>
      </w:r>
      <w:r>
        <w:t xml:space="preserve">con una data — un colpo di frusta, una caduta, un intervento, un parto difficile.</w:t>
      </w:r>
      <w:r>
        <w:t xml:space="preserve"> </w:t>
      </w:r>
      <w:r>
        <w:rPr>
          <w:b/>
          <w:bCs/>
        </w:rPr>
        <w:t xml:space="preserve">Come lo riconosci sui tessuti:</w:t>
      </w:r>
      <w:r>
        <w:t xml:space="preserve"> </w:t>
      </w:r>
      <w:r>
        <w:t xml:space="preserve">un distretto inerte e denso in un corpo che altrove reagisce a tutto, un’escursione assente in quel solo punto, una data che coincide con l’inizio del quadro diffuso.</w:t>
      </w:r>
      <w:r>
        <w:t xml:space="preserve"> </w:t>
      </w:r>
      <w:r>
        <w:rPr>
          <w:b/>
          <w:bCs/>
        </w:rPr>
        <w:t xml:space="preserve">Cosa cambia:</w:t>
      </w:r>
      <w:r>
        <w:t xml:space="preserve"> </w:t>
      </w:r>
      <w:r>
        <w:t xml:space="preserve">sposta la ricerca del generatore su quel distretto, anche quando non è la sede che il paziente indica come peggiore. È il modo più diretto per far passare la separazione fra dove duole e chi comanda.</w:t>
      </w:r>
    </w:p>
    <w:bookmarkEnd w:id="50"/>
    <w:bookmarkStart w:id="51" w:name="i-quattro-stati-del-paziente"/>
    <w:p>
      <w:pPr>
        <w:pStyle w:val="Heading3"/>
      </w:pPr>
      <w:r>
        <w:t xml:space="preserve">I quattro stati del paziente</w:t>
      </w:r>
    </w:p>
    <w:p>
      <w:pPr>
        <w:pStyle w:val="FirstParagraph"/>
      </w:pPr>
      <w:r>
        <w:rPr>
          <w:b/>
          <w:bCs/>
        </w:rPr>
        <w:t xml:space="preserve">In difesa</w:t>
      </w:r>
      <w:r>
        <w:t xml:space="preserve"> </w:t>
      </w:r>
      <w:r>
        <w:t xml:space="preserve">— teso, monosillabi, diffidente. Ha già raccontato la sua storia a sette persone. Parla al bisogno di sicurezza: annunci ogni gesto prima di farlo, tocco lento, ritmo prevedibile, e la frase</w:t>
      </w:r>
      <w:r>
        <w:t xml:space="preserve"> </w:t>
      </w:r>
      <w:r>
        <w:rPr>
          <w:i/>
          <w:iCs/>
        </w:rPr>
        <w:t xml:space="preserve">«se qualcosa è troppo, mi fermo subito»</w:t>
      </w:r>
      <w:r>
        <w:t xml:space="preserve"> </w:t>
      </w:r>
      <w:r>
        <w:t xml:space="preserve">detta prima e mantenuta. Finché non si sente al sicuro, i tessuti rimbalzano ogni correzione e tu misuri rumore.</w:t>
      </w:r>
    </w:p>
    <w:p>
      <w:pPr>
        <w:pStyle w:val="BodyText"/>
      </w:pPr>
      <w:r>
        <w:rPr>
          <w:b/>
          <w:bCs/>
        </w:rPr>
        <w:t xml:space="preserve">Emotivo</w:t>
      </w:r>
      <w:r>
        <w:t xml:space="preserve"> </w:t>
      </w:r>
      <w:r>
        <w:t xml:space="preserve">— racconta, cerca ascolto, collega il quadro a un vissuto. È lo stato più frequente qui, e non a caso: il pellegrinaggio ha prodotto anni di non essere creduta. Ed è spesso lo stato in cui il livello di attivazione è il piano dominante.</w:t>
      </w:r>
      <w:r>
        <w:t xml:space="preserve"> </w:t>
      </w:r>
      <w:r>
        <w:rPr>
          <w:b/>
          <w:bCs/>
        </w:rPr>
        <w:t xml:space="preserve">Cosa fai:</w:t>
      </w:r>
      <w:r>
        <w:t xml:space="preserve"> </w:t>
      </w:r>
      <w:r>
        <w:t xml:space="preserve">porti il racconto al dato prima di interpretarlo — quante volte si sveglia, quanti giorni le è costata l’ultima giornata piena. È l’unico modo di trasformare l’ascolto in un’informazione sul piano dominante, invece che in una seduta di conforto.</w:t>
      </w:r>
    </w:p>
    <w:p>
      <w:pPr>
        <w:pStyle w:val="BodyText"/>
      </w:pPr>
      <w:r>
        <w:rPr>
          <w:b/>
          <w:bCs/>
        </w:rPr>
        <w:t xml:space="preserve">Demoralizzato</w:t>
      </w:r>
      <w:r>
        <w:t xml:space="preserve"> </w:t>
      </w:r>
      <w:r>
        <w:t xml:space="preserve">— si distingue dall’emotivo per una cosa sola: l’emotivo racconta, il demoralizzato ha smesso di raccontare. Risposte corte non per diffidenza ma per rinuncia, nessuna domanda, nessuna aspettativa dichiarata. Parla al bisogno di essere visto, e la domanda del passo 3 la fai tu, invece di aspettare che la porti lui.</w:t>
      </w:r>
    </w:p>
    <w:p>
      <w:pPr>
        <w:pStyle w:val="BodyText"/>
      </w:pPr>
      <w:r>
        <w:rPr>
          <w:b/>
          <w:bCs/>
        </w:rPr>
        <w:t xml:space="preserve">Razionale</w:t>
      </w:r>
      <w:r>
        <w:t xml:space="preserve"> </w:t>
      </w:r>
      <w:r>
        <w:t xml:space="preserve">— chiede il perché, vuole i dati, ha letto tutto. Parla al bisogno di logica: il numero di Gracely, il marker scelto prima di iniziare, e quale studio ti smentisce. Qui l’onestà è la tecnica più efficace che hai.</w:t>
      </w:r>
    </w:p>
    <w:p>
      <w:pPr>
        <w:pStyle w:val="BodyText"/>
      </w:pPr>
      <w:r>
        <w:rPr>
          <w:b/>
          <w:bCs/>
        </w:rPr>
        <w:t xml:space="preserve">Le tre cose da ricordare, più una</w:t>
      </w:r>
    </w:p>
    <w:p>
      <w:pPr>
        <w:pStyle w:val="Compact"/>
        <w:numPr>
          <w:ilvl w:val="0"/>
          <w:numId w:val="1024"/>
        </w:numPr>
      </w:pPr>
      <w:r>
        <w:t xml:space="preserve">Il passo 0 stabilisce il tetto di spesa: valutare non è a costo zero su questa condizione.</w:t>
      </w:r>
    </w:p>
    <w:p>
      <w:pPr>
        <w:pStyle w:val="Compact"/>
        <w:numPr>
          <w:ilvl w:val="0"/>
          <w:numId w:val="1024"/>
        </w:numPr>
      </w:pPr>
      <w:r>
        <w:t xml:space="preserve">L’ordine di interrogazione è bandiere rosse, sonno, attivazione, carico, generatore regionale — mai l’inverso.</w:t>
      </w:r>
    </w:p>
    <w:p>
      <w:pPr>
        <w:pStyle w:val="Compact"/>
        <w:numPr>
          <w:ilvl w:val="0"/>
          <w:numId w:val="1024"/>
        </w:numPr>
      </w:pPr>
      <w:r>
        <w:t xml:space="preserve">Il marker sta fuori dal piano che hai trattato, la soglia porta la sua provenienza, e la coppia che decide è il test funzionale più il conteggio dei giorni.</w:t>
      </w:r>
    </w:p>
    <w:p>
      <w:pPr>
        <w:pStyle w:val="Compact"/>
        <w:numPr>
          <w:ilvl w:val="0"/>
          <w:numId w:val="1024"/>
        </w:numPr>
      </w:pPr>
      <w:r>
        <w:rPr>
          <w:b/>
          <w:bCs/>
        </w:rPr>
        <w:t xml:space="preserve">Perché ci sei tu.</w:t>
      </w:r>
      <w:r>
        <w:t xml:space="preserve"> </w:t>
      </w:r>
      <w:r>
        <w:t xml:space="preserve">L’aspettativa dichiarata prima di cominciare prediceva il dolore durante il ciclo: 12,9 mm in meno su 100 per ogni 10 punti in più (Coste, 2021, PMID 33948127). Ti autorizza a dedicare tempo vero a come spieghi il lavoro. Non a gonfiarla: è un predittore, non un effetto del tuo gesto.</w:t>
      </w:r>
    </w:p>
    <w:p>
      <w:r>
        <w:pict>
          <v:rect style="width:0;height:1.5pt" o:hralign="center" o:hrstd="t" o:hr="t"/>
        </w:pict>
      </w:r>
    </w:p>
    <w:bookmarkEnd w:id="51"/>
    <w:bookmarkEnd w:id="52"/>
    <w:bookmarkStart w:id="58"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rischio non è fare male con le mani, è tenere in studio per mesi un quadro che non è fibromialgia, o promettere di spostare una cosa che uno studio con finto trattamento dice che non sposti.</w:t>
      </w:r>
    </w:p>
    <w:bookmarkStart w:id="53" w:name="le-bandiere-rosse"/>
    <w:p>
      <w:pPr>
        <w:pStyle w:val="Heading3"/>
      </w:pPr>
      <w:r>
        <w:t xml:space="preserve">Le bandiere rosse</w:t>
      </w:r>
    </w:p>
    <w:p>
      <w:pPr>
        <w:pStyle w:val="FirstParagraph"/>
      </w:pPr>
      <w:r>
        <w:rPr>
          <w:b/>
          <w:bCs/>
        </w:rPr>
        <w:t xml:space="preserve">Prima della tabella, il suo regime d’uso.</w:t>
      </w:r>
      <w:r>
        <w:t xml:space="preserve"> </w:t>
      </w:r>
      <w:r>
        <w:t xml:space="preserve">Questa è la migliore lista disponibile, e non è uno strumento validato. Le voci vengono dalla letteratura sulle condizioni che imitano il dolore diffuso (Häuser, 2017, PMID 29392213) e dai criteri diagnostici della condizione (Wolfe, 2016, PMID 27916278). Non vengono da uno studio che ne abbia misurato l’accuratezza.</w:t>
      </w:r>
      <w:r>
        <w:t xml:space="preserve"> </w:t>
      </w:r>
      <w:r>
        <w:rPr>
          <w:b/>
          <w:bCs/>
        </w:rPr>
        <w:t xml:space="preserve">La usi come rete, non come filtro:</w:t>
      </w:r>
      <w:r>
        <w:t xml:space="preserve"> </w:t>
      </w:r>
      <w:r>
        <w:t xml:space="preserve">una riga presente ti fa fermare; tutte assenti non ti autorizzano a escludere niente. E in cartella scrivi che l’hai passata in rassegna, non che il paziente è negativo.</w:t>
      </w:r>
    </w:p>
    <w:p>
      <w:pPr>
        <w:pStyle w:val="BodyText"/>
      </w:pPr>
      <w:r>
        <w:rPr>
          <w:b/>
          <w:bCs/>
        </w:rPr>
        <w:t xml:space="preserve">Due cose prima della tabella.</w:t>
      </w:r>
      <w:r>
        <w:t xml:space="preserve"> </w:t>
      </w:r>
      <w:r>
        <w:t xml:space="preserve">Su questa condizione il rischio di suicidio è circa triplo rispetto alla popolazione generale (rapporto standardizzato di mortalità 3,37, da 1,52 a 7,50; Treister-Goltzman, 2023, PMID 37429737), e l’ideazione è riportata nel 29,6% dei pazienti (Adawi, 2021, PMID 34867495).</w:t>
      </w:r>
      <w:r>
        <w:t xml:space="preserve"> </w:t>
      </w:r>
      <w:r>
        <w:rPr>
          <w:b/>
          <w:bCs/>
        </w:rPr>
        <w:t xml:space="preserve">La domanda si fa, non si aspetta che il paziente la porti</w:t>
      </w:r>
      <w:r>
        <w:t xml:space="preserve">, e sta al passo 3 della Road Map.</w:t>
      </w:r>
    </w:p>
    <w:p>
      <w:pPr>
        <w:pStyle w:val="BodyText"/>
      </w:pPr>
      <w:r>
        <w:t xml:space="preserve">E finché una bandiera rossa è aperta si rinvia anche il</w:t>
      </w:r>
      <w:r>
        <w:t xml:space="preserve"> </w:t>
      </w:r>
      <w:r>
        <w:rPr>
          <w:b/>
          <w:bCs/>
        </w:rPr>
        <w:t xml:space="preserve">carico progressivo</w:t>
      </w:r>
      <w:r>
        <w:t xml:space="preserve">, non solo le mani. Non è un’eccezione al principio: è lo stesso principio, e vale soprattutto sul sospetto di miopatia da statina.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Cefalea temporale nuova, dolore alla masticazione o disturbo visivo sopra i 50 anni</w:t>
            </w:r>
          </w:p>
        </w:tc>
        <w:tc>
          <w:tcPr/>
          <w:p>
            <w:pPr>
              <w:pStyle w:val="Compact"/>
            </w:pPr>
            <w:r>
              <w:t xml:space="preserve">Pronto soccorso, sospetta arterite a cellule giganti</w:t>
            </w:r>
          </w:p>
        </w:tc>
        <w:tc>
          <w:tcPr/>
          <w:p>
            <w:pPr>
              <w:pStyle w:val="Compact"/>
            </w:pPr>
            <w:r>
              <w:t xml:space="preserve">112 se disturbo visivo</w:t>
            </w:r>
          </w:p>
        </w:tc>
      </w:tr>
      <w:tr>
        <w:tc>
          <w:tcPr/>
          <w:p>
            <w:pPr>
              <w:pStyle w:val="Compact"/>
            </w:pPr>
            <w:r>
              <w:t xml:space="preserve">Deficit sensitivo con livello, disturbi sfinterici, deficit motorio focale</w:t>
            </w:r>
          </w:p>
        </w:tc>
        <w:tc>
          <w:tcPr/>
          <w:p>
            <w:pPr>
              <w:pStyle w:val="Compact"/>
            </w:pPr>
            <w:r>
              <w:t xml:space="preserve">Pronto soccorso</w:t>
            </w:r>
          </w:p>
        </w:tc>
        <w:tc>
          <w:tcPr/>
          <w:p>
            <w:pPr>
              <w:pStyle w:val="Compact"/>
            </w:pPr>
            <w:r>
              <w:t xml:space="preserve">112</w:t>
            </w:r>
          </w:p>
        </w:tc>
      </w:tr>
      <w:tr>
        <w:tc>
          <w:tcPr/>
          <w:p>
            <w:pPr>
              <w:pStyle w:val="Compact"/>
            </w:pPr>
            <w:r>
              <w:t xml:space="preserve">Ideazione suicidaria con intento, piano o mezzi; autolesionismo in atto</w:t>
            </w:r>
          </w:p>
        </w:tc>
        <w:tc>
          <w:tcPr/>
          <w:p>
            <w:pPr>
              <w:pStyle w:val="Compact"/>
            </w:pPr>
            <w:r>
              <w:t xml:space="preserve">112 o pronto soccorso, contattando il curante</w:t>
            </w:r>
          </w:p>
        </w:tc>
        <w:tc>
          <w:tcPr/>
          <w:p>
            <w:pPr>
              <w:pStyle w:val="Compact"/>
            </w:pPr>
            <w:r>
              <w:t xml:space="preserve">Oggi, e chiami tu davanti a lui</w:t>
            </w:r>
          </w:p>
        </w:tc>
      </w:tr>
      <w:tr>
        <w:tc>
          <w:tcPr/>
          <w:p>
            <w:pPr>
              <w:pStyle w:val="Compact"/>
            </w:pPr>
            <w:r>
              <w:t xml:space="preserve">Dolore muscolare dopo l’inizio di una statina, con o senza urine scure</w:t>
            </w:r>
          </w:p>
        </w:tc>
        <w:tc>
          <w:tcPr/>
          <w:p>
            <w:pPr>
              <w:pStyle w:val="Compact"/>
            </w:pPr>
            <w:r>
              <w:t xml:space="preserve">Prescrittore; pronto soccorso se urine scure</w:t>
            </w:r>
          </w:p>
        </w:tc>
        <w:tc>
          <w:tcPr/>
          <w:p>
            <w:pPr>
              <w:pStyle w:val="Compact"/>
            </w:pPr>
            <w:r>
              <w:t xml:space="preserve">Urgente</w:t>
            </w:r>
          </w:p>
        </w:tc>
      </w:tr>
      <w:tr>
        <w:tc>
          <w:tcPr/>
          <w:p>
            <w:pPr>
              <w:pStyle w:val="Compact"/>
            </w:pPr>
            <w:r>
              <w:t xml:space="preserve">Debolezza prossimale vera e progressiva, non cedimento da dolore</w:t>
            </w:r>
          </w:p>
        </w:tc>
        <w:tc>
          <w:tcPr/>
          <w:p>
            <w:pPr>
              <w:pStyle w:val="Compact"/>
            </w:pPr>
            <w:r>
              <w:t xml:space="preserve">Curante per CPK, poi reumatologo</w:t>
            </w:r>
          </w:p>
        </w:tc>
        <w:tc>
          <w:tcPr/>
          <w:p>
            <w:pPr>
              <w:pStyle w:val="Compact"/>
            </w:pPr>
            <w:r>
              <w:t xml:space="preserve">Urgente</w:t>
            </w:r>
          </w:p>
        </w:tc>
      </w:tr>
      <w:tr>
        <w:tc>
          <w:tcPr/>
          <w:p>
            <w:pPr>
              <w:pStyle w:val="Compact"/>
            </w:pPr>
            <w:r>
              <w:t xml:space="preserve">Febbre, sudorazioni notturne, calo di peso; o dolore notturno con storia oncologica</w:t>
            </w:r>
          </w:p>
        </w:tc>
        <w:tc>
          <w:tcPr/>
          <w:p>
            <w:pPr>
              <w:pStyle w:val="Compact"/>
            </w:pPr>
            <w:r>
              <w:t xml:space="preserve">Curante od oncologo</w:t>
            </w:r>
          </w:p>
        </w:tc>
        <w:tc>
          <w:tcPr/>
          <w:p>
            <w:pPr>
              <w:pStyle w:val="Compact"/>
            </w:pPr>
            <w:r>
              <w:t xml:space="preserve">Urgente</w:t>
            </w:r>
          </w:p>
        </w:tc>
      </w:tr>
      <w:tr>
        <w:tc>
          <w:tcPr/>
          <w:p>
            <w:pPr>
              <w:pStyle w:val="Compact"/>
            </w:pPr>
            <w:r>
              <w:t xml:space="preserve">Dolore diffuso nuovo dopo i 50 anni con i cingoli coinvolti</w:t>
            </w:r>
          </w:p>
        </w:tc>
        <w:tc>
          <w:tcPr/>
          <w:p>
            <w:pPr>
              <w:pStyle w:val="Compact"/>
            </w:pPr>
            <w:r>
              <w:t xml:space="preserve">Curante, sospetta polimialgia reumatica</w:t>
            </w:r>
          </w:p>
        </w:tc>
        <w:tc>
          <w:tcPr/>
          <w:p>
            <w:pPr>
              <w:pStyle w:val="Compact"/>
            </w:pPr>
            <w:r>
              <w:t xml:space="preserve">Urgente</w:t>
            </w:r>
          </w:p>
        </w:tc>
      </w:tr>
      <w:tr>
        <w:tc>
          <w:tcPr/>
          <w:p>
            <w:pPr>
              <w:pStyle w:val="Compact"/>
            </w:pPr>
            <w:r>
              <w:t xml:space="preserve">Articolazioni gonfie o calde, rigidità oltre l’ora, indici infiammatori alterati</w:t>
            </w:r>
          </w:p>
        </w:tc>
        <w:tc>
          <w:tcPr/>
          <w:p>
            <w:pPr>
              <w:pStyle w:val="Compact"/>
            </w:pPr>
            <w:r>
              <w:t xml:space="preserve">Reumatologo</w:t>
            </w:r>
          </w:p>
        </w:tc>
        <w:tc>
          <w:tcPr/>
          <w:p>
            <w:pPr>
              <w:pStyle w:val="Compact"/>
            </w:pPr>
            <w:r>
              <w:t xml:space="preserve">Invio, non attendere</w:t>
            </w:r>
          </w:p>
        </w:tc>
      </w:tr>
      <w:tr>
        <w:tc>
          <w:tcPr/>
          <w:p>
            <w:pPr>
              <w:pStyle w:val="Compact"/>
            </w:pPr>
            <w:r>
              <w:t xml:space="preserve">Secchezza oculare e orale, Raynaud, fotosensibilità, rash, ulcere orali</w:t>
            </w:r>
          </w:p>
        </w:tc>
        <w:tc>
          <w:tcPr/>
          <w:p>
            <w:pPr>
              <w:pStyle w:val="Compact"/>
            </w:pPr>
            <w:r>
              <w:t xml:space="preserve">Reumatologo, sospetta connettivite</w:t>
            </w:r>
          </w:p>
        </w:tc>
        <w:tc>
          <w:tcPr/>
          <w:p>
            <w:pPr>
              <w:pStyle w:val="Compact"/>
            </w:pPr>
            <w:r>
              <w:t xml:space="preserve">Invio</w:t>
            </w:r>
          </w:p>
        </w:tc>
      </w:tr>
      <w:tr>
        <w:tc>
          <w:tcPr/>
          <w:p>
            <w:pPr>
              <w:pStyle w:val="Compact"/>
            </w:pPr>
            <w:r>
              <w:t xml:space="preserve">Dolore osseo su sterno e tibia, andatura anserina</w:t>
            </w:r>
          </w:p>
        </w:tc>
        <w:tc>
          <w:tcPr/>
          <w:p>
            <w:pPr>
              <w:pStyle w:val="Compact"/>
            </w:pPr>
            <w:r>
              <w:t xml:space="preserve">Curante, sospetta osteomalacia o iperparatiroidismo</w:t>
            </w:r>
          </w:p>
        </w:tc>
        <w:tc>
          <w:tcPr/>
          <w:p>
            <w:pPr>
              <w:pStyle w:val="Compact"/>
            </w:pPr>
            <w:r>
              <w:t xml:space="preserve">Invio, non attendere</w:t>
            </w:r>
          </w:p>
        </w:tc>
      </w:tr>
      <w:tr>
        <w:tc>
          <w:tcPr/>
          <w:p>
            <w:pPr>
              <w:pStyle w:val="Compact"/>
            </w:pPr>
            <w:r>
              <w:t xml:space="preserve">Segni di ipotiroidismo, tiroide mai ricontrollata</w:t>
            </w:r>
          </w:p>
        </w:tc>
        <w:tc>
          <w:tcPr/>
          <w:p>
            <w:pPr>
              <w:pStyle w:val="Compact"/>
            </w:pPr>
            <w:r>
              <w:t xml:space="preserve">Curante</w:t>
            </w:r>
          </w:p>
        </w:tc>
        <w:tc>
          <w:tcPr/>
          <w:p>
            <w:pPr>
              <w:pStyle w:val="Compact"/>
            </w:pPr>
            <w:r>
              <w:t xml:space="preserve">Invio</w:t>
            </w:r>
          </w:p>
        </w:tc>
      </w:tr>
      <w:tr>
        <w:tc>
          <w:tcPr/>
          <w:p>
            <w:pPr>
              <w:pStyle w:val="Compact"/>
            </w:pPr>
            <w:r>
              <w:t xml:space="preserve">Dolore diffuso comparso entro sei mesi dall’inizio di un inibitore dell’aromatasi</w:t>
            </w:r>
          </w:p>
        </w:tc>
        <w:tc>
          <w:tcPr/>
          <w:p>
            <w:pPr>
              <w:pStyle w:val="Compact"/>
            </w:pPr>
            <w:r>
              <w:t xml:space="preserve">Oncologo prescrittore</w:t>
            </w:r>
          </w:p>
        </w:tc>
        <w:tc>
          <w:tcPr/>
          <w:p>
            <w:pPr>
              <w:pStyle w:val="Compact"/>
            </w:pPr>
            <w:r>
              <w:t xml:space="preserve">Invio, non attendere</w:t>
            </w:r>
          </w:p>
        </w:tc>
      </w:tr>
      <w:tr>
        <w:tc>
          <w:tcPr/>
          <w:p>
            <w:pPr>
              <w:pStyle w:val="Compact"/>
            </w:pPr>
            <w:r>
              <w:t xml:space="preserve">Pensiero di morte passivo, senza intento né piano</w:t>
            </w:r>
          </w:p>
        </w:tc>
        <w:tc>
          <w:tcPr/>
          <w:p>
            <w:pPr>
              <w:pStyle w:val="Compact"/>
            </w:pPr>
            <w:r>
              <w:t xml:space="preserve">Curante con nota scritta, e salute mentale</w:t>
            </w:r>
          </w:p>
        </w:tc>
        <w:tc>
          <w:tcPr/>
          <w:p>
            <w:pPr>
              <w:pStyle w:val="Compact"/>
            </w:pPr>
            <w:r>
              <w:t xml:space="preserve">Pochi giorni, con verifica</w:t>
            </w:r>
          </w:p>
        </w:tc>
      </w:tr>
    </w:tbl>
    <w:bookmarkEnd w:id="53"/>
    <w:bookmarkStart w:id="54" w:name="il-cancello-dingresso"/>
    <w:p>
      <w:pPr>
        <w:pStyle w:val="Heading3"/>
      </w:pPr>
      <w:r>
        <w:t xml:space="preserve">Il cancello d’ingresso</w:t>
      </w:r>
    </w:p>
    <w:p>
      <w:pPr>
        <w:pStyle w:val="FirstParagraph"/>
      </w:pPr>
      <w:r>
        <w:rPr>
          <w:b/>
          <w:bCs/>
        </w:rPr>
        <w:t xml:space="preserve">Il mandato clinico</w:t>
      </w:r>
      <w:r>
        <w:t xml:space="preserve"> </w:t>
      </w:r>
      <w:r>
        <w:t xml:space="preserve">— avere qualcosa da trattare oggi — nasce da un reperto disfunzionale documentato e da un marker che si muove quando lo tratti. Quando l’inquadramento manca, il canale medico si attiva</w:t>
      </w:r>
      <w:r>
        <w:t xml:space="preserve"> </w:t>
      </w:r>
      <w:r>
        <w:rPr>
          <w:b/>
          <w:bCs/>
        </w:rPr>
        <w:t xml:space="preserve">contestualmente</w:t>
      </w:r>
      <w:r>
        <w:t xml:space="preserve">, non dopo.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FirstParagraph"/>
      </w:pPr>
      <w:r>
        <w:rPr>
          <w:b/>
          <w:bCs/>
        </w:rPr>
        <w:t xml:space="preserve">Su questa condizione, cosa conta come reperto.</w:t>
      </w:r>
      <w:r>
        <w:t xml:space="preserve"> </w:t>
      </w:r>
      <w:r>
        <w:t xml:space="preserve">Reggono come reperto documentato e come marker quattro cose: l’escursione</w:t>
      </w:r>
      <w:r>
        <w:t xml:space="preserve"> </w:t>
      </w:r>
      <w:r>
        <w:rPr>
          <w:b/>
          <w:bCs/>
        </w:rPr>
        <w:t xml:space="preserve">regionale</w:t>
      </w:r>
      <w:r>
        <w:t xml:space="preserve"> </w:t>
      </w:r>
      <w:r>
        <w:t xml:space="preserve">misurata, i test di provocazione con un carico definito, il tempo su un compito funzionale, e la soglia algometrica. Quest’ultima</w:t>
      </w:r>
      <w:r>
        <w:t xml:space="preserve"> </w:t>
      </w:r>
      <w:r>
        <w:rPr>
          <w:b/>
          <w:bCs/>
        </w:rPr>
        <w:t xml:space="preserve">regge come reperto ma da sola non decide</w:t>
      </w:r>
      <w:r>
        <w:t xml:space="preserve"> </w:t>
      </w:r>
      <w:r>
        <w:t xml:space="preserve">(vedi «La prova della chiave di volta»).</w:t>
      </w:r>
      <w:r>
        <w:t xml:space="preserve"> </w:t>
      </w:r>
      <w:r>
        <w:rPr>
          <w:b/>
          <w:bCs/>
        </w:rPr>
        <w:t xml:space="preserve">La palpazione dei tessuti molli e la conta dei punti dolorosi non fondano il mandato e non funzionano da marker</w:t>
      </w:r>
      <w:r>
        <w:t xml:space="preserve"> </w:t>
      </w:r>
      <w:r>
        <w:t xml:space="preserve">(Wolfe, 1997, PMID 9166001 — vedi Capitolo 3).</w:t>
      </w:r>
    </w:p>
    <w:p>
      <w:pPr>
        <w:pStyle w:val="BodyText"/>
      </w:pPr>
      <w:r>
        <w:rPr>
          <w:b/>
          <w:bCs/>
        </w:rPr>
        <w:t xml:space="preserve">E il contrappeso, attaccato al principio.</w:t>
      </w:r>
      <w:r>
        <w:t xml:space="preserve"> </w:t>
      </w:r>
      <w:r>
        <w:t xml:space="preserve">Un reperto positivo giustifica il tuo lavoro,</w:t>
      </w:r>
      <w:r>
        <w:t xml:space="preserve"> </w:t>
      </w:r>
      <w:r>
        <w:rPr>
          <w:b/>
          <w:bCs/>
        </w:rPr>
        <w:t xml:space="preserve">non sostituisce l’inquadramento medico</w:t>
      </w:r>
      <w:r>
        <w:t xml:space="preserve">. Una cervicale rigida in un paziente con dolore diffuso non esclude nulla: significa che hai</w:t>
      </w:r>
      <w:r>
        <w:t xml:space="preserve"> </w:t>
      </w:r>
      <w:r>
        <w:rPr>
          <w:b/>
          <w:bCs/>
        </w:rPr>
        <w:t xml:space="preserve">qualcosa da trattare</w:t>
      </w:r>
      <w:r>
        <w:t xml:space="preserve">, non che</w:t>
      </w:r>
      <w:r>
        <w:t xml:space="preserve"> </w:t>
      </w:r>
      <w:r>
        <w:rPr>
          <w:b/>
          <w:bCs/>
        </w:rPr>
        <w:t xml:space="preserve">sai cosa ha il paziente</w:t>
      </w:r>
      <w:r>
        <w:t xml:space="preserve">. Le due cose convivono, e vanno dette al paziente come conviventi.</w:t>
      </w:r>
    </w:p>
    <w:p>
      <w:pPr>
        <w:pStyle w:val="BodyText"/>
      </w:pPr>
      <w:r>
        <w:rPr>
          <w:b/>
          <w:bCs/>
        </w:rPr>
        <w:t xml:space="preserve">🔴 ROSSO-EMERGENZA — la seduta finisce qui.</w:t>
      </w:r>
      <w:r>
        <w:t xml:space="preserve"> </w:t>
      </w:r>
      <w:r>
        <w:t xml:space="preserve">Sono le righe della tabella con «112» o «pronto soccorso». Nessuna mano addosso, nemmeno su una</w:t>
      </w:r>
      <w:r>
        <w:t xml:space="preserve"> </w:t>
      </w:r>
      <w:r>
        <w:rPr>
          <w:b/>
          <w:bCs/>
        </w:rPr>
        <w:t xml:space="preserve">disfunzione somatica</w:t>
      </w:r>
      <w:r>
        <w:t xml:space="preserve"> </w:t>
      </w:r>
      <w:r>
        <w:t xml:space="preserve">indipendente dal sospetto, per nessun motivo. Il paziente va oggi; tu scrivi cosa hai osservato e a che ora l’hai indirizzato. Se c’è disturbo visivo, deficit sfinterico o urine scure, non lo mandi: chiami.</w:t>
      </w:r>
      <w:r>
        <w:t xml:space="preserve"> </w:t>
      </w:r>
      <w:r>
        <w:rPr>
          <w:b/>
          <w:bCs/>
        </w:rPr>
        <w:t xml:space="preserve">È qui che la formula «nessuna eccezione» ha il suo posto.</w:t>
      </w:r>
    </w:p>
    <w:p>
      <w:pPr>
        <w:pStyle w:val="BodyText"/>
      </w:pPr>
      <w:r>
        <w:rPr>
          <w:b/>
          <w:bCs/>
        </w:rPr>
        <w:t xml:space="preserve">🔴 ROSSO-INVIO — si ferma il bersaglio, non la mano.</w:t>
      </w:r>
      <w:r>
        <w:t xml:space="preserve"> </w:t>
      </w:r>
      <w:r>
        <w:t xml:space="preserve">Sono le righe con «invio» o «urgente» senza pronto soccorso. Il paziente esce con un’indicazione medica</w:t>
      </w:r>
      <w:r>
        <w:t xml:space="preserve"> </w:t>
      </w:r>
      <w:r>
        <w:rPr>
          <w:b/>
          <w:bCs/>
        </w:rPr>
        <w:t xml:space="preserve">esplicita e scritta</w:t>
      </w:r>
      <w:r>
        <w:t xml:space="preserve">, e con i tempi dichiarati. Se coesiste una</w:t>
      </w:r>
      <w:r>
        <w:t xml:space="preserve"> </w:t>
      </w:r>
      <w:r>
        <w:rPr>
          <w:b/>
          <w:bCs/>
        </w:rPr>
        <w:t xml:space="preserve">disfunzione somatica</w:t>
      </w:r>
      <w:r>
        <w:t xml:space="preserve"> </w:t>
      </w:r>
      <w:r>
        <w:t xml:space="preserve">indipendente dal sospetto la si può trattare,</w:t>
      </w:r>
      <w:r>
        <w:t xml:space="preserve"> </w:t>
      </w:r>
      <w:r>
        <w:rPr>
          <w:b/>
          <w:bCs/>
        </w:rPr>
        <w:t xml:space="preserve">purché non sia il distretto oggetto del sospetto</w:t>
      </w:r>
      <w:r>
        <w:t xml:space="preserve">: su una bandiera rossa regionale, che riguardi testa, collo, cingoli o mandibola, quella zona resta ferma finché il canale medico non ha risposto. E il documento del trattamento dichiara che il dolore diffuso è in attesa di inquadramento e</w:t>
      </w:r>
      <w:r>
        <w:t xml:space="preserve"> </w:t>
      </w:r>
      <w:r>
        <w:rPr>
          <w:b/>
          <w:bCs/>
        </w:rPr>
        <w:t xml:space="preserve">non è il bersaglio</w:t>
      </w:r>
      <w:r>
        <w:t xml:space="preserve">.</w:t>
      </w:r>
    </w:p>
    <w:p>
      <w:pPr>
        <w:pStyle w:val="BodyText"/>
      </w:pPr>
      <w:r>
        <w:rPr>
          <w:b/>
          <w:bCs/>
        </w:rPr>
        <w:t xml:space="preserve">🟡 GIALLO — Si lavora, in parallelo.</w:t>
      </w:r>
      <w:r>
        <w:t xml:space="preserve"> </w:t>
      </w:r>
      <w:r>
        <w:t xml:space="preserve">Nessuna bandiera rossa, e inquadramento assente o incompleto: il paziente dice «fibromialgia» ma non porta referti, oppure ha una diagnosi vecchia di otto anni e il quadro ha cambiato forma.</w:t>
      </w:r>
      <w:r>
        <w:t xml:space="preserve"> </w:t>
      </w:r>
      <w:r>
        <w:rPr>
          <w:b/>
          <w:bCs/>
        </w:rPr>
        <w:t xml:space="preserve">È la situazione più frequente, e non è un motivo per rimandarlo fuori.</w:t>
      </w:r>
      <w:r>
        <w:t xml:space="preserve"> </w:t>
      </w:r>
      <w:r>
        <w:t xml:space="preserve">Quattro condizioni, tutte verificabili:</w:t>
      </w:r>
    </w:p>
    <w:p>
      <w:pPr>
        <w:pStyle w:val="Compact"/>
        <w:numPr>
          <w:ilvl w:val="0"/>
          <w:numId w:val="1025"/>
        </w:numPr>
      </w:pPr>
      <w:r>
        <w:rPr>
          <w:b/>
          <w:bCs/>
        </w:rPr>
        <w:t xml:space="preserve">Un reperto tuo, positivo e scritto in cartella.</w:t>
      </w:r>
      <w:r>
        <w:t xml:space="preserve"> </w:t>
      </w:r>
      <w:r>
        <w:t xml:space="preserve">Non «il paziente ha la fibromialgia», ma l’escursione regionale misurata, la soglia algometrica, il test funzionale con il suo numero.</w:t>
      </w:r>
    </w:p>
    <w:p>
      <w:pPr>
        <w:pStyle w:val="Compact"/>
        <w:numPr>
          <w:ilvl w:val="0"/>
          <w:numId w:val="1025"/>
        </w:numPr>
      </w:pPr>
      <w:r>
        <w:rPr>
          <w:b/>
          <w:bCs/>
        </w:rPr>
        <w:t xml:space="preserve">Il paziente sa cosa tratti e cosa no.</w:t>
      </w:r>
      <w:r>
        <w:t xml:space="preserve"> </w:t>
      </w:r>
      <w:r>
        <w:t xml:space="preserve">Frase da usare:</w:t>
      </w:r>
      <w:r>
        <w:t xml:space="preserve"> </w:t>
      </w:r>
      <w:r>
        <w:rPr>
          <w:i/>
          <w:iCs/>
        </w:rPr>
        <w:t xml:space="preserve">«io lavoro sulla componente meccanica che ho trovato. Il dolore diffuso va comunque inquadrato dal tuo medico, e nel frattempo io non aspetto.»</w:t>
      </w:r>
    </w:p>
    <w:p>
      <w:pPr>
        <w:pStyle w:val="Compact"/>
        <w:numPr>
          <w:ilvl w:val="0"/>
          <w:numId w:val="1025"/>
        </w:numPr>
      </w:pPr>
      <w:r>
        <w:rPr>
          <w:b/>
          <w:bCs/>
        </w:rPr>
        <w:t xml:space="preserve">Canale medico attivato senza interrompere il lavoro.</w:t>
      </w:r>
      <w:r>
        <w:t xml:space="preserve"> </w:t>
      </w:r>
      <w:r>
        <w:t xml:space="preserve">Serve una comunicazione</w:t>
      </w:r>
      <w:r>
        <w:t xml:space="preserve"> </w:t>
      </w:r>
      <w:r>
        <w:rPr>
          <w:b/>
          <w:bCs/>
        </w:rPr>
        <w:t xml:space="preserve">scritta</w:t>
      </w:r>
      <w:r>
        <w:t xml:space="preserve"> </w:t>
      </w:r>
      <w:r>
        <w:t xml:space="preserve">al curante, non un rinvio del paziente. Su questa condizione la lettera contiene sei cose:</w:t>
      </w:r>
    </w:p>
    <w:p>
      <w:pPr>
        <w:pStyle w:val="Compact"/>
        <w:numPr>
          <w:ilvl w:val="1"/>
          <w:numId w:val="1026"/>
        </w:numPr>
      </w:pPr>
      <w:r>
        <w:t xml:space="preserve">quali bandiere rosse hai passato in rassegna;</w:t>
      </w:r>
    </w:p>
    <w:p>
      <w:pPr>
        <w:pStyle w:val="Compact"/>
        <w:numPr>
          <w:ilvl w:val="1"/>
          <w:numId w:val="1026"/>
        </w:numPr>
      </w:pPr>
      <w:r>
        <w:t xml:space="preserve">quale reperto hai trovato, e con quale misura;</w:t>
      </w:r>
    </w:p>
    <w:p>
      <w:pPr>
        <w:pStyle w:val="Compact"/>
        <w:numPr>
          <w:ilvl w:val="1"/>
          <w:numId w:val="1026"/>
        </w:numPr>
      </w:pPr>
      <w:r>
        <w:t xml:space="preserve">se il quadro ti sembra guidato dal</w:t>
      </w:r>
      <w:r>
        <w:t xml:space="preserve"> </w:t>
      </w:r>
      <w:r>
        <w:rPr>
          <w:b/>
          <w:bCs/>
        </w:rPr>
        <w:t xml:space="preserve">sonno</w:t>
      </w:r>
      <w:r>
        <w:t xml:space="preserve">, e se sono emersi i due sospetti che il sonno nasconde — gambe senza riposo e apnea;</w:t>
      </w:r>
    </w:p>
    <w:p>
      <w:pPr>
        <w:pStyle w:val="Compact"/>
        <w:numPr>
          <w:ilvl w:val="1"/>
          <w:numId w:val="1026"/>
        </w:numPr>
      </w:pPr>
      <w:r>
        <w:t xml:space="preserve">se ti sembra guidato dal</w:t>
      </w:r>
      <w:r>
        <w:t xml:space="preserve"> </w:t>
      </w:r>
      <w:r>
        <w:rPr>
          <w:b/>
          <w:bCs/>
        </w:rPr>
        <w:t xml:space="preserve">livello di attivazione</w:t>
      </w:r>
      <w:r>
        <w:t xml:space="preserve"> </w:t>
      </w:r>
      <w:r>
        <w:t xml:space="preserve">e agganciato a un evento di vita, perché anche su quello esiste un trattamento che non è tuo;</w:t>
      </w:r>
    </w:p>
    <w:p>
      <w:pPr>
        <w:pStyle w:val="Compact"/>
        <w:numPr>
          <w:ilvl w:val="1"/>
          <w:numId w:val="1026"/>
        </w:numPr>
      </w:pPr>
      <w:r>
        <w:rPr>
          <w:b/>
          <w:bCs/>
        </w:rPr>
        <w:t xml:space="preserve">quali farmaci da banco il paziente assume davvero</w:t>
      </w:r>
      <w:r>
        <w:t xml:space="preserve">, con che frequenza e da quanto: è l’unico consumo che il curante non vede, e in una paziente in duloxetina l’antinfiammatorio cronico non è un dettaglio;</w:t>
      </w:r>
    </w:p>
    <w:p>
      <w:pPr>
        <w:pStyle w:val="Compact"/>
        <w:numPr>
          <w:ilvl w:val="1"/>
          <w:numId w:val="1026"/>
        </w:numPr>
      </w:pPr>
      <w:r>
        <w:rPr>
          <w:b/>
          <w:bCs/>
        </w:rPr>
        <w:t xml:space="preserve">una richiesta esplicita e datata</w:t>
      </w:r>
      <w:r>
        <w:t xml:space="preserve"> </w:t>
      </w:r>
      <w:r>
        <w:t xml:space="preserve">— cosa chiedi al curante di completare, ed entro quando, coerente con la data di revisione. Una lettera che non chiede niente apre un canale in cui non passa nessuno.</w:t>
      </w:r>
    </w:p>
    <w:p>
      <w:pPr>
        <w:pStyle w:val="Compact"/>
        <w:numPr>
          <w:ilvl w:val="0"/>
          <w:numId w:val="1025"/>
        </w:numPr>
      </w:pPr>
      <w:r>
        <w:rPr>
          <w:b/>
          <w:bCs/>
        </w:rPr>
        <w:t xml:space="preserve">Tempo definito</w:t>
      </w:r>
      <w:r>
        <w:t xml:space="preserve">, con una</w:t>
      </w:r>
      <w:r>
        <w:t xml:space="preserve"> </w:t>
      </w:r>
      <w:r>
        <w:rPr>
          <w:b/>
          <w:bCs/>
        </w:rPr>
        <w:t xml:space="preserve">data di revisione scritta in cartella</w:t>
      </w:r>
      <w:r>
        <w:t xml:space="preserve"> </w:t>
      </w:r>
      <w:r>
        <w:t xml:space="preserve">e non un numero di sedute. Il numero lo sposta il paziente disdicendo, e una scadenza che non scade non è una scadenza.</w:t>
      </w:r>
    </w:p>
    <w:p>
      <w:pPr>
        <w:pStyle w:val="FirstParagraph"/>
      </w:pPr>
      <w:r>
        <w:rPr>
          <w:b/>
          <w:bCs/>
        </w:rPr>
        <w:t xml:space="preserve">Se il tempo scade e il marker non si è mosso</w:t>
      </w:r>
      <w:r>
        <w:t xml:space="preserve">, non è una rinuncia: è un’informazione. Il tuo reperto non era il piano che comanda, e la spinta sul canale medico da parallela diventa prioritaria. E la terza uscita esiste e va nominata: non dimettere, non continuare uguale, ma</w:t>
      </w:r>
      <w:r>
        <w:t xml:space="preserve"> </w:t>
      </w:r>
      <w:r>
        <w:rPr>
          <w:b/>
          <w:bCs/>
        </w:rPr>
        <w:t xml:space="preserve">cambiare bersaglio dichiarandolo</w:t>
      </w:r>
      <w:r>
        <w:t xml:space="preserve"> </w:t>
      </w:r>
      <w:r>
        <w:t xml:space="preserve">— al paziente e in cartella, con un nuovo marker e una nuova data.</w:t>
      </w:r>
    </w:p>
    <w:p>
      <w:pPr>
        <w:pStyle w:val="BodyText"/>
      </w:pPr>
      <w:r>
        <w:rPr>
          <w:b/>
          <w:bCs/>
        </w:rPr>
        <w:t xml:space="preserve">🟢 VERDE — Si procede.</w:t>
      </w:r>
      <w:r>
        <w:t xml:space="preserve"> </w:t>
      </w:r>
      <w:r>
        <w:t xml:space="preserve">Nessuna bandiera rossa, e una fra queste tre: diagnosi reumatologica recente, esami di esclusione eseguiti, percorso specialistico in corso. Il ciclo si apre secondo Procedura.</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sintomo cambia carattere, sede o intensità rispetto all’ultima valutazione medica. Per esempio: un dolore diffuso che diventa localizzato e costante, una rigidità che passa da minuti a ore, la comparsa di gonfiore. Un quadro che cambia forma</w:t>
      </w:r>
      <w:r>
        <w:t xml:space="preserve"> </w:t>
      </w:r>
      <w:r>
        <w:rPr>
          <w:b/>
          <w:bCs/>
        </w:rPr>
        <w:t xml:space="preserve">torna al triage, dall’inizio</w:t>
      </w:r>
      <w:r>
        <w:t xml:space="preserve">.</w:t>
      </w:r>
    </w:p>
    <w:p>
      <w:pPr>
        <w:pStyle w:val="BodyText"/>
      </w:pPr>
      <w:r>
        <w:rPr>
          <w:b/>
          <w:bCs/>
        </w:rPr>
        <w:t xml:space="preserve">Il vincolo che non si negozia: quello che non è scritto non esiste.</w:t>
      </w:r>
    </w:p>
    <w:bookmarkEnd w:id="54"/>
    <w:bookmarkStart w:id="55" w:name="X5ac40c5b49b381f25386d880c1ce462e8995bb5"/>
    <w:p>
      <w:pPr>
        <w:pStyle w:val="Heading3"/>
      </w:pPr>
      <w:r>
        <w:t xml:space="preserve">Cosa fanno i farmaci che prende, e perché non li commenti</w:t>
      </w:r>
    </w:p>
    <w:p>
      <w:pPr>
        <w:pStyle w:val="FirstParagraph"/>
      </w:pPr>
      <w:r>
        <w:t xml:space="preserve">Il quadro numerico serve a te, non a lui.</w:t>
      </w:r>
    </w:p>
    <w:p>
      <w:pPr>
        <w:pStyle w:val="BodyText"/>
      </w:pPr>
      <w:r>
        <w:rPr>
          <w:b/>
          <w:bCs/>
        </w:rPr>
        <w:t xml:space="preserve">Sul pregabalin:</w:t>
      </w:r>
      <w:r>
        <w:t xml:space="preserve"> </w:t>
      </w:r>
      <w:r>
        <w:t xml:space="preserve">cinque studi randomizzati e 3.283 pazienti, con prove di alta qualità. Alle dosi di 300-600 mg, fra 22 e 24 pazienti su cento ottengono una riduzione del dolore di almeno metà, contro 14 su cento con il placebo. Alla soglia del 30% in meno i numeri sono da 39 a 43 contro 28 (Derry, 2016, PMID 27684492).</w:t>
      </w:r>
      <w:r>
        <w:t xml:space="preserve"> </w:t>
      </w:r>
      <w:r>
        <w:rPr>
          <w:b/>
          <w:bCs/>
        </w:rPr>
        <w:t xml:space="preserve">Per te:</w:t>
      </w:r>
      <w:r>
        <w:t xml:space="preserve"> </w:t>
      </w:r>
      <w:r>
        <w:t xml:space="preserve">significa che tre quarti dei pazienti in terapia non raggiungono una riduzione del dolore di almeno metà. Non vuol dire che non ne traggano niente. Non è un difetto del prescrittore: è quello che il farmaco fa. Ti dice dove sei, non cosa fare.</w:t>
      </w:r>
    </w:p>
    <w:p>
      <w:pPr>
        <w:pStyle w:val="BodyText"/>
      </w:pPr>
      <w:r>
        <w:rPr>
          <w:b/>
          <w:bCs/>
        </w:rPr>
        <w:t xml:space="preserve">Gli oppioidi, che nessuno dichiara spontaneamente.</w:t>
      </w:r>
      <w:r>
        <w:t xml:space="preserve"> </w:t>
      </w:r>
      <w:r>
        <w:t xml:space="preserve">Il tramadolo, spesso in associazione con paracetamolo, è la classe che questi pazienti hanno più spesso in tasca e che non nominano. Tre cose da sapere, e nessuna è un commento alla terapia.</w:t>
      </w:r>
    </w:p>
    <w:p>
      <w:pPr>
        <w:pStyle w:val="BodyText"/>
      </w:pPr>
      <w:r>
        <w:t xml:space="preserve">La prima: nel dolore nociplastico gli interventi diretti alla periferia — antinfiammatori,</w:t>
      </w:r>
      <w:r>
        <w:t xml:space="preserve"> </w:t>
      </w:r>
      <w:r>
        <w:rPr>
          <w:b/>
          <w:bCs/>
        </w:rPr>
        <w:t xml:space="preserve">oppioidi</w:t>
      </w:r>
      <w:r>
        <w:t xml:space="preserve">, infiltrazioni, chirurgia — rendono meno del previsto (Fitzcharles e Clauw, 2021, PMID 34062144). La seconda: l’uso prolungato può alzare il guadagno invece di abbassarlo, cioè alimenta il primo meccanismo di questa Bibbia. La terza: il tramadolo è serotoninergico, e sommato a duloxetina o milnacipran alza il rischio di sindrome serotoninergica — agitazione, tremore, sudorazione, iperreflessia, rigidità, febbre.</w:t>
      </w:r>
    </w:p>
    <w:p>
      <w:pPr>
        <w:pStyle w:val="BodyText"/>
      </w:pPr>
      <w:r>
        <w:t xml:space="preserve">Sotto le tue mani quel quadro assomiglia al terzo meccanismo, «tessuti che sobbalzano appena appoggi le mani», e non lo è:</w:t>
      </w:r>
      <w:r>
        <w:t xml:space="preserve"> </w:t>
      </w:r>
      <w:r>
        <w:rPr>
          <w:b/>
          <w:bCs/>
        </w:rPr>
        <w:t xml:space="preserve">non si interpreta e non si tratta, si manda, oggi.</w:t>
      </w:r>
      <w:r>
        <w:t xml:space="preserve"> </w:t>
      </w:r>
      <w:r>
        <w:t xml:space="preserve">E l’assunzione si chiede in anamnesi con la durata, e si scrive nella lettera.</w:t>
      </w:r>
    </w:p>
    <w:p>
      <w:pPr>
        <w:pStyle w:val="BodyText"/>
      </w:pPr>
      <w:r>
        <w:rPr>
          <w:b/>
          <w:bCs/>
        </w:rPr>
        <w:t xml:space="preserve">E l’anziano, che in questi elenchi non compare mai.</w:t>
      </w:r>
      <w:r>
        <w:t xml:space="preserve"> </w:t>
      </w:r>
      <w:r>
        <w:t xml:space="preserve">Sopra i sessantacinque anni amitriptilina e ciclobenzaprina sono entrambe fra i farmaci che i criteri geriatrici di riferimento sconsigliano: carico anticolinergico, sedazione, ipotensione ortostatica, e per la seconda anche più rischio di frattura (criteri Beers 2023, PMID 37139824). Più anticolinergici insieme moltiplicano cadute e delirium. Il dato pratico è uno: se dopo la seduta il paziente è instabile, quell’instabilità si scrive al curante invece di essere attribuita alla seduta.</w:t>
      </w:r>
    </w:p>
    <w:p>
      <w:pPr>
        <w:pStyle w:val="BodyText"/>
      </w:pPr>
      <w:r>
        <w:t xml:space="preserve">Ti serve poi sapere che questi farmaci</w:t>
      </w:r>
      <w:r>
        <w:t xml:space="preserve"> </w:t>
      </w:r>
      <w:r>
        <w:rPr>
          <w:b/>
          <w:bCs/>
        </w:rPr>
        <w:t xml:space="preserve">danno effetti che vedrai in stanza e che non sono tuoi da interpretare</w:t>
      </w:r>
      <w:r>
        <w:t xml:space="preserve">: sonnolenza, capogiro, secchezza, aumento di peso, un rallentamento che il paziente descrive come «nebbia». Nella sintesi Cochrane su 7.903 pazienti, chi assumeva duloxetina o milnacipran ha interrotto per effetti indesiderati nel 19% dei casi, contro il 10% del placebo (Welsch, 2018, PMID 29489029).</w:t>
      </w:r>
      <w:r>
        <w:t xml:space="preserve"> </w:t>
      </w:r>
      <w:r>
        <w:rPr>
          <w:b/>
          <w:bCs/>
        </w:rPr>
        <w:t xml:space="preserve">Per te:</w:t>
      </w:r>
      <w:r>
        <w:t xml:space="preserve"> </w:t>
      </w:r>
      <w:r>
        <w:t xml:space="preserve">quasi una paziente su cinque smette per come si sente, contro una su dieci con il placebo. Quindi «da quando ha cambiato la pastiglia sto peggio» è un’informazione da scrivere al curante, non da interpretare.</w:t>
      </w:r>
    </w:p>
    <w:p>
      <w:pPr>
        <w:pStyle w:val="BodyText"/>
      </w:pPr>
      <w:r>
        <w:t xml:space="preserve">Non commenti, non suggerisci, non ipotizzi riduzioni: decide il prescrittore. Segnali per iscritto quando compare un sintomo nuovo dopo un cambio di terapia.</w:t>
      </w:r>
    </w:p>
    <w:bookmarkEnd w:id="55"/>
    <w:bookmarkStart w:id="56" w:name="X1ac5a1b3cdf7e22e51df529af64ae60c55cc369"/>
    <w:p>
      <w:pPr>
        <w:pStyle w:val="Heading3"/>
      </w:pPr>
      <w:r>
        <w:t xml:space="preserve">Cosa dichiari nel consenso, su questa condizione</w:t>
      </w:r>
    </w:p>
    <w:p>
      <w:pPr>
        <w:pStyle w:val="FirstParagraph"/>
      </w:pPr>
      <w:r>
        <w:t xml:space="preserve">Tre cose che qui aggiungi e che in un’altra Bibbia non scriveresti.</w:t>
      </w:r>
    </w:p>
    <w:p>
      <w:pPr>
        <w:pStyle w:val="Compact"/>
        <w:numPr>
          <w:ilvl w:val="0"/>
          <w:numId w:val="1027"/>
        </w:numPr>
      </w:pPr>
      <w:r>
        <w:rPr>
          <w:b/>
          <w:bCs/>
        </w:rPr>
        <w:t xml:space="preserve">Che l’oggetto del trattamento è la componente muscolo-scheletrica e l’ingresso periferico che hai trovato, non l’amplificazione centrale che definisce la fibromialgia.</w:t>
      </w:r>
      <w:r>
        <w:t xml:space="preserve"> </w:t>
      </w:r>
      <w:r>
        <w:t xml:space="preserve">È la distinzione che rende onesto tutto il resto.</w:t>
      </w:r>
    </w:p>
    <w:p>
      <w:pPr>
        <w:pStyle w:val="Compact"/>
        <w:numPr>
          <w:ilvl w:val="0"/>
          <w:numId w:val="1027"/>
        </w:numPr>
      </w:pPr>
      <w:r>
        <w:rPr>
          <w:b/>
          <w:bCs/>
        </w:rPr>
        <w:t xml:space="preserve">Che sulla fibromialgia esiste uno studio randomizzato con finto trattamento sul nostro gesto, e il risultato è negativo.</w:t>
      </w:r>
      <w:r>
        <w:t xml:space="preserve"> </w:t>
      </w:r>
      <w:r>
        <w:t xml:space="preserve">Il paziente lo sa prima di pagare, non dopo. Su questa condizione l’aspettativa è essa stessa una variabile misurata, e costruirla su un’informazione parziale è il modo più efficace di produrre una delusione.</w:t>
      </w:r>
    </w:p>
    <w:p>
      <w:pPr>
        <w:pStyle w:val="Compact"/>
        <w:numPr>
          <w:ilvl w:val="0"/>
          <w:numId w:val="1027"/>
        </w:numPr>
      </w:pPr>
      <w:r>
        <w:rPr>
          <w:b/>
          <w:bCs/>
        </w:rPr>
        <w:t xml:space="preserve">Che sono documentati due peggioramenti diversi, e li dichiari entrambi.</w:t>
      </w:r>
      <w:r>
        <w:t xml:space="preserve"> </w:t>
      </w:r>
      <w:r>
        <w:t xml:space="preserve">Uno immediato: una riacutizzazione nelle ventiquattro-quarantotto ore dopo la seduta, prevista, che si misura contando i giorni di ritorno al livello di partenza e che fa cambiare la dose. Uno tardivo. Nello stesso studio randomizzato con finto trattamento, il gruppo trattato con osteopatia ha mostrato un probabile rimbalzo del dolore e un peggioramento del funzionamento</w:t>
      </w:r>
      <w:r>
        <w:t xml:space="preserve"> </w:t>
      </w:r>
      <w:r>
        <w:rPr>
          <w:b/>
          <w:bCs/>
        </w:rPr>
        <w:t xml:space="preserve">alla dodicesima settimana</w:t>
      </w:r>
      <w:r>
        <w:t xml:space="preserve"> </w:t>
      </w:r>
      <w:r>
        <w:t xml:space="preserve">(Coste, 2021, PMID 33948127). Per questo la verifica non si chiude quando finisce il ciclo, e la data di rivalutazione a tre mesi si scrive insieme al consenso.</w:t>
      </w:r>
    </w:p>
    <w:bookmarkEnd w:id="56"/>
    <w:bookmarkStart w:id="57" w:name="il-confine-di-atto"/>
    <w:p>
      <w:pPr>
        <w:pStyle w:val="Heading3"/>
      </w:pPr>
      <w:r>
        <w:t xml:space="preserve">Il confine di atto</w:t>
      </w:r>
    </w:p>
    <w:p>
      <w:pPr>
        <w:pStyle w:val="FirstParagraph"/>
      </w:pPr>
      <w:r>
        <w:t xml:space="preserve">La</w:t>
      </w:r>
      <w:r>
        <w:t xml:space="preserve"> </w:t>
      </w:r>
      <w:r>
        <w:rPr>
          <w:b/>
          <w:bCs/>
        </w:rPr>
        <w:t xml:space="preserve">diagnosi di fibromialgia è atto medico</w:t>
      </w:r>
      <w:r>
        <w:t xml:space="preserve">, e la nostra cornice è quella del profilo professionale dell’osteopata (DPR 131/2021: tecniche esclusivamente manuali, non invasive ed esterne, su disfunzioni somatiche non riconducibili a patologie, con riferimento alla diagnosi di competenza medica). Da qui tre limiti operativi, e il terzo è quello che questa condizione mette alla prova più delle altre.</w:t>
      </w:r>
    </w:p>
    <w:p>
      <w:pPr>
        <w:pStyle w:val="Compact"/>
        <w:numPr>
          <w:ilvl w:val="0"/>
          <w:numId w:val="1028"/>
        </w:numPr>
      </w:pPr>
      <w:r>
        <w:t xml:space="preserve">Non esegui né commenti la conta dei punti dolorosi come atto diagnostico. Puoi valutare la sensibilità alla pressione come</w:t>
      </w:r>
      <w:r>
        <w:t xml:space="preserve"> </w:t>
      </w:r>
      <w:r>
        <w:rPr>
          <w:b/>
          <w:bCs/>
        </w:rPr>
        <w:t xml:space="preserve">tuo</w:t>
      </w:r>
      <w:r>
        <w:t xml:space="preserve"> </w:t>
      </w:r>
      <w:r>
        <w:t xml:space="preserve">reperto, e scrivere l’esito nell’unità del tuo marker: chilogrammi per centimetro quadrato. Mai come «tot punti su diciotto», che è l’unità di un criterio abbandonato.</w:t>
      </w:r>
    </w:p>
    <w:p>
      <w:pPr>
        <w:pStyle w:val="Compact"/>
        <w:numPr>
          <w:ilvl w:val="0"/>
          <w:numId w:val="1028"/>
        </w:numPr>
      </w:pPr>
      <w:r>
        <w:t xml:space="preserve">Non dici «hai la fibromialgia» e non dici «non ce l’hai». Dici cosa hai trovato e cosa hai misurato.</w:t>
      </w:r>
    </w:p>
    <w:p>
      <w:pPr>
        <w:pStyle w:val="Compact"/>
        <w:numPr>
          <w:ilvl w:val="0"/>
          <w:numId w:val="1028"/>
        </w:numPr>
      </w:pPr>
      <w:r>
        <w:t xml:space="preserve">Non presenti il trattamento manuale come alternativa all’esercizio, che è l’unica raccomandazione</w:t>
      </w:r>
      <w:r>
        <w:t xml:space="preserve"> </w:t>
      </w:r>
      <w:r>
        <w:rPr>
          <w:b/>
          <w:bCs/>
        </w:rPr>
        <w:t xml:space="preserve">forte</w:t>
      </w:r>
      <w:r>
        <w:t xml:space="preserve"> </w:t>
      </w:r>
      <w:r>
        <w:t xml:space="preserve">delle linee guida europee (Macfarlane, 2017, PMID 27377815). Presentarlo come sostituto non regge davanti a nessun medico.</w:t>
      </w:r>
    </w:p>
    <w:p>
      <w:pPr>
        <w:pStyle w:val="FirstParagraph"/>
      </w:pPr>
      <w:r>
        <w:rPr>
          <w:b/>
          <w:bCs/>
        </w:rPr>
        <w:t xml:space="preserve">Se sbagli campo</w:t>
      </w:r>
      <w:r>
        <w:t xml:space="preserve">, il danno non è una manovra: è il tempo. Un quadro infiammatorio o endocrino tenuto in studio tre mesi come fibromialgia perde tre mesi, e quel ritardo è tuo.</w:t>
      </w:r>
    </w:p>
    <w:p>
      <w:pPr>
        <w:pStyle w:val="BodyText"/>
      </w:pPr>
      <w:r>
        <w:rPr>
          <w:b/>
          <w:bCs/>
        </w:rPr>
        <w:t xml:space="preserve">Le tre cose da ricordare, più una</w:t>
      </w:r>
    </w:p>
    <w:p>
      <w:pPr>
        <w:pStyle w:val="Compact"/>
        <w:numPr>
          <w:ilvl w:val="0"/>
          <w:numId w:val="1029"/>
        </w:numPr>
      </w:pPr>
      <w:r>
        <w:t xml:space="preserve">La tabella è una rete, non un filtro; e il ROSSO si spezza in due — emergenza, dove la seduta finisce, e invio, dove si ferma il bersaglio e non la mano.</w:t>
      </w:r>
    </w:p>
    <w:p>
      <w:pPr>
        <w:pStyle w:val="Compact"/>
        <w:numPr>
          <w:ilvl w:val="0"/>
          <w:numId w:val="1029"/>
        </w:numPr>
      </w:pPr>
      <w:r>
        <w:t xml:space="preserve">Il GIALLO regge su quattro cose scritte, e la scadenza è una data, non un numero di sedute.</w:t>
      </w:r>
    </w:p>
    <w:p>
      <w:pPr>
        <w:pStyle w:val="Compact"/>
        <w:numPr>
          <w:ilvl w:val="0"/>
          <w:numId w:val="1029"/>
        </w:numPr>
      </w:pPr>
      <w:r>
        <w:t xml:space="preserve">Nel consenso dichiari che l’oggetto è l’ingresso periferico, che lo studio con finto trattamento è negativo, e che il peggioramento tardivo è previsto.</w:t>
      </w:r>
    </w:p>
    <w:p>
      <w:pPr>
        <w:pStyle w:val="Compact"/>
        <w:numPr>
          <w:ilvl w:val="0"/>
          <w:numId w:val="1029"/>
        </w:numPr>
      </w:pPr>
      <w:r>
        <w:rPr>
          <w:b/>
          <w:bCs/>
        </w:rPr>
        <w:t xml:space="preserve">Perché ci sei tu.</w:t>
      </w:r>
      <w:r>
        <w:t xml:space="preserve"> </w:t>
      </w:r>
      <w:r>
        <w:t xml:space="preserve">Su duloxetina e milnacipran, 7.903 pazienti:</w:t>
      </w:r>
      <w:r>
        <w:t xml:space="preserve"> </w:t>
      </w:r>
      <w:r>
        <w:rPr>
          <w:b/>
          <w:bCs/>
        </w:rPr>
        <w:t xml:space="preserve">nessuna differenza dal placebo sui problemi di sonno</w:t>
      </w:r>
      <w:r>
        <w:t xml:space="preserve">, e interruzioni per effetti indesiderati dal 10% al 19% (Welsch, 2018, PMID 29489029). Ti autorizza a mettere il sonno sul tavolo con il curante come problema aperto. Non a commentare la terapia.</w:t>
      </w:r>
    </w:p>
    <w:p>
      <w:r>
        <w:pict>
          <v:rect style="width:0;height:1.5pt" o:hralign="center" o:hrstd="t" o:hr="t"/>
        </w:pict>
      </w:r>
    </w:p>
    <w:bookmarkEnd w:id="57"/>
    <w:bookmarkEnd w:id="58"/>
    <w:bookmarkStart w:id="66" w:name="capitolo-10-cosa-dice-la-scienza"/>
    <w:p>
      <w:pPr>
        <w:pStyle w:val="Heading2"/>
      </w:pPr>
      <w:r>
        <w:t xml:space="preserve">Capitolo 10 — Cosa dice la scienza</w:t>
      </w:r>
    </w:p>
    <w:p>
      <w:pPr>
        <w:pStyle w:val="BlockText"/>
      </w:pPr>
      <w:r>
        <w:rPr>
          <w:b/>
          <w:bCs/>
        </w:rPr>
        <w:t xml:space="preserve">In una riga:</w:t>
      </w:r>
      <w:r>
        <w:t xml:space="preserve"> </w:t>
      </w:r>
      <w:r>
        <w:t xml:space="preserve">sulla fibromialgia si sa molto, sul nostro gesto si sa poco e quel poco è sfavorevole, e la distanza fra queste due frasi è il contenuto di questo capitolo.</w:t>
      </w:r>
    </w:p>
    <w:bookmarkStart w:id="59" w:name="le-due-ancore"/>
    <w:p>
      <w:pPr>
        <w:pStyle w:val="Heading3"/>
      </w:pPr>
      <w:r>
        <w:t xml:space="preserve">Le due ancore</w:t>
      </w:r>
    </w:p>
    <w:p>
      <w:pPr>
        <w:pStyle w:val="FirstParagraph"/>
      </w:pPr>
      <w:r>
        <w:rPr>
          <w:b/>
          <w:bCs/>
        </w:rPr>
        <w:t xml:space="preserve">L’ancora fisiologica — Daniel J. Clauw</w:t>
      </w:r>
      <w:r>
        <w:t xml:space="preserve">, Chronic Pain and Fatigue Research Center, University of Michigan. È il gruppo che ha trasformato la fibromialgia da diagnosi contestata a meccanismo misurato: la risonanza funzionale del 2002 (Gracely, 2002, PMID 12115241), la revisione clinica su</w:t>
      </w:r>
      <w:r>
        <w:t xml:space="preserve"> </w:t>
      </w:r>
      <w:r>
        <w:rPr>
          <w:i/>
          <w:iCs/>
        </w:rPr>
        <w:t xml:space="preserve">JAMA</w:t>
      </w:r>
      <w:r>
        <w:t xml:space="preserve"> </w:t>
      </w:r>
      <w:r>
        <w:t xml:space="preserve">(Clauw, 2014, PMID 24737367), e la definizione del</w:t>
      </w:r>
      <w:r>
        <w:t xml:space="preserve"> </w:t>
      </w:r>
      <w:r>
        <w:rPr>
          <w:b/>
          <w:bCs/>
        </w:rPr>
        <w:t xml:space="preserve">dolore nociplastico</w:t>
      </w:r>
      <w:r>
        <w:t xml:space="preserve"> </w:t>
      </w:r>
      <w:r>
        <w:t xml:space="preserve">su</w:t>
      </w:r>
      <w:r>
        <w:t xml:space="preserve"> </w:t>
      </w:r>
      <w:r>
        <w:rPr>
          <w:i/>
          <w:iCs/>
        </w:rPr>
        <w:t xml:space="preserve">Lancet</w:t>
      </w:r>
      <w:r>
        <w:t xml:space="preserve"> </w:t>
      </w:r>
      <w:r>
        <w:t xml:space="preserve">(Fitzcharles e Clauw, 2021, PMID 34062144). È l’ancora più autorevole del documento, e non riguarda le nostre mani.</w:t>
      </w:r>
    </w:p>
    <w:p>
      <w:pPr>
        <w:pStyle w:val="BodyText"/>
      </w:pPr>
      <w:r>
        <w:rPr>
          <w:b/>
          <w:bCs/>
        </w:rPr>
        <w:t xml:space="preserve">L’ancora clinica sulla terapia manuale — Adelaida María Castro-Sánchez</w:t>
      </w:r>
      <w:r>
        <w:t xml:space="preserve">, Universidad de Almería. Due studi: rilascio miofasciale su 86 pazienti per venti settimane, con miglioramento di dolore, funzione e gravità clinica che a un anno restava solo su punti isolati (PMID 21673013); terapia craniosacrale su 92 pazienti, con riduzione del dolore in 13 dei 18 punti e variazione degli indici temporali di variabilità cardiaca (PMID 20702514).</w:t>
      </w:r>
    </w:p>
    <w:p>
      <w:pPr>
        <w:pStyle w:val="BodyText"/>
      </w:pPr>
      <w:r>
        <w:rPr>
          <w:b/>
          <w:bCs/>
        </w:rPr>
        <w:t xml:space="preserve">I suoi limiti, dichiarati:</w:t>
      </w:r>
      <w:r>
        <w:t xml:space="preserve"> </w:t>
      </w:r>
      <w:r>
        <w:t xml:space="preserve">un solo centro; confronti non manuali, cioè elettroterapia e magnetoterapia spente, che sono un finto trattamento che il paziente distingue; effetti molto ridotti a un anno; nessuna replica indipendente.</w:t>
      </w:r>
    </w:p>
    <w:p>
      <w:pPr>
        <w:pStyle w:val="BodyText"/>
      </w:pPr>
      <w:r>
        <w:t xml:space="preserve">E due limiti che riguardano l’impianto di questo documento. Il secondo studio è di</w:t>
      </w:r>
      <w:r>
        <w:t xml:space="preserve"> </w:t>
      </w:r>
      <w:r>
        <w:rPr>
          <w:b/>
          <w:bCs/>
        </w:rPr>
        <w:t xml:space="preserve">terapia craniosacrale</w:t>
      </w:r>
      <w:r>
        <w:t xml:space="preserve">, che sta fuori dai cinque modelli e non ha un meccanismo sostenuto; il suo esito principale è misurato nella conta dei punti dolorosi, cioè nell’unità che questa Bibbia dichiara abbandonata in tre capitoli diversi. E i suoi indici di variabilità cardiaca sono indici temporali da Holter, non la componente ad alta frequenza su cui poggia Tracy 2016. Chi volesse un’ancora più stretta tenga il solo studio sul rilascio miofasciale.</w:t>
      </w:r>
    </w:p>
    <w:p>
      <w:pPr>
        <w:pStyle w:val="BodyText"/>
      </w:pPr>
      <w:r>
        <w:rPr>
          <w:b/>
          <w:bCs/>
        </w:rPr>
        <w:t xml:space="preserve">La dichiarazione che viene per prima:</w:t>
      </w:r>
      <w:r>
        <w:t xml:space="preserve"> </w:t>
      </w:r>
      <w:r>
        <w:t xml:space="preserve">la seconda ancora è molto meno autorevole della prima, e lo studio metodologicamente migliore sul nostro gesto non è suo ed è negativo.</w:t>
      </w:r>
    </w:p>
    <w:bookmarkEnd w:id="59"/>
    <w:bookmarkStart w:id="60" w:name="X1ffc23565c93cf4265bb254299a53c5c5a4cbf2"/>
    <w:p>
      <w:pPr>
        <w:pStyle w:val="Heading3"/>
      </w:pPr>
      <w:r>
        <w:t xml:space="preserve">Perché due sintesi dicono cose opposte, e quale pesa</w:t>
      </w:r>
    </w:p>
    <w:p>
      <w:pPr>
        <w:pStyle w:val="FirstParagraph"/>
      </w:pPr>
      <w:r>
        <w:t xml:space="preserve">Non è vero che la letteratura sulla terapia manuale qui sia tutta negativa, e nasconderlo sarebbe disonesto quanto gonfiarla.</w:t>
      </w:r>
    </w:p>
    <w:p>
      <w:pPr>
        <w:pStyle w:val="BodyText"/>
      </w:pPr>
      <w:r>
        <w:t xml:space="preserve">La revisione sistematica sul rilascio miofasciale raccoglie sei studi e 279 partecipanti. Trova un effetto grande sul dolore a fine trattamento (−0,81, da −1,15 a −0,47), e moderato a sei mesi (Ughreja, 2021, PMID 34507243). Lo studio con finto trattamento sull’osteopatia, su 101 pazienti, non trova niente (Coste, 2021, PMID 33948127).</w:t>
      </w:r>
    </w:p>
    <w:p>
      <w:pPr>
        <w:pStyle w:val="BodyText"/>
      </w:pPr>
      <w:r>
        <w:rPr>
          <w:b/>
          <w:bCs/>
        </w:rPr>
        <w:t xml:space="preserve">Per te:</w:t>
      </w:r>
      <w:r>
        <w:t xml:space="preserve"> </w:t>
      </w:r>
      <w:r>
        <w:t xml:space="preserve">il numero che ti riguarda è il secondo, e la ragione è nel disegno, non nella tecnica. Nella revisione positiva i confronti includono anche il</w:t>
      </w:r>
      <w:r>
        <w:t xml:space="preserve"> </w:t>
      </w:r>
      <w:r>
        <w:rPr>
          <w:b/>
          <w:bCs/>
        </w:rPr>
        <w:t xml:space="preserve">non trattamento</w:t>
      </w:r>
      <w:r>
        <w:t xml:space="preserve">, gli studi vengono in larga parte da uno stesso gruppo, e gli esiti sono tutti autocompilati. Lo studio negativo confronta il gesto con un finto gesto della stessa durata, la stessa relazione e le aspettative misurate. In una condizione in cui l’aspettativa predice l’esito riferito, quella differenza di disegno è esattamente ciò che si vuole misurare: quando due sintesi discordano, pesa quella che ha controllato la variabile che conta.</w:t>
      </w:r>
    </w:p>
    <w:bookmarkEnd w:id="60"/>
    <w:bookmarkStart w:id="61" w:name="i-tre-cerchi"/>
    <w:p>
      <w:pPr>
        <w:pStyle w:val="Heading3"/>
      </w:pPr>
      <w:r>
        <w:t xml:space="preserve">I tre cerchi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Cerchio</w:t>
            </w:r>
          </w:p>
        </w:tc>
        <w:tc>
          <w:tcPr/>
          <w:p>
            <w:pPr>
              <w:pStyle w:val="Compact"/>
            </w:pPr>
            <w:r>
              <w:t xml:space="preserve">Cosa contiene qui</w:t>
            </w:r>
          </w:p>
        </w:tc>
        <w:tc>
          <w:tcPr/>
          <w:p>
            <w:pPr>
              <w:pStyle w:val="Compact"/>
            </w:pPr>
            <w:r>
              <w:t xml:space="preserve">Cosa può reggere</w:t>
            </w:r>
          </w:p>
        </w:tc>
      </w:tr>
      <w:tr>
        <w:tc>
          <w:tcPr/>
          <w:p>
            <w:pPr>
              <w:pStyle w:val="Compact"/>
            </w:pPr>
            <w:r>
              <w:t xml:space="preserve">1 — Specifico</w:t>
            </w:r>
          </w:p>
        </w:tc>
        <w:tc>
          <w:tcPr/>
          <w:p>
            <w:pPr>
              <w:pStyle w:val="Compact"/>
            </w:pPr>
            <w:r>
              <w:t xml:space="preserve">studi su fibromialgia: esercizio, farmaci, terapia manuale</w:t>
            </w:r>
          </w:p>
        </w:tc>
        <w:tc>
          <w:tcPr/>
          <w:p>
            <w:pPr>
              <w:pStyle w:val="Compact"/>
            </w:pPr>
            <w:r>
              <w:t xml:space="preserve">DIMOSTRATO su una leva</w:t>
            </w:r>
          </w:p>
        </w:tc>
      </w:tr>
      <w:tr>
        <w:tc>
          <w:tcPr/>
          <w:p>
            <w:pPr>
              <w:pStyle w:val="Compact"/>
            </w:pPr>
            <w:r>
              <w:t xml:space="preserve">2 — Trasversale</w:t>
            </w:r>
          </w:p>
        </w:tc>
        <w:tc>
          <w:tcPr/>
          <w:p>
            <w:pPr>
              <w:pStyle w:val="Compact"/>
            </w:pPr>
            <w:r>
              <w:t xml:space="preserve">ipoalgesia da terapia manuale, autonomico, sonno-dolore</w:t>
            </w:r>
          </w:p>
        </w:tc>
        <w:tc>
          <w:tcPr/>
          <w:p>
            <w:pPr>
              <w:pStyle w:val="Compact"/>
            </w:pPr>
            <w:r>
              <w:t xml:space="preserve">DIMOSTRATO su un meccanismo</w:t>
            </w:r>
          </w:p>
        </w:tc>
      </w:tr>
      <w:tr>
        <w:tc>
          <w:tcPr/>
          <w:p>
            <w:pPr>
              <w:pStyle w:val="Compact"/>
            </w:pPr>
            <w:r>
              <w:t xml:space="preserve">3 — Fisiologico</w:t>
            </w:r>
          </w:p>
        </w:tc>
        <w:tc>
          <w:tcPr/>
          <w:p>
            <w:pPr>
              <w:pStyle w:val="Compact"/>
            </w:pPr>
            <w:r>
              <w:t xml:space="preserve">amplificazione centrale, piccole fibre, anastomosi del palmo</w:t>
            </w:r>
          </w:p>
        </w:tc>
        <w:tc>
          <w:tcPr/>
          <w:p>
            <w:pPr>
              <w:pStyle w:val="Compact"/>
            </w:pPr>
            <w:r>
              <w:t xml:space="preserve">il razionale, mai l’efficacia</w:t>
            </w:r>
          </w:p>
        </w:tc>
      </w:tr>
    </w:tbl>
    <w:p>
      <w:pPr>
        <w:pStyle w:val="BlockText"/>
      </w:pPr>
      <w:r>
        <w:rPr>
          <w:b/>
          <w:bCs/>
        </w:rPr>
        <w:t xml:space="preserve">La regola del ponte.</w:t>
      </w:r>
      <w:r>
        <w:t xml:space="preserve"> </w:t>
      </w:r>
      <w:r>
        <w:t xml:space="preserve">Le prove del cerchio 2 alzano l’etichetta del</w:t>
      </w:r>
      <w:r>
        <w:t xml:space="preserve"> </w:t>
      </w:r>
      <w:r>
        <w:rPr>
          <w:b/>
          <w:bCs/>
        </w:rPr>
        <w:t xml:space="preserve">meccanismo</w:t>
      </w:r>
      <w:r>
        <w:t xml:space="preserve">, mai quella della</w:t>
      </w:r>
      <w:r>
        <w:t xml:space="preserve"> </w:t>
      </w:r>
      <w:r>
        <w:rPr>
          <w:b/>
          <w:bCs/>
        </w:rPr>
        <w:t xml:space="preserve">leva</w:t>
      </w:r>
      <w:r>
        <w:t xml:space="preserve"> </w:t>
      </w:r>
      <w:r>
        <w:t xml:space="preserve">su questa condizione. Ogni fonte del cerchio 2 porta con sé la frase che dichiara il salto:</w:t>
      </w:r>
      <w:r>
        <w:t xml:space="preserve"> </w:t>
      </w:r>
      <w:r>
        <w:rPr>
          <w:i/>
          <w:iCs/>
        </w:rPr>
        <w:t xml:space="preserve">«misurato su [chi], non su pazienti con questa condizione»</w:t>
      </w:r>
      <w:r>
        <w:t xml:space="preserve">. Senza quella riga una catena fisiologica elegante diventa la premessa di una deduzione falsa, ed è il primo bersaglio di un collega evidence-based.</w:t>
      </w:r>
    </w:p>
    <w:p>
      <w:pPr>
        <w:pStyle w:val="FirstParagraph"/>
      </w:pPr>
      <w:r>
        <w:t xml:space="preserve">Su questa condizione il cerchio 1</w:t>
      </w:r>
      <w:r>
        <w:t xml:space="preserve"> </w:t>
      </w:r>
      <w:r>
        <w:rPr>
          <w:b/>
          <w:bCs/>
        </w:rPr>
        <w:t xml:space="preserve">non è vuoto: è pieno e diviso.</w:t>
      </w:r>
      <w:r>
        <w:t xml:space="preserve"> </w:t>
      </w:r>
      <w:r>
        <w:t xml:space="preserve">È favorevole sugli strumenti che il paziente usa da solo, e sfavorevole sul gesto che facciamo noi. È una configurazione diversa da quella della maggior parte delle Bibbie, e cambia cosa si può dire.</w:t>
      </w:r>
    </w:p>
    <w:bookmarkEnd w:id="61"/>
    <w:bookmarkStart w:id="62"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Coste, 2021 · c1 (33948127)</w:t>
            </w:r>
          </w:p>
        </w:tc>
        <w:tc>
          <w:tcPr/>
          <w:p>
            <w:pPr>
              <w:pStyle w:val="Compact"/>
            </w:pPr>
            <w:r>
              <w:t xml:space="preserve">Osteopatia contro finto trattamento, 101 pazienti, 6 sedute</w:t>
            </w:r>
          </w:p>
        </w:tc>
        <w:tc>
          <w:tcPr/>
          <w:p>
            <w:pPr>
              <w:pStyle w:val="Compact"/>
            </w:pPr>
            <w:r>
              <w:t xml:space="preserve">Dichiarare per primo che il gesto globale non regge, e spostare il bersaglio su ciò che misuri</w:t>
            </w:r>
          </w:p>
        </w:tc>
      </w:tr>
      <w:tr>
        <w:tc>
          <w:tcPr/>
          <w:p>
            <w:pPr>
              <w:pStyle w:val="Compact"/>
            </w:pPr>
            <w:r>
              <w:t xml:space="preserve">Gracely, 2002 · c3 (12115241)</w:t>
            </w:r>
          </w:p>
        </w:tc>
        <w:tc>
          <w:tcPr/>
          <w:p>
            <w:pPr>
              <w:pStyle w:val="Compact"/>
            </w:pPr>
            <w:r>
              <w:t xml:space="preserve">Attivazione cerebrale a parità di pressione, 16 contro 16</w:t>
            </w:r>
          </w:p>
        </w:tc>
        <w:tc>
          <w:tcPr/>
          <w:p>
            <w:pPr>
              <w:pStyle w:val="Compact"/>
            </w:pPr>
            <w:r>
              <w:t xml:space="preserve">Dire al paziente che il dolore è reale e misurato</w:t>
            </w:r>
          </w:p>
        </w:tc>
      </w:tr>
      <w:tr>
        <w:tc>
          <w:tcPr/>
          <w:p>
            <w:pPr>
              <w:pStyle w:val="Compact"/>
            </w:pPr>
            <w:r>
              <w:t xml:space="preserve">Bidonde, 2017 · c1 (28636204)</w:t>
            </w:r>
          </w:p>
        </w:tc>
        <w:tc>
          <w:tcPr/>
          <w:p>
            <w:pPr>
              <w:pStyle w:val="Compact"/>
            </w:pPr>
            <w:r>
              <w:t xml:space="preserve">Esercizio aerobico contro nessun esercizio, 13 studi, 839 persone</w:t>
            </w:r>
          </w:p>
        </w:tc>
        <w:tc>
          <w:tcPr/>
          <w:p>
            <w:pPr>
              <w:pStyle w:val="Compact"/>
            </w:pPr>
            <w:r>
              <w:t xml:space="preserve">Mettere il movimento graduato al centro di quello che insegni</w:t>
            </w:r>
          </w:p>
        </w:tc>
      </w:tr>
      <w:tr>
        <w:tc>
          <w:tcPr/>
          <w:p>
            <w:pPr>
              <w:pStyle w:val="Compact"/>
            </w:pPr>
            <w:r>
              <w:t xml:space="preserve">Macfarlane, 2017 · c1 (27377815)</w:t>
            </w:r>
          </w:p>
        </w:tc>
        <w:tc>
          <w:tcPr/>
          <w:p>
            <w:pPr>
              <w:pStyle w:val="Compact"/>
            </w:pPr>
            <w:r>
              <w:t xml:space="preserve">107 revisioni valutate con metodo GRADE</w:t>
            </w:r>
          </w:p>
        </w:tc>
        <w:tc>
          <w:tcPr/>
          <w:p>
            <w:pPr>
              <w:pStyle w:val="Compact"/>
            </w:pPr>
            <w:r>
              <w:t xml:space="preserve">Sapere che l’esercizio è l’unica raccomandazione forte, e tutto il resto è debole</w:t>
            </w:r>
          </w:p>
        </w:tc>
      </w:tr>
      <w:tr>
        <w:tc>
          <w:tcPr/>
          <w:p>
            <w:pPr>
              <w:pStyle w:val="Compact"/>
            </w:pPr>
            <w:r>
              <w:t xml:space="preserve">Moldofsky, 1976 · c2 (176677)</w:t>
            </w:r>
          </w:p>
        </w:tc>
        <w:tc>
          <w:tcPr/>
          <w:p>
            <w:pPr>
              <w:pStyle w:val="Compact"/>
            </w:pPr>
            <w:r>
              <w:t xml:space="preserve">Privazione selettiva di sonno profondo in volontari sani</w:t>
            </w:r>
          </w:p>
        </w:tc>
        <w:tc>
          <w:tcPr/>
          <w:p>
            <w:pPr>
              <w:pStyle w:val="Compact"/>
            </w:pPr>
            <w:r>
              <w:t xml:space="preserve">Interrogare il sonno per primo, sapendo che la freccia va da lì al dolore</w:t>
            </w:r>
          </w:p>
        </w:tc>
      </w:tr>
      <w:tr>
        <w:tc>
          <w:tcPr/>
          <w:p>
            <w:pPr>
              <w:pStyle w:val="Compact"/>
            </w:pPr>
            <w:r>
              <w:t xml:space="preserve">Tracy, 2016 · c2 (26431423)</w:t>
            </w:r>
          </w:p>
        </w:tc>
        <w:tc>
          <w:tcPr/>
          <w:p>
            <w:pPr>
              <w:pStyle w:val="Compact"/>
            </w:pPr>
            <w:r>
              <w:t xml:space="preserve">Variabilità cardiaca: 51 studi, 26 nelle meta-analisi</w:t>
            </w:r>
          </w:p>
        </w:tc>
        <w:tc>
          <w:tcPr/>
          <w:p>
            <w:pPr>
              <w:pStyle w:val="Compact"/>
            </w:pPr>
            <w:r>
              <w:t xml:space="preserve">Mettere il piano autonomico in cima all’indagine — misurato su dolore cronico in generale e trainato dagli studi su questa condizione, non su un trattamento manuale</w:t>
            </w:r>
          </w:p>
        </w:tc>
      </w:tr>
      <w:tr>
        <w:tc>
          <w:tcPr/>
          <w:p>
            <w:pPr>
              <w:pStyle w:val="Compact"/>
            </w:pPr>
            <w:r>
              <w:t xml:space="preserve">Coronado, 2012 · c2 (22296867)</w:t>
            </w:r>
          </w:p>
        </w:tc>
        <w:tc>
          <w:tcPr/>
          <w:p>
            <w:pPr>
              <w:pStyle w:val="Compact"/>
            </w:pPr>
            <w:r>
              <w:t xml:space="preserve">Soglia di pressione dopo manipolazione: 20 studi nella revisione, 10 nelle meta-analisi, 4 sui siti remoti</w:t>
            </w:r>
          </w:p>
        </w:tc>
        <w:tc>
          <w:tcPr/>
          <w:p>
            <w:pPr>
              <w:pStyle w:val="Compact"/>
            </w:pPr>
            <w:r>
              <w:t xml:space="preserve">Scegliere un marker su sito remoto, sapendo che l’effetto è piccolo e misurato su dolore muscolo-scheletrico vario</w:t>
            </w:r>
          </w:p>
        </w:tc>
      </w:tr>
    </w:tbl>
    <w:p>
      <w:pPr>
        <w:pStyle w:val="BodyText"/>
      </w:pPr>
      <w:r>
        <w:rPr>
          <w:i/>
          <w:iCs/>
        </w:rPr>
        <w:t xml:space="preserve">Legenda:</w:t>
      </w:r>
      <w:r>
        <w:rPr>
          <w:i/>
          <w:iCs/>
        </w:rPr>
        <w:t xml:space="preserve"> </w:t>
      </w:r>
      <w:r>
        <w:rPr>
          <w:rStyle w:val="VerbatimChar"/>
          <w:i/>
          <w:iCs/>
        </w:rPr>
        <w:t xml:space="preserve">c1</w:t>
      </w:r>
      <w:r>
        <w:rPr>
          <w:i/>
          <w:iCs/>
        </w:rPr>
        <w:t xml:space="preserve"> </w:t>
      </w:r>
      <w:r>
        <w:rPr>
          <w:i/>
          <w:iCs/>
        </w:rPr>
        <w:t xml:space="preserve">= cerchio specifico sulla condizione ·</w:t>
      </w:r>
      <w:r>
        <w:rPr>
          <w:i/>
          <w:iCs/>
        </w:rPr>
        <w:t xml:space="preserve"> </w:t>
      </w:r>
      <w:r>
        <w:rPr>
          <w:rStyle w:val="VerbatimChar"/>
          <w:i/>
          <w:iCs/>
        </w:rPr>
        <w:t xml:space="preserve">c2</w:t>
      </w:r>
      <w:r>
        <w:rPr>
          <w:i/>
          <w:iCs/>
        </w:rPr>
        <w:t xml:space="preserve"> </w:t>
      </w:r>
      <w:r>
        <w:rPr>
          <w:i/>
          <w:iCs/>
        </w:rPr>
        <w:t xml:space="preserve">= cerchio trasversale sul meccanismo ·</w:t>
      </w:r>
      <w:r>
        <w:rPr>
          <w:i/>
          <w:iCs/>
        </w:rPr>
        <w:t xml:space="preserve"> </w:t>
      </w:r>
      <w:r>
        <w:rPr>
          <w:rStyle w:val="VerbatimChar"/>
          <w:i/>
          <w:iCs/>
        </w:rPr>
        <w:t xml:space="preserve">c3</w:t>
      </w:r>
      <w:r>
        <w:rPr>
          <w:i/>
          <w:iCs/>
        </w:rPr>
        <w:t xml:space="preserve"> </w:t>
      </w:r>
      <w:r>
        <w:rPr>
          <w:i/>
          <w:iCs/>
        </w:rPr>
        <w:t xml:space="preserve">= fisiologia di base. Attenzione: il cerchio 1 di questa condizione è ricco, ma il cerchio 1</w:t>
      </w:r>
      <w:r>
        <w:rPr>
          <w:i/>
          <w:iCs/>
        </w:rPr>
        <w:t xml:space="preserve"> </w:t>
      </w:r>
      <w:r>
        <w:rPr>
          <w:b/>
          <w:bCs/>
          <w:i/>
          <w:iCs/>
        </w:rPr>
        <w:t xml:space="preserve">delle nostre mani</w:t>
      </w:r>
      <w:r>
        <w:rPr>
          <w:i/>
          <w:iCs/>
        </w:rPr>
        <w:t xml:space="preserve"> </w:t>
      </w:r>
      <w:r>
        <w:rPr>
          <w:i/>
          <w:iCs/>
        </w:rPr>
        <w:t xml:space="preserve">è composto da pochissimi studi, e il migliore è negativo.</w:t>
      </w:r>
    </w:p>
    <w:bookmarkEnd w:id="62"/>
    <w:bookmarkStart w:id="63" w:name="cosa-possiamo-dire"/>
    <w:p>
      <w:pPr>
        <w:pStyle w:val="Heading3"/>
      </w:pPr>
      <w:r>
        <w:t xml:space="preserve">Cosa possiamo dire</w:t>
      </w:r>
    </w:p>
    <w:p>
      <w:pPr>
        <w:pStyle w:val="Compact"/>
        <w:numPr>
          <w:ilvl w:val="0"/>
          <w:numId w:val="1030"/>
        </w:numPr>
      </w:pPr>
      <w:r>
        <w:t xml:space="preserve">Che il dolore di questi pazienti nasce da un’elaborazione alterata, misurata direttamente nell’uomo.</w:t>
      </w:r>
    </w:p>
    <w:p>
      <w:pPr>
        <w:pStyle w:val="Compact"/>
        <w:numPr>
          <w:ilvl w:val="0"/>
          <w:numId w:val="1030"/>
        </w:numPr>
      </w:pPr>
      <w:r>
        <w:t xml:space="preserve">Che il sonno disturbato precede e peggiora il dolore più di quanto il dolore preceda il sonno disturbato.</w:t>
      </w:r>
    </w:p>
    <w:p>
      <w:pPr>
        <w:pStyle w:val="Compact"/>
        <w:numPr>
          <w:ilvl w:val="0"/>
          <w:numId w:val="1030"/>
        </w:numPr>
      </w:pPr>
      <w:r>
        <w:t xml:space="preserve">Che l’esercizio graduato migliora la qualità di vita, il dolore e la funzione, ed è l’unico intervento con una raccomandazione forte.</w:t>
      </w:r>
    </w:p>
    <w:p>
      <w:pPr>
        <w:pStyle w:val="Compact"/>
        <w:numPr>
          <w:ilvl w:val="0"/>
          <w:numId w:val="1030"/>
        </w:numPr>
      </w:pPr>
      <w:r>
        <w:t xml:space="preserve">Che il tai chi, confrontato direttamente con l’esercizio aerobico a pari intensità e durata, ha prodotto un risultato migliore.</w:t>
      </w:r>
    </w:p>
    <w:p>
      <w:pPr>
        <w:pStyle w:val="Compact"/>
        <w:numPr>
          <w:ilvl w:val="0"/>
          <w:numId w:val="1030"/>
        </w:numPr>
      </w:pPr>
      <w:r>
        <w:t xml:space="preserve">Che l’aspettativa del paziente predice il dolore riferito durante un ciclo di trattamento manuale.</w:t>
      </w:r>
    </w:p>
    <w:p>
      <w:pPr>
        <w:pStyle w:val="Compact"/>
        <w:numPr>
          <w:ilvl w:val="0"/>
          <w:numId w:val="1030"/>
        </w:numPr>
      </w:pPr>
      <w:r>
        <w:t xml:space="preserve">Che il trattamento cognitivo-comportamentale dell’insonnia migliora sonno, dolore, ansia e depressione, con prove di qualità da molto bassa a bassa.</w:t>
      </w:r>
    </w:p>
    <w:p>
      <w:pPr>
        <w:pStyle w:val="Compact"/>
        <w:numPr>
          <w:ilvl w:val="0"/>
          <w:numId w:val="1030"/>
        </w:numPr>
      </w:pPr>
      <w:r>
        <w:t xml:space="preserve">Che sul rilascio miofasciale esistono studi con risultato favorevole, che le sintesi non concordano fra loro, e che la discordanza si spiega con il disegno.</w:t>
      </w:r>
    </w:p>
    <w:p>
      <w:pPr>
        <w:pStyle w:val="Compact"/>
        <w:numPr>
          <w:ilvl w:val="0"/>
          <w:numId w:val="1030"/>
        </w:numPr>
      </w:pPr>
      <w:r>
        <w:t xml:space="preserve">Che gli interventi osteopatici manuali riducono la depressione rispetto al finto trattamento o al nessun trattamento, con effetto maggiore nelle popolazioni con dolore.</w:t>
      </w:r>
    </w:p>
    <w:p>
      <w:pPr>
        <w:pStyle w:val="Compact"/>
        <w:numPr>
          <w:ilvl w:val="0"/>
          <w:numId w:val="1030"/>
        </w:numPr>
      </w:pPr>
      <w:r>
        <w:t xml:space="preserve">Che una quota reale di pazienti esce dai criteri o migliora da sola.</w:t>
      </w:r>
    </w:p>
    <w:bookmarkEnd w:id="63"/>
    <w:bookmarkStart w:id="64" w:name="cosa-non-possiamo-dire"/>
    <w:p>
      <w:pPr>
        <w:pStyle w:val="Heading3"/>
      </w:pPr>
      <w:r>
        <w:t xml:space="preserve">Cosa non possiamo dire</w:t>
      </w:r>
    </w:p>
    <w:p>
      <w:pPr>
        <w:pStyle w:val="Compact"/>
        <w:numPr>
          <w:ilvl w:val="0"/>
          <w:numId w:val="1031"/>
        </w:numPr>
      </w:pPr>
      <w:r>
        <w:t xml:space="preserve">Che il trattamento osteopatico riduca il dolore della fibromialgia. Lo studio randomizzato con finto trattamento dice il contrario. E la sintesi di ventisette revisioni sistematiche colloca la fibromialgia fra le condizioni in cui il trattamento osteopatico</w:t>
      </w:r>
      <w:r>
        <w:t xml:space="preserve"> </w:t>
      </w:r>
      <w:r>
        <w:rPr>
          <w:b/>
          <w:bCs/>
        </w:rPr>
        <w:t xml:space="preserve">non è risultato efficace</w:t>
      </w:r>
      <w:r>
        <w:t xml:space="preserve"> </w:t>
      </w:r>
      <w:r>
        <w:t xml:space="preserve">(Zipp, 2025, PMID 40325655).</w:t>
      </w:r>
    </w:p>
    <w:p>
      <w:pPr>
        <w:pStyle w:val="Compact"/>
        <w:numPr>
          <w:ilvl w:val="0"/>
          <w:numId w:val="1031"/>
        </w:numPr>
      </w:pPr>
      <w:r>
        <w:t xml:space="preserve">Che le nostre mani abbassino lo stato di attivazione. Sulla mobilizzazione toracica la sintesi raccoglie venti studi e 863 partecipanti, quindici dei quali nelle meta-analisi. Non trovano nessun effetto sui marcatori autonomici, e la direzione del cambiamento è ambigua (Hansen, 2025, PMID 40232939).</w:t>
      </w:r>
      <w:r>
        <w:t xml:space="preserve"> </w:t>
      </w:r>
      <w:r>
        <w:rPr>
          <w:i/>
          <w:iCs/>
        </w:rPr>
        <w:t xml:space="preserve">Misurato su mobilizzazione toracica in partecipanti sintomatici e asintomatici, non su pazienti con fibromialgia.</w:t>
      </w:r>
    </w:p>
    <w:p>
      <w:pPr>
        <w:pStyle w:val="Compact"/>
        <w:numPr>
          <w:ilvl w:val="0"/>
          <w:numId w:val="1031"/>
        </w:numPr>
      </w:pPr>
      <w:r>
        <w:t xml:space="preserve">Che il trattamento manuale migliori il sonno di questi pazienti. La meta-analisi sul massaggio raccoglie nove studi randomizzati e 404 pazienti. Trova un effetto su dolore, ansia e depressione, e</w:t>
      </w:r>
      <w:r>
        <w:t xml:space="preserve"> </w:t>
      </w:r>
      <w:r>
        <w:rPr>
          <w:b/>
          <w:bCs/>
        </w:rPr>
        <w:t xml:space="preserve">nessun effetto sul disturbo del sonno</w:t>
      </w:r>
      <w:r>
        <w:t xml:space="preserve"> </w:t>
      </w:r>
      <w:r>
        <w:t xml:space="preserve">(differenza standardizzata 0,19, intervallo da −0,38 a 0,75) (Li, 2014, PMID 24586677).</w:t>
      </w:r>
    </w:p>
    <w:p>
      <w:pPr>
        <w:pStyle w:val="Compact"/>
        <w:numPr>
          <w:ilvl w:val="0"/>
          <w:numId w:val="1031"/>
        </w:numPr>
      </w:pPr>
      <w:r>
        <w:t xml:space="preserve">Che ridurre un generatore regionale cambi il quadro diffuso: nessuno l’ha misurato.</w:t>
      </w:r>
    </w:p>
    <w:p>
      <w:pPr>
        <w:pStyle w:val="Compact"/>
        <w:numPr>
          <w:ilvl w:val="0"/>
          <w:numId w:val="1031"/>
        </w:numPr>
      </w:pPr>
      <w:r>
        <w:t xml:space="preserve">Che la dolorabilità che palpiamo indichi una patologia del tessuto sottostante.</w:t>
      </w:r>
    </w:p>
    <w:p>
      <w:pPr>
        <w:pStyle w:val="Compact"/>
        <w:numPr>
          <w:ilvl w:val="0"/>
          <w:numId w:val="1031"/>
        </w:numPr>
      </w:pPr>
      <w:r>
        <w:t xml:space="preserve">Che l’esercizio agisca qui alzando la soglia per via discendente: nei pazienti con dolore cronico l’ipoalgesia da esercizio non è dimostrata (Wewege e Jones, 2021, PMID 32599154).</w:t>
      </w:r>
    </w:p>
    <w:p>
      <w:pPr>
        <w:pStyle w:val="Compact"/>
        <w:numPr>
          <w:ilvl w:val="0"/>
          <w:numId w:val="1031"/>
        </w:numPr>
      </w:pPr>
      <w:r>
        <w:t xml:space="preserve">Che un peggioramento riferito dopo una seduta misuri il danno che abbiamo fatto: in questa popolazione due terzi dei pazienti riferiscono almeno un evento avverso anche con un trattamento inerte (Mitsikostas, 2012, PMID 21973313).</w:t>
      </w:r>
    </w:p>
    <w:bookmarkEnd w:id="64"/>
    <w:bookmarkStart w:id="65" w:name="quando-la-scienza-tace"/>
    <w:p>
      <w:pPr>
        <w:pStyle w:val="Heading3"/>
      </w:pPr>
      <w:r>
        <w:t xml:space="preserve">Quando la scienza tace</w:t>
      </w:r>
    </w:p>
    <w:p>
      <w:pPr>
        <w:pStyle w:val="FirstParagraph"/>
      </w:pPr>
      <w:r>
        <w:t xml:space="preserve">Su questa condizione la scienza non tace:</w:t>
      </w:r>
      <w:r>
        <w:t xml:space="preserve"> </w:t>
      </w:r>
      <w:r>
        <w:rPr>
          <w:b/>
          <w:bCs/>
        </w:rPr>
        <w:t xml:space="preserve">parla, e in parte dice di no.</w:t>
      </w:r>
      <w:r>
        <w:t xml:space="preserve"> </w:t>
      </w:r>
      <w:r>
        <w:t xml:space="preserve">I cinque punti restano, e cambiano di contenuto.</w:t>
      </w:r>
    </w:p>
    <w:p>
      <w:pPr>
        <w:pStyle w:val="BodyText"/>
      </w:pPr>
      <w:r>
        <w:rPr>
          <w:b/>
          <w:bCs/>
        </w:rPr>
        <w:t xml:space="preserve">1. Assenza di prove non è prova di assenza — ma qui in parte le prove ci sono.</w:t>
      </w:r>
      <w:r>
        <w:t xml:space="preserve"> </w:t>
      </w:r>
      <w:r>
        <w:t xml:space="preserve">Sul trattamento osteopatico</w:t>
      </w:r>
      <w:r>
        <w:t xml:space="preserve"> </w:t>
      </w:r>
      <w:r>
        <w:rPr>
          <w:b/>
          <w:bCs/>
        </w:rPr>
        <w:t xml:space="preserve">applicato al quadro nel suo insieme</w:t>
      </w:r>
      <w:r>
        <w:t xml:space="preserve"> </w:t>
      </w:r>
      <w:r>
        <w:t xml:space="preserve">esiste una prova, ed è negativa: non è un’assenza, è un risultato. Sul trattamento di un</w:t>
      </w:r>
      <w:r>
        <w:t xml:space="preserve"> </w:t>
      </w:r>
      <w:r>
        <w:rPr>
          <w:b/>
          <w:bCs/>
        </w:rPr>
        <w:t xml:space="preserve">generatore regionale identificato dentro un quadro diffuso</w:t>
      </w:r>
      <w:r>
        <w:t xml:space="preserve"> </w:t>
      </w:r>
      <w:r>
        <w:t xml:space="preserve">nessuno ha misurato niente, e lì l’assenza è vera. È la differenza fra un collega che ti ha risposto di no e uno a cui non hai ancora chiesto. Confondere i due stati rende inattendibile tutto il resto.</w:t>
      </w:r>
    </w:p>
    <w:p>
      <w:pPr>
        <w:pStyle w:val="BodyText"/>
      </w:pPr>
      <w:r>
        <w:rPr>
          <w:b/>
          <w:bCs/>
        </w:rPr>
        <w:t xml:space="preserve">2. Perché la letteratura è come è.</w:t>
      </w:r>
      <w:r>
        <w:t xml:space="preserve"> </w:t>
      </w:r>
      <w:r>
        <w:t xml:space="preserve">Non per mancanza di finanziamenti: sulla fibromialgia se ne spendono molti, e criteri di ingresso e scale di esito sono standardizzati da vent’anni. È come è perché</w:t>
      </w:r>
      <w:r>
        <w:t xml:space="preserve"> </w:t>
      </w:r>
      <w:r>
        <w:rPr>
          <w:b/>
          <w:bCs/>
        </w:rPr>
        <w:t xml:space="preserve">il disegno è difficile per noi</w:t>
      </w:r>
      <w:r>
        <w:t xml:space="preserve">. Un finto trattamento manuale credibile è quasi impossibile in pazienti con sensibilità al contatto alterata. Gli esiti sono tutti autocompilati, in una popolazione con aspettative fortissime. E l’aspettativa predice l’esito più del braccio di assegnazione. Aggiungi che questi studi arruolano quasi solo donne di un unico centro, e capisci perché le sintesi non concordano.</w:t>
      </w:r>
    </w:p>
    <w:p>
      <w:pPr>
        <w:pStyle w:val="BodyText"/>
      </w:pPr>
      <w:r>
        <w:rPr>
          <w:b/>
          <w:bCs/>
        </w:rPr>
        <w:t xml:space="preserve">3. Su cosa ti basi allora</w:t>
      </w:r>
      <w:r>
        <w:t xml:space="preserve">, in ordine di forza. Primo, il</w:t>
      </w:r>
      <w:r>
        <w:t xml:space="preserve"> </w:t>
      </w:r>
      <w:r>
        <w:rPr>
          <w:b/>
          <w:bCs/>
        </w:rPr>
        <w:t xml:space="preserve">meccanismo fisiologico</w:t>
      </w:r>
      <w:r>
        <w:t xml:space="preserve"> </w:t>
      </w:r>
      <w:r>
        <w:t xml:space="preserve">documentato: l’ingresso periferico entra in un sistema con il guadagno alzato, e ridurlo è l’unica cosa su cui le tue mani hanno una via anatomica. Secondo, il</w:t>
      </w:r>
      <w:r>
        <w:t xml:space="preserve"> </w:t>
      </w:r>
      <w:r>
        <w:rPr>
          <w:b/>
          <w:bCs/>
        </w:rPr>
        <w:t xml:space="preserve">ragionamento clinico</w:t>
      </w:r>
      <w:r>
        <w:t xml:space="preserve">, dichiarato come tale: il generatore identificato è un oggetto diverso dal quadro diffuso, e gli studi che ci smentiscono non hanno testato quello. Terzo, e decisiva, la</w:t>
      </w:r>
      <w:r>
        <w:t xml:space="preserve"> </w:t>
      </w:r>
      <w:r>
        <w:rPr>
          <w:b/>
          <w:bCs/>
        </w:rPr>
        <w:t xml:space="preserve">verifica sul singolo paziente</w:t>
      </w:r>
      <w:r>
        <w:t xml:space="preserve">: marker scelto prima, soglia dichiarata, piano non trattato.</w:t>
      </w:r>
    </w:p>
    <w:p>
      <w:pPr>
        <w:pStyle w:val="BodyText"/>
      </w:pPr>
      <w:r>
        <w:rPr>
          <w:b/>
          <w:bCs/>
        </w:rPr>
        <w:t xml:space="preserve">4. Cosa separa questo dal pensiero magico.</w:t>
      </w:r>
      <w:r>
        <w:t xml:space="preserve"> </w:t>
      </w:r>
      <w:r>
        <w:t xml:space="preserve">La verifica, e solo quella. Per due ragioni misurate.</w:t>
      </w:r>
    </w:p>
    <w:p>
      <w:pPr>
        <w:pStyle w:val="BodyText"/>
      </w:pPr>
      <w:r>
        <w:t xml:space="preserve">La prima: il quadro fluttua da solo, e non poco. In una coorte specialistica il 44% dei pazienti ha smesso di soddisfare i criteri almeno una volta (Walitt, 2011, PMID 21765102). E su diciotto studi randomizzati e 3.546 pazienti assegnati al placebo, il</w:t>
      </w:r>
      <w:r>
        <w:t xml:space="preserve"> </w:t>
      </w:r>
      <w:r>
        <w:rPr>
          <w:b/>
          <w:bCs/>
        </w:rPr>
        <w:t xml:space="preserve">18,6%</w:t>
      </w:r>
      <w:r>
        <w:t xml:space="preserve"> </w:t>
      </w:r>
      <w:r>
        <w:t xml:space="preserve">(da 17,4 a 19,9) ha ottenuto una riduzione del dolore di almeno metà</w:t>
      </w:r>
      <w:r>
        <w:t xml:space="preserve"> </w:t>
      </w:r>
      <w:r>
        <w:rPr>
          <w:b/>
          <w:bCs/>
        </w:rPr>
        <w:t xml:space="preserve">con il solo placebo</w:t>
      </w:r>
      <w:r>
        <w:t xml:space="preserve"> </w:t>
      </w:r>
      <w:r>
        <w:t xml:space="preserve">(Häuser, 2012, PMID 23137770).</w:t>
      </w:r>
      <w:r>
        <w:t xml:space="preserve"> </w:t>
      </w:r>
      <w:r>
        <w:rPr>
          <w:i/>
          <w:iCs/>
        </w:rPr>
        <w:t xml:space="preserve">Misurato con placebo orale in studi farmacologici su questi stessi pazienti, non dopo un trattamento manuale.</w:t>
      </w:r>
      <w:r>
        <w:t xml:space="preserve"> </w:t>
      </w:r>
      <w:r>
        <w:t xml:space="preserve">Quasi un paziente su cinque migliora di metà senza niente, quindi ogni miglioramento non ancorato a un marker è ambiguo.</w:t>
      </w:r>
    </w:p>
    <w:p>
      <w:pPr>
        <w:pStyle w:val="BodyText"/>
      </w:pPr>
      <w:r>
        <w:t xml:space="preserve">La seconda: l’aspettativa predice l’esito riferito, quindi il racconto del paziente non è una misura indipendente del tuo lavoro.</w:t>
      </w:r>
    </w:p>
    <w:p>
      <w:pPr>
        <w:pStyle w:val="BodyText"/>
      </w:pPr>
      <w:r>
        <w:t xml:space="preserve">Scegliere il marker prima e accettarne il verdetto è scienza applicata a un caso singolo. Sceglierlo dopo aver visto il paziente contento, no.</w:t>
      </w:r>
    </w:p>
    <w:p>
      <w:pPr>
        <w:pStyle w:val="BodyText"/>
      </w:pPr>
      <w:r>
        <w:rPr>
          <w:b/>
          <w:bCs/>
        </w:rPr>
        <w:t xml:space="preserve">5. Cosa questo non autorizza.</w:t>
      </w:r>
      <w:r>
        <w:t xml:space="preserve"> </w:t>
      </w:r>
      <w:r>
        <w:t xml:space="preserve">Non a promettere un esito. Non a scrivere PROBABILE dove c’è IPOTESI. Non a dire «gli studi lo confermano», che qui sarebbe falso in modo verificabile in dieci minuti. E non a tacere lo studio negativo: un paziente che lo scopre dopo aver pagato sei sedute non perde fiducia in te, la perde nella categoria.</w:t>
      </w:r>
    </w:p>
    <w:p>
      <w:pPr>
        <w:pStyle w:val="BodyText"/>
      </w:pPr>
      <w:r>
        <w:rPr>
          <w:b/>
          <w:bCs/>
        </w:rPr>
        <w:t xml:space="preserve">Le tre cose da ricordare, più una</w:t>
      </w:r>
    </w:p>
    <w:p>
      <w:pPr>
        <w:pStyle w:val="Compact"/>
        <w:numPr>
          <w:ilvl w:val="0"/>
          <w:numId w:val="1032"/>
        </w:numPr>
      </w:pPr>
      <w:r>
        <w:t xml:space="preserve">Il cerchio 1 è pieno e diviso: favorevole su quello che fa il paziente, sfavorevole su quello che facciamo noi.</w:t>
      </w:r>
    </w:p>
    <w:p>
      <w:pPr>
        <w:pStyle w:val="Compact"/>
        <w:numPr>
          <w:ilvl w:val="0"/>
          <w:numId w:val="1032"/>
        </w:numPr>
      </w:pPr>
      <w:r>
        <w:t xml:space="preserve">Sul gesto globale c’è una prova negativa; sul generatore regionale c’è un’assenza vera. Sono due stati diversi.</w:t>
      </w:r>
    </w:p>
    <w:p>
      <w:pPr>
        <w:pStyle w:val="Compact"/>
        <w:numPr>
          <w:ilvl w:val="0"/>
          <w:numId w:val="1032"/>
        </w:numPr>
      </w:pPr>
      <w:r>
        <w:t xml:space="preserve">La verifica sul singolo paziente non è un ripiego: su una condizione che fluttua e in cui l’aspettativa predice l’esito, è l’unica cosa che distingue un effetto da un racconto.</w:t>
      </w:r>
    </w:p>
    <w:p>
      <w:pPr>
        <w:pStyle w:val="Compact"/>
        <w:numPr>
          <w:ilvl w:val="0"/>
          <w:numId w:val="1032"/>
        </w:numPr>
      </w:pPr>
      <w:r>
        <w:rPr>
          <w:b/>
          <w:bCs/>
        </w:rPr>
        <w:t xml:space="preserve">Perché ci sei tu.</w:t>
      </w:r>
      <w:r>
        <w:t xml:space="preserve"> </w:t>
      </w:r>
      <w:r>
        <w:t xml:space="preserve">Restringe: nell’unico studio con finto trattamento la differenza sul dolore è stata di 2,2 mm su 100, e ventisette revisioni collocano la fibromialgia fra le condizioni senza beneficio (Coste, 2021, PMID 33948127; Zipp, 2025, PMID 40325655). Ti autorizza a dichiararlo per primo tu. Non a presentare il tuo trattamento come una terapia della fibromialgia.</w:t>
      </w:r>
    </w:p>
    <w:p>
      <w:r>
        <w:pict>
          <v:rect style="width:0;height:1.5pt" o:hralign="center" o:hrstd="t" o:hr="t"/>
        </w:pict>
      </w:r>
    </w:p>
    <w:bookmarkEnd w:id="65"/>
    <w:bookmarkEnd w:id="66"/>
    <w:bookmarkStart w:id="75"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tue mani non toccano il guadagno; toccano quello che ci entra dentro, e su una condizione così quel margine va nominato con precisione e non gonfiato.</w:t>
      </w:r>
    </w:p>
    <w:bookmarkStart w:id="67" w:name="X7b24e6ae9a1bd1d2ae9eefaef88af03186ef945"/>
    <w:p>
      <w:pPr>
        <w:pStyle w:val="Heading3"/>
      </w:pPr>
      <w:r>
        <w:t xml:space="preserve">Cosa non possono fare le mani, detto per primo</w:t>
      </w:r>
    </w:p>
    <w:p>
      <w:pPr>
        <w:pStyle w:val="FirstParagraph"/>
      </w:pPr>
      <w:r>
        <w:t xml:space="preserve">Non abbassano l’amplificazione centrale. Non riparano il sonno. Non sostituiscono l’esercizio, che è l’unica raccomandazione forte esistente. E sul gesto applicato al quadro nel suo insieme, la misura migliore che abbiamo dice che non funziona meglio di un finto trattamento.</w:t>
      </w:r>
    </w:p>
    <w:p>
      <w:pPr>
        <w:pStyle w:val="BodyText"/>
      </w:pPr>
      <w:r>
        <w:t xml:space="preserve">Quello che resta è il razionale che segue, meccanismo per meccanismo. È poco, ed è scritto per quello che è.</w:t>
      </w:r>
    </w:p>
    <w:bookmarkEnd w:id="67"/>
    <w:bookmarkStart w:id="68" w:name="X6b85f92a01011b636214be8ca8c31182ae04bcd"/>
    <w:p>
      <w:pPr>
        <w:pStyle w:val="Heading3"/>
      </w:pPr>
      <w:r>
        <w:t xml:space="preserve">Sul quinto meccanismo — l’ingresso periferico</w:t>
      </w:r>
    </w:p>
    <w:p>
      <w:pPr>
        <w:pStyle w:val="FirstParagraph"/>
      </w:pPr>
      <w:r>
        <w:rPr>
          <w:b/>
          <w:bCs/>
        </w:rPr>
        <w:t xml:space="preserve">Su cosa può agire una mano:</w:t>
      </w:r>
      <w:r>
        <w:t xml:space="preserve"> </w:t>
      </w:r>
      <w:r>
        <w:t xml:space="preserve">su un generatore regionale identificato — l’escursione di un distretto, un tessuto con una storia, un carico locale che si ripete.</w:t>
      </w:r>
      <w:r>
        <w:t xml:space="preserve"> </w:t>
      </w:r>
      <w:r>
        <w:rPr>
          <w:b/>
          <w:bCs/>
        </w:rPr>
        <w:t xml:space="preserve">Che effetto ci si aspetta:</w:t>
      </w:r>
      <w:r>
        <w:t xml:space="preserve"> </w:t>
      </w:r>
      <w:r>
        <w:t xml:space="preserve">meno ingresso nocicettivo da quella sede, in un sistema che amplifica. Non un cambiamento del quadro diffuso.</w:t>
      </w:r>
      <w:r>
        <w:t xml:space="preserve"> </w:t>
      </w:r>
      <w:r>
        <w:rPr>
          <w:b/>
          <w:bCs/>
        </w:rPr>
        <w:t xml:space="preserve">In quanto tempo si vedrebbe:</w:t>
      </w:r>
      <w:r>
        <w:t xml:space="preserve"> </w:t>
      </w:r>
      <w:r>
        <w:t xml:space="preserve">sul marker regionale, dentro la seduta; sul quadro generale, se mai, in settimane. E quel «se mai» non è modestia, è lo stato della prova.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l’effetto di questa scelta in questi pazienti, e sul gesto applicato al quadro intero la prova esiste ed è negativa (Coste, 2021, PMID 33948127). L’ipotesi è che quello studio abbia testato un oggetto diverso. È un’ipotesi, e resta tale finché qualcuno non la misura.</w:t>
      </w:r>
    </w:p>
    <w:bookmarkEnd w:id="68"/>
    <w:bookmarkStart w:id="69" w:name="X127efd735447593cde02abb0f03186ea691b4f0"/>
    <w:p>
      <w:pPr>
        <w:pStyle w:val="Heading3"/>
      </w:pPr>
      <w:r>
        <w:t xml:space="preserve">Sul terzo meccanismo — il livello di attivazione</w:t>
      </w:r>
    </w:p>
    <w:p>
      <w:pPr>
        <w:pStyle w:val="FirstParagraph"/>
      </w:pPr>
      <w:r>
        <w:rPr>
          <w:b/>
          <w:bCs/>
        </w:rPr>
        <w:t xml:space="preserve">Su cosa può agire una mano:</w:t>
      </w:r>
      <w:r>
        <w:t xml:space="preserve"> </w:t>
      </w:r>
      <w:r>
        <w:t xml:space="preserve">sul contatto stesso. Velocità, prevedibilità, pressione calibrata, ritmo che segue il respiro del paziente, tempo dedicato. E sulla</w:t>
      </w:r>
      <w:r>
        <w:t xml:space="preserve"> </w:t>
      </w:r>
      <w:r>
        <w:rPr>
          <w:b/>
          <w:bCs/>
        </w:rPr>
        <w:t xml:space="preserve">meccanica ventilatoria</w:t>
      </w:r>
      <w:r>
        <w:t xml:space="preserve"> </w:t>
      </w:r>
      <w:r>
        <w:t xml:space="preserve">come via d’accesso accessoria, con la stessa etichetta IPOTESI e con il limite di tolleranza dell’osso già dichiarato fra i modelli: il bersaglio resta l’assetto, non il diaframma.</w:t>
      </w:r>
      <w:r>
        <w:t xml:space="preserve"> </w:t>
      </w:r>
      <w:r>
        <w:rPr>
          <w:b/>
          <w:bCs/>
        </w:rPr>
        <w:t xml:space="preserve">Che effetto ci si aspetta:</w:t>
      </w:r>
      <w:r>
        <w:t xml:space="preserve"> </w:t>
      </w:r>
      <w:r>
        <w:t xml:space="preserve">uno stato diverso dentro la seduta. Non uno spostamento del tono di base.</w:t>
      </w:r>
      <w:r>
        <w:t xml:space="preserve"> </w:t>
      </w:r>
      <w:r>
        <w:rPr>
          <w:b/>
          <w:bCs/>
        </w:rPr>
        <w:t xml:space="preserve">In quanto tempo si vedrebbe:</w:t>
      </w:r>
      <w:r>
        <w:t xml:space="preserve"> </w:t>
      </w:r>
      <w:r>
        <w:t xml:space="preserve">dentro la seduta per lo stato; sulla soglia, se si sposta, in settimane e con la ripetizione.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E qui vanno tenute distinte due grandezze — lo</w:t>
      </w:r>
      <w:r>
        <w:t xml:space="preserve"> </w:t>
      </w:r>
      <w:r>
        <w:rPr>
          <w:b/>
          <w:bCs/>
        </w:rPr>
        <w:t xml:space="preserve">stato tonico</w:t>
      </w:r>
      <w:r>
        <w:t xml:space="preserve"> </w:t>
      </w:r>
      <w:r>
        <w:t xml:space="preserve">di attivazione e la</w:t>
      </w:r>
      <w:r>
        <w:t xml:space="preserve"> </w:t>
      </w:r>
      <w:r>
        <w:rPr>
          <w:b/>
          <w:bCs/>
        </w:rPr>
        <w:t xml:space="preserve">risposta allo stimolo</w:t>
      </w:r>
      <w:r>
        <w:t xml:space="preserve"> </w:t>
      </w:r>
      <w:r>
        <w:t xml:space="preserve">— perché il dato che circola come prova contraria misura la seconda. Sulla mobilizzazione toracica la sintesi raccoglie venti studi e 863 partecipanti, quindici dei quali nelle meta-analisi. Non trovano effetto sui marcatori autonomici, e la direzione resta ambigua (Hansen, 2025, PMID 40232939) —</w:t>
      </w:r>
      <w:r>
        <w:t xml:space="preserve"> </w:t>
      </w:r>
      <w:r>
        <w:rPr>
          <w:i/>
          <w:iCs/>
        </w:rPr>
        <w:t xml:space="preserve">misurato su mobilizzazione toracica in partecipanti sintomatici e asintomatici, non su pazienti con fibromialgia</w:t>
      </w:r>
      <w:r>
        <w:t xml:space="preserve">. Nella meta-analisi su venti studi randomizzati di interventi osteopatici la conduttanza cutanea</w:t>
      </w:r>
      <w:r>
        <w:t xml:space="preserve"> </w:t>
      </w:r>
      <w:r>
        <w:rPr>
          <w:b/>
          <w:bCs/>
        </w:rPr>
        <w:t xml:space="preserve">aumenta</w:t>
      </w:r>
      <w:r>
        <w:t xml:space="preserve">, ma quello è un indice della risposta allo stimolo, non del livello tonico (Gordon, 2025, PMID 39920074).</w:t>
      </w:r>
      <w:r>
        <w:t xml:space="preserve"> </w:t>
      </w:r>
      <w:r>
        <w:rPr>
          <w:b/>
          <w:bCs/>
        </w:rPr>
        <w:t xml:space="preserve">Sullo stato tonico, dopo trattamento manuale e in questi pazienti, l’unica misura pubblicata viene da un solo centro, con un confronto non manuale, su una tecnica che non è fra i cinque modelli:</w:t>
      </w:r>
      <w:r>
        <w:t xml:space="preserve"> </w:t>
      </w:r>
      <w:r>
        <w:t xml:space="preserve">venti settimane di terapia craniosacrale, con variazione degli indici temporali di variabilità cardiaca (Castro-Sánchez, 2011, PMID 20702514). Non regge da sola. Ma esiste, e va nominata.</w:t>
      </w:r>
    </w:p>
    <w:p>
      <w:pPr>
        <w:pStyle w:val="FirstParagraph"/>
      </w:pPr>
      <w:r>
        <w:rPr>
          <w:b/>
          <w:bCs/>
        </w:rPr>
        <w:t xml:space="preserve">Il meccanismo, però, non è nudo.</w:t>
      </w:r>
      <w:r>
        <w:t xml:space="preserve"> </w:t>
      </w:r>
      <w:r>
        <w:t xml:space="preserve">Il canale del tocco lento riduce la sommazione temporale del secondo dolore anche applicato sul lato opposto allo stimolo. Il picchiettare, invece, non la riduce (Meijer, 2024, PMID 38296996).</w:t>
      </w:r>
      <w:r>
        <w:t xml:space="preserve"> </w:t>
      </w:r>
      <w:r>
        <w:rPr>
          <w:i/>
          <w:iCs/>
        </w:rPr>
        <w:t xml:space="preserve">Misurato su 36 volontari sani e su dolore sperimentale, non su pazienti con fibromialgia.</w:t>
      </w:r>
      <w:r>
        <w:t xml:space="preserve"> </w:t>
      </w:r>
      <w:r>
        <w:t xml:space="preserve">Questo alza a</w:t>
      </w:r>
      <w:r>
        <w:t xml:space="preserve"> </w:t>
      </w:r>
      <w:r>
        <w:rPr>
          <w:b/>
          <w:bCs/>
        </w:rPr>
        <w:t xml:space="preserve">PROBABILE</w:t>
      </w:r>
      <w:r>
        <w:t xml:space="preserve"> </w:t>
      </w:r>
      <w:r>
        <w:rPr>
          <w:i/>
          <w:iCs/>
        </w:rPr>
        <w:t xml:space="preserve">(razionale forte, prove parziali)</w:t>
      </w:r>
      <w:r>
        <w:t xml:space="preserve"> </w:t>
      </w:r>
      <w:r>
        <w:t xml:space="preserve">il meccanismo del tocco lento.</w:t>
      </w:r>
      <w:r>
        <w:t xml:space="preserve"> </w:t>
      </w:r>
      <w:r>
        <w:rPr>
          <w:b/>
          <w:bCs/>
        </w:rPr>
        <w:t xml:space="preserve">Non tocca l’etichetta della leva</w:t>
      </w:r>
      <w:r>
        <w:t xml:space="preserve">, che resta</w:t>
      </w:r>
      <w:r>
        <w:t xml:space="preserve"> </w:t>
      </w:r>
      <w:r>
        <w:rPr>
          <w:b/>
          <w:bCs/>
        </w:rPr>
        <w:t xml:space="preserve">IPOTESI</w:t>
      </w:r>
      <w:r>
        <w:t xml:space="preserve"> </w:t>
      </w:r>
      <w:r>
        <w:rPr>
          <w:i/>
          <w:iCs/>
        </w:rPr>
        <w:t xml:space="preserve">(meccanismo coerente, nessuno studio)</w:t>
      </w:r>
      <w:r>
        <w:t xml:space="preserve">.</w:t>
      </w:r>
    </w:p>
    <w:p>
      <w:pPr>
        <w:pStyle w:val="BodyText"/>
      </w:pPr>
      <w:r>
        <w:rPr>
          <w:b/>
          <w:bCs/>
        </w:rPr>
        <w:t xml:space="preserve">Questa leva esiste ed è manuale.</w:t>
      </w:r>
      <w:r>
        <w:t xml:space="preserve"> </w:t>
      </w:r>
      <w:r>
        <w:t xml:space="preserve">Un sintomo agganciato al livello di attivazione non è un capolinea: è l’indicazione più chiara che esista per la leva che sull’attivazione agisce. Il paziente B del capitolo precedente è quello in cui hai</w:t>
      </w:r>
      <w:r>
        <w:t xml:space="preserve"> </w:t>
      </w:r>
      <w:r>
        <w:rPr>
          <w:b/>
          <w:bCs/>
        </w:rPr>
        <w:t xml:space="preserve">più</w:t>
      </w:r>
      <w:r>
        <w:t xml:space="preserve"> </w:t>
      </w:r>
      <w:r>
        <w:t xml:space="preserve">da fare, non meno — con questa etichetta, né una di più né una di meno.</w:t>
      </w:r>
    </w:p>
    <w:bookmarkEnd w:id="69"/>
    <w:bookmarkStart w:id="70" w:name="X29a033e73b252eeacc351994d422566a80d0dea"/>
    <w:p>
      <w:pPr>
        <w:pStyle w:val="Heading3"/>
      </w:pPr>
      <w:r>
        <w:t xml:space="preserve">Sul primo meccanismo — il guadagno centrale</w:t>
      </w:r>
    </w:p>
    <w:p>
      <w:pPr>
        <w:pStyle w:val="FirstParagraph"/>
      </w:pPr>
      <w:r>
        <w:rPr>
          <w:b/>
          <w:bCs/>
        </w:rPr>
        <w:t xml:space="preserve">Su cosa può agire una mano:</w:t>
      </w:r>
      <w:r>
        <w:t xml:space="preserve"> </w:t>
      </w:r>
      <w:r>
        <w:t xml:space="preserve">sulla soglia di pressione misurata a distanza dal punto trattato.</w:t>
      </w:r>
      <w:r>
        <w:t xml:space="preserve"> </w:t>
      </w:r>
      <w:r>
        <w:rPr>
          <w:b/>
          <w:bCs/>
        </w:rPr>
        <w:t xml:space="preserve">Che effetto ci si aspetta:</w:t>
      </w:r>
      <w:r>
        <w:t xml:space="preserve"> </w:t>
      </w:r>
      <w:r>
        <w:t xml:space="preserve">un innalzamento transitorio della soglia in siti remoti, cioè una modulazione centrale del guadagno.</w:t>
      </w:r>
      <w:r>
        <w:t xml:space="preserve"> </w:t>
      </w:r>
      <w:r>
        <w:rPr>
          <w:b/>
          <w:bCs/>
        </w:rPr>
        <w:t xml:space="preserve">In quanto tempo si vedrebbe:</w:t>
      </w:r>
      <w:r>
        <w:t xml:space="preserve"> </w:t>
      </w:r>
      <w:r>
        <w:t xml:space="preserve">immediatamente dopo il gesto.</w:t>
      </w:r>
    </w:p>
    <w:p>
      <w:pPr>
        <w:pStyle w:val="BlockText"/>
      </w:pPr>
      <w:r>
        <w:rPr>
          <w:b/>
          <w:bCs/>
        </w:rPr>
        <w:t xml:space="preserve">Quanto è solido:</w:t>
      </w:r>
      <w:r>
        <w:t xml:space="preserve"> </w:t>
      </w:r>
      <w:r>
        <w:t xml:space="preserve">l’etichetta si spezza, e la base va scritta com’è. Il</w:t>
      </w:r>
      <w:r>
        <w:t xml:space="preserve"> </w:t>
      </w:r>
      <w:r>
        <w:rPr>
          <w:b/>
          <w:bCs/>
        </w:rPr>
        <w:t xml:space="preserve">meccanismo</w:t>
      </w:r>
      <w:r>
        <w:t xml:space="preserve"> </w:t>
      </w:r>
      <w:r>
        <w:t xml:space="preserve">è</w:t>
      </w:r>
      <w:r>
        <w:t xml:space="preserve"> </w:t>
      </w:r>
      <w:r>
        <w:rPr>
          <w:b/>
          <w:bCs/>
        </w:rPr>
        <w:t xml:space="preserve">PROBABILE</w:t>
      </w:r>
      <w:r>
        <w:t xml:space="preserve"> </w:t>
      </w:r>
      <w:r>
        <w:rPr>
          <w:i/>
          <w:iCs/>
        </w:rPr>
        <w:t xml:space="preserve">(razionale forte, prove parziali)</w:t>
      </w:r>
      <w:r>
        <w:t xml:space="preserve">, ma su una base piccola. Il meccanismo è che la terapia manuale alzi la soglia di pressione anche in siti lontani da quello trattato, e un effetto a distanza implica una via centrale. Dentro una revisione di venti studi, la meta-analisi sulla soglia pressoria ne raccoglie dieci, e il sottogruppo dei siti remoti ne ha</w:t>
      </w:r>
      <w:r>
        <w:t xml:space="preserve"> </w:t>
      </w:r>
      <w:r>
        <w:rPr>
          <w:b/>
          <w:bCs/>
        </w:rPr>
        <w:t xml:space="preserve">quattro</w:t>
      </w:r>
      <w:r>
        <w:t xml:space="preserve">, con effetto</w:t>
      </w:r>
      <w:r>
        <w:t xml:space="preserve"> </w:t>
      </w:r>
      <w:r>
        <w:rPr>
          <w:b/>
          <w:bCs/>
        </w:rPr>
        <w:t xml:space="preserve">piccolo</w:t>
      </w:r>
      <w:r>
        <w:t xml:space="preserve"> </w:t>
      </w:r>
      <w:r>
        <w:t xml:space="preserve">(g 0,29, da 0,07 a 0,50). È l’unico sottogruppo che raggiunge la significatività, mentre nella popolazione clinica il dato complessivo non la raggiunge (Coronado, 2012, PMID 22296867); e la misura viene da dolore muscolo-scheletrico vario, non da questi pazienti. La</w:t>
      </w:r>
      <w:r>
        <w:t xml:space="preserve"> </w:t>
      </w:r>
      <w:r>
        <w:rPr>
          <w:b/>
          <w:bCs/>
        </w:rPr>
        <w:t xml:space="preserve">leva</w:t>
      </w:r>
      <w:r>
        <w:t xml:space="preserve"> </w:t>
      </w:r>
      <w:r>
        <w:t xml:space="preserve">su questa condizione è</w:t>
      </w:r>
      <w:r>
        <w:t xml:space="preserve"> </w:t>
      </w:r>
      <w:r>
        <w:rPr>
          <w:b/>
          <w:bCs/>
        </w:rPr>
        <w:t xml:space="preserve">IPOTESI</w:t>
      </w:r>
      <w:r>
        <w:t xml:space="preserve"> </w:t>
      </w:r>
      <w:r>
        <w:rPr>
          <w:i/>
          <w:iCs/>
        </w:rPr>
        <w:t xml:space="preserve">(meccanismo coerente, nessuno studio)</w:t>
      </w:r>
      <w:r>
        <w:t xml:space="preserve">.</w:t>
      </w:r>
    </w:p>
    <w:p>
      <w:pPr>
        <w:pStyle w:val="FirstParagraph"/>
      </w:pPr>
      <w:r>
        <w:rPr>
          <w:b/>
          <w:bCs/>
        </w:rPr>
        <w:t xml:space="preserve">Da qui una previsione falsificabile.</w:t>
      </w:r>
      <w:r>
        <w:t xml:space="preserve"> </w:t>
      </w:r>
      <w:r>
        <w:t xml:space="preserve">L’ipoalgesia remota dopo terapia manuale passa per l’</w:t>
      </w:r>
      <w:r>
        <w:rPr>
          <w:b/>
          <w:bCs/>
        </w:rPr>
        <w:t xml:space="preserve">inibizione discendente endogena</w:t>
      </w:r>
      <w:r>
        <w:t xml:space="preserve">, cioè esattamente la via che il capitolo sui meccanismi dichiara deficitaria in questi pazienti. Se il meccanismo è quello, l’effetto qui dev’essere</w:t>
      </w:r>
      <w:r>
        <w:t xml:space="preserve"> </w:t>
      </w:r>
      <w:r>
        <w:rPr>
          <w:b/>
          <w:bCs/>
        </w:rPr>
        <w:t xml:space="preserve">più piccolo</w:t>
      </w:r>
      <w:r>
        <w:t xml:space="preserve"> </w:t>
      </w:r>
      <w:r>
        <w:t xml:space="preserve">che nelle popolazioni di Coronado, o assente, e presente semmai solo in chi ha ancora una modulazione discendente funzionante. Se lo misuri grande, stai misurando un’altra cosa.</w:t>
      </w:r>
    </w:p>
    <w:p>
      <w:pPr>
        <w:pStyle w:val="BodyText"/>
      </w:pPr>
      <w:r>
        <w:t xml:space="preserve">E la via che in questa popolazione è stata davvero riaccesa non è manuale: una singola sessione di esercizio isometrico a bassa intensità l’ha migliorata in chi partiva deficitario (Alsouhibani, 2022, PMID 35399187), e sta nel capitolo sugli strumenti attivi.</w:t>
      </w:r>
    </w:p>
    <w:bookmarkEnd w:id="70"/>
    <w:bookmarkStart w:id="71" w:name="sul-secondo-meccanismo-il-sonno"/>
    <w:p>
      <w:pPr>
        <w:pStyle w:val="Heading3"/>
      </w:pPr>
      <w:r>
        <w:t xml:space="preserve">Sul secondo meccanismo — il sonno</w:t>
      </w:r>
    </w:p>
    <w:p>
      <w:pPr>
        <w:pStyle w:val="FirstParagraph"/>
      </w:pPr>
      <w:r>
        <w:rPr>
          <w:b/>
          <w:bCs/>
        </w:rPr>
        <w:t xml:space="preserve">Su cosa può agire una mano:</w:t>
      </w:r>
      <w:r>
        <w:t xml:space="preserve"> </w:t>
      </w:r>
      <w:r>
        <w:t xml:space="preserve">sui distretti che rendono il decubito intollerabile — cervicale alta, cingolo scapolare, articolazioni che dolgono a stare fermi.</w:t>
      </w:r>
      <w:r>
        <w:t xml:space="preserve"> </w:t>
      </w:r>
      <w:r>
        <w:rPr>
          <w:b/>
          <w:bCs/>
        </w:rPr>
        <w:t xml:space="preserve">Che effetto ci si aspetta:</w:t>
      </w:r>
      <w:r>
        <w:t xml:space="preserve"> </w:t>
      </w:r>
      <w:r>
        <w:t xml:space="preserve">una condizione al contorno meno ostile, non un cambiamento dell’architettura del sonno.</w:t>
      </w:r>
      <w:r>
        <w:t xml:space="preserve"> </w:t>
      </w:r>
      <w:r>
        <w:rPr>
          <w:b/>
          <w:bCs/>
        </w:rPr>
        <w:t xml:space="preserve">In quanto tempo si vedrebbe:</w:t>
      </w:r>
      <w:r>
        <w:t xml:space="preserve"> </w:t>
      </w:r>
      <w:r>
        <w:rPr>
          <w:b/>
          <w:bCs/>
        </w:rPr>
        <w:t xml:space="preserve">dalla terza notte in poi</w:t>
      </w:r>
      <w:r>
        <w:t xml:space="preserve">, e non prima. Le prime due cadono dentro la finestra in cui questo documento colloca il conto della seduta: portano insieme il segno del carico e il segno del beneficio, che sono opposti, e non si leggono. È assaggiare il sugo mentre ci stai ancora aggiungendo il sale: quello che senti non è il risultato. L’effetto sul sonno si legge sempre accanto al conteggio dei giorni di riacutizzazione, mai da solo.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e con una prova contraria che va davanti: la meta-analisi sul massaggio in questi pazienti non trova</w:t>
      </w:r>
      <w:r>
        <w:t xml:space="preserve"> </w:t>
      </w:r>
      <w:r>
        <w:rPr>
          <w:b/>
          <w:bCs/>
        </w:rPr>
        <w:t xml:space="preserve">nessun effetto sul disturbo del sonno</w:t>
      </w:r>
      <w:r>
        <w:t xml:space="preserve"> </w:t>
      </w:r>
      <w:r>
        <w:t xml:space="preserve">(Li, 2014, PMID 24586677). La leva vera sul sonno non è manuale, ed è nel capitolo sugli strumenti attivi.</w:t>
      </w:r>
    </w:p>
    <w:p>
      <w:pPr>
        <w:pStyle w:val="BlockText"/>
      </w:pPr>
      <w:r>
        <w:rPr>
          <w:b/>
          <w:bCs/>
        </w:rPr>
        <w:t xml:space="preserve">Attenzione — la cervicale alta ha un profilo di rischio che questa condizione maschera.</w:t>
      </w:r>
      <w:r>
        <w:t xml:space="preserve"> </w:t>
      </w:r>
      <w:r>
        <w:t xml:space="preserve">La zona che rende tollerabile il decubito è anche quella con un rischio vascolare noto: dissezione dell’arteria vertebrale o carotidea, insufficienza vertebro-basilare. L’evento è</w:t>
      </w:r>
      <w:r>
        <w:t xml:space="preserve"> </w:t>
      </w:r>
      <w:r>
        <w:rPr>
          <w:b/>
          <w:bCs/>
        </w:rPr>
        <w:t xml:space="preserve">raro</w:t>
      </w:r>
      <w:r>
        <w:t xml:space="preserve">. Il punto non è la frequenza: è che l’ipotesi va esclusa prima di lavorare lì, e che il perimetro dello screening è «prima di qualunque intervento muscolo-scheletrico», non solo prima di un thrust (IFOMPT Cervical Framework — Rushton, 2023, PMID 36099171) —</w:t>
      </w:r>
      <w:r>
        <w:t xml:space="preserve"> </w:t>
      </w:r>
      <w:r>
        <w:rPr>
          <w:i/>
          <w:iCs/>
        </w:rPr>
        <w:t xml:space="preserve">è un quadro di riferimento costruito su popolazioni muscolo-scheletriche generali, non su pazienti con fibromialgia.</w:t>
      </w:r>
      <w:r>
        <w:t xml:space="preserve"> </w:t>
      </w:r>
      <w:r>
        <w:rPr>
          <w:b/>
          <w:bCs/>
        </w:rPr>
        <w:t xml:space="preserve">L’aggravante è di popolazione:</w:t>
      </w:r>
      <w:r>
        <w:t xml:space="preserve"> </w:t>
      </w:r>
      <w:r>
        <w:t xml:space="preserve">oltre metà di questi pazienti ha emicrania e fino a tre quarti cefalea ricorrente. Quindi il segno cardinale — una</w:t>
      </w:r>
      <w:r>
        <w:t xml:space="preserve"> </w:t>
      </w:r>
      <w:r>
        <w:rPr>
          <w:b/>
          <w:bCs/>
        </w:rPr>
        <w:t xml:space="preserve">cefalea o un dolore al collo nuovi e di carattere diverso</w:t>
      </w:r>
      <w:r>
        <w:t xml:space="preserve"> </w:t>
      </w:r>
      <w:r>
        <w:t xml:space="preserve">da quelli abituali — arriva mimetizzato in un rumore di fondo cronico, e va chiesto esplicitamente. Se si accompagna a segni neurologici transitori (diplopia, disartria, disfagia, drop attack, atassia, nistagmo, intorpidimento facciale),</w:t>
      </w:r>
      <w:r>
        <w:t xml:space="preserve"> </w:t>
      </w:r>
      <w:r>
        <w:rPr>
          <w:b/>
          <w:bCs/>
        </w:rPr>
        <w:t xml:space="preserve">non è una riacutizzazione fibromialgica e non si tratta</w:t>
      </w:r>
      <w:r>
        <w:t xml:space="preserve">. Lo screening operativo sta nella Procedura.</w:t>
      </w:r>
    </w:p>
    <w:bookmarkEnd w:id="71"/>
    <w:bookmarkStart w:id="72" w:name="X694cc32c27cbbbd16b246b636eab0334ce7002a"/>
    <w:p>
      <w:pPr>
        <w:pStyle w:val="Heading3"/>
      </w:pPr>
      <w:r>
        <w:t xml:space="preserve">Sul quarto meccanismo — il ciclo del carico</w:t>
      </w:r>
    </w:p>
    <w:p>
      <w:pPr>
        <w:pStyle w:val="FirstParagraph"/>
      </w:pPr>
      <w:r>
        <w:rPr>
          <w:b/>
          <w:bCs/>
        </w:rPr>
        <w:t xml:space="preserve">Su cosa può agire una mano:</w:t>
      </w:r>
      <w:r>
        <w:t xml:space="preserve"> </w:t>
      </w:r>
      <w:r>
        <w:t xml:space="preserve">su niente, direttamente. La leva è il carico graduato, e non è tua da erogare.</w:t>
      </w:r>
      <w:r>
        <w:t xml:space="preserve"> </w:t>
      </w:r>
      <w:r>
        <w:rPr>
          <w:b/>
          <w:bCs/>
        </w:rPr>
        <w:t xml:space="preserve">Cosa fai comunque:</w:t>
      </w:r>
      <w:r>
        <w:t xml:space="preserve"> </w:t>
      </w:r>
      <w:r>
        <w:t xml:space="preserve">rendi tollerabile l’ingresso in quel carico, riduci il costo dei primi giorni, e misuri se il paziente sta pagando le sedute.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è una scelta di sequenza clinica, non un effetto misurato.</w:t>
      </w:r>
    </w:p>
    <w:bookmarkEnd w:id="72"/>
    <w:bookmarkStart w:id="73" w:name="sul-carico-affettivo-del-quadro"/>
    <w:p>
      <w:pPr>
        <w:pStyle w:val="Heading3"/>
      </w:pPr>
      <w:r>
        <w:t xml:space="preserve">Sul carico affettivo del quadro</w:t>
      </w:r>
    </w:p>
    <w:p>
      <w:pPr>
        <w:pStyle w:val="FirstParagraph"/>
      </w:pPr>
      <w:r>
        <w:rPr>
          <w:b/>
          <w:bCs/>
        </w:rPr>
        <w:t xml:space="preserve">Su cosa può agire una mano:</w:t>
      </w:r>
      <w:r>
        <w:t xml:space="preserve"> </w:t>
      </w:r>
      <w:r>
        <w:t xml:space="preserve">sull’ansia e sull’umore, che qui non sono un contorno. Alimentano il ciclo del carico e frammentano la notte.</w:t>
      </w:r>
      <w:r>
        <w:t xml:space="preserve"> </w:t>
      </w:r>
      <w:r>
        <w:rPr>
          <w:b/>
          <w:bCs/>
        </w:rPr>
        <w:t xml:space="preserve">Che effetto ci si aspetta:</w:t>
      </w:r>
      <w:r>
        <w:t xml:space="preserve"> </w:t>
      </w:r>
      <w:r>
        <w:t xml:space="preserve">una riduzione del carico depressivo, non un cambiamento del dolore.</w:t>
      </w:r>
      <w:r>
        <w:t xml:space="preserve"> </w:t>
      </w:r>
      <w:r>
        <w:rPr>
          <w:b/>
          <w:bCs/>
        </w:rPr>
        <w:t xml:space="preserve">In quanto tempo si vedrebbe:</w:t>
      </w:r>
      <w:r>
        <w:t xml:space="preserve"> </w:t>
      </w:r>
      <w:r>
        <w:t xml:space="preserve">negli studi la misura è subito dopo l’intervento; sul massaggio in questi pazienti l’effetto compare solo con cicli di almeno cinque settimane.</w:t>
      </w:r>
    </w:p>
    <w:p>
      <w:pPr>
        <w:pStyle w:val="BlockText"/>
      </w:pPr>
      <w:r>
        <w:rPr>
          <w:b/>
          <w:bCs/>
        </w:rPr>
        <w:t xml:space="preserve">Quanto è solido:</w:t>
      </w:r>
      <w:r>
        <w:t xml:space="preserve"> </w:t>
      </w:r>
      <w:r>
        <w:t xml:space="preserve">l’etichetta si spezza. Sul</w:t>
      </w:r>
      <w:r>
        <w:t xml:space="preserve"> </w:t>
      </w:r>
      <w:r>
        <w:rPr>
          <w:b/>
          <w:bCs/>
        </w:rPr>
        <w:t xml:space="preserve">carico affettivo</w:t>
      </w:r>
      <w:r>
        <w:t xml:space="preserve">:</w:t>
      </w:r>
      <w:r>
        <w:t xml:space="preserve"> </w:t>
      </w:r>
      <w:r>
        <w:rPr>
          <w:b/>
          <w:bCs/>
        </w:rPr>
        <w:t xml:space="preserve">PROBABILE</w:t>
      </w:r>
      <w:r>
        <w:t xml:space="preserve"> </w:t>
      </w:r>
      <w:r>
        <w:rPr>
          <w:i/>
          <w:iCs/>
        </w:rPr>
        <w:t xml:space="preserve">(razionale forte, prove parziali)</w:t>
      </w:r>
      <w:r>
        <w:t xml:space="preserve"> </w:t>
      </w:r>
      <w:r>
        <w:t xml:space="preserve">— in venti studi randomizzati di interventi osteopatici manuali contro finto trattamento o nessun trattamento la depressione si riduce (g −0,47, da −0,86 a −0,09), con effetto maggiore nelle popolazioni con dolore (g −0,61, da −1,06 a −0,17), ma con intervalli di predizione ampi, eterogeneità moderata e</w:t>
      </w:r>
      <w:r>
        <w:t xml:space="preserve"> </w:t>
      </w:r>
      <w:r>
        <w:rPr>
          <w:b/>
          <w:bCs/>
        </w:rPr>
        <w:t xml:space="preserve">nessun sottogruppo su fibromialgia</w:t>
      </w:r>
      <w:r>
        <w:t xml:space="preserve"> </w:t>
      </w:r>
      <w:r>
        <w:t xml:space="preserve">(Gordon, 2025, PMID 39920074); in questi pazienti il massaggio — nove studi randomizzati, 404 persone — dà un effetto su ansia (0,44) e depressione (0,49)</w:t>
      </w:r>
      <w:r>
        <w:t xml:space="preserve"> </w:t>
      </w:r>
      <w:r>
        <w:rPr>
          <w:b/>
          <w:bCs/>
        </w:rPr>
        <w:t xml:space="preserve">solo con cicli di almeno cinque settimane</w:t>
      </w:r>
      <w:r>
        <w:t xml:space="preserve"> </w:t>
      </w:r>
      <w:r>
        <w:t xml:space="preserve">(Li, 2014, PMID 24586677). Sulla</w:t>
      </w:r>
      <w:r>
        <w:t xml:space="preserve"> </w:t>
      </w:r>
      <w:r>
        <w:rPr>
          <w:b/>
          <w:bCs/>
        </w:rPr>
        <w:t xml:space="preserve">ricaduta nel dolore</w:t>
      </w:r>
      <w:r>
        <w:t xml:space="preserve">:</w:t>
      </w:r>
      <w:r>
        <w:t xml:space="preserve"> </w:t>
      </w:r>
      <w:r>
        <w:rPr>
          <w:b/>
          <w:bCs/>
        </w:rPr>
        <w:t xml:space="preserve">IPOTESI</w:t>
      </w:r>
      <w:r>
        <w:t xml:space="preserve"> </w:t>
      </w:r>
      <w:r>
        <w:rPr>
          <w:i/>
          <w:iCs/>
        </w:rPr>
        <w:t xml:space="preserve">(meccanismo coerente, nessuno studio)</w:t>
      </w:r>
      <w:r>
        <w:t xml:space="preserve">.</w:t>
      </w:r>
    </w:p>
    <w:p>
      <w:pPr>
        <w:pStyle w:val="FirstParagraph"/>
      </w:pPr>
      <w:r>
        <w:t xml:space="preserve">È l’unico esito su cui il nostro gesto ha un segnale positivo misurato. E lo studio con finto trattamento che ci smentisce</w:t>
      </w:r>
      <w:r>
        <w:t xml:space="preserve"> </w:t>
      </w:r>
      <w:r>
        <w:rPr>
          <w:b/>
          <w:bCs/>
        </w:rPr>
        <w:t xml:space="preserve">non ha misurato l’umore</w:t>
      </w:r>
      <w:r>
        <w:t xml:space="preserve">: ha misurato dolore, stanchezza, funzionamento e qualità di vita (Coste, 2021, PMID 33948127).</w:t>
      </w:r>
    </w:p>
    <w:p>
      <w:pPr>
        <w:pStyle w:val="BlockText"/>
      </w:pPr>
      <w:r>
        <w:rPr>
          <w:b/>
          <w:bCs/>
        </w:rPr>
        <w:t xml:space="preserve">Attenzione — il rischio di questa condizione è la dose, non il distretto.</w:t>
      </w:r>
      <w:r>
        <w:t xml:space="preserve"> </w:t>
      </w:r>
      <w:r>
        <w:t xml:space="preserve">Sulla fibromialgia gli eventi avversi gravi del trattamento manuale non sono il problema principale: nello studio con finto trattamento non se ne sono verificati — in 101 pazienti e sei sedute, cioè un campione troppo piccolo perché un evento raro potesse comparire, e la frase non chiude l’argomento. Il problema documentato è un altro, ed è tardivo: nel gruppo trattato con osteopatia si è osservato un probabile rimbalzo del dolore e un peggioramento del funzionamento alla dodicesima settimana (Coste, 2021, PMID 33948127). La variabile non è dove metti le mani, è</w:t>
      </w:r>
      <w:r>
        <w:t xml:space="preserve"> </w:t>
      </w:r>
      <w:r>
        <w:rPr>
          <w:b/>
          <w:bCs/>
        </w:rPr>
        <w:t xml:space="preserve">quanto</w:t>
      </w:r>
      <w:r>
        <w:t xml:space="preserve"> </w:t>
      </w:r>
      <w:r>
        <w:t xml:space="preserve">e per</w:t>
      </w:r>
      <w:r>
        <w:t xml:space="preserve"> </w:t>
      </w:r>
      <w:r>
        <w:rPr>
          <w:b/>
          <w:bCs/>
        </w:rPr>
        <w:t xml:space="preserve">quanto tempo</w:t>
      </w:r>
      <w:r>
        <w:t xml:space="preserve"> </w:t>
      </w:r>
      <w:r>
        <w:t xml:space="preserve">— e in un paziente con un tetto di spesa, la seduta stessa è carico. Come si dosa è materia di Procedura; qui devi sapere che quella variabile esiste, e che si misura contando i giorni di riacutizzazione dopo ogni seduta.</w:t>
      </w:r>
    </w:p>
    <w:p>
      <w:pPr>
        <w:pStyle w:val="BlockText"/>
      </w:pPr>
      <w:r>
        <w:rPr>
          <w:b/>
          <w:bCs/>
        </w:rPr>
        <w:t xml:space="preserve">Contro quale fondo si legge quel conteggio.</w:t>
      </w:r>
      <w:r>
        <w:t xml:space="preserve"> </w:t>
      </w:r>
      <w:r>
        <w:t xml:space="preserve">Questo documento squalifica il miglioramento riferito con tre argomenti, e non può accettare il peggioramento riferito senza le stesse cautele. In questa popolazione il tasso di base è misurato: su sedici studi randomizzati e 2.026 pazienti trattati con placebo, il</w:t>
      </w:r>
      <w:r>
        <w:t xml:space="preserve"> </w:t>
      </w:r>
      <w:r>
        <w:rPr>
          <w:b/>
          <w:bCs/>
        </w:rPr>
        <w:t xml:space="preserve">67,2%</w:t>
      </w:r>
      <w:r>
        <w:t xml:space="preserve"> </w:t>
      </w:r>
      <w:r>
        <w:t xml:space="preserve">(da 51,0 a 81,5) ha riferito almeno un evento avverso e il</w:t>
      </w:r>
      <w:r>
        <w:t xml:space="preserve"> </w:t>
      </w:r>
      <w:r>
        <w:rPr>
          <w:b/>
          <w:bCs/>
        </w:rPr>
        <w:t xml:space="preserve">9,5%</w:t>
      </w:r>
      <w:r>
        <w:t xml:space="preserve"> </w:t>
      </w:r>
      <w:r>
        <w:t xml:space="preserve">(da 8,3 a 10,9) ha interrotto per intolleranza al placebo. Gli eventi nei bracci placebo corrispondevano per quantità e qualità a quelli dei bracci attivi, e gli abbandoni da nocebo erano quattro volte quelli dei trial sulla sclerosi multipla (Mitsikostas, 2012, PMID 21973313) —</w:t>
      </w:r>
      <w:r>
        <w:t xml:space="preserve"> </w:t>
      </w:r>
      <w:r>
        <w:rPr>
          <w:i/>
          <w:iCs/>
        </w:rPr>
        <w:t xml:space="preserve">misurato con un placebo orale dentro studi farmacologici, in questi stessi pazienti, non dopo un trattamento manuale.</w:t>
      </w:r>
      <w:r>
        <w:t xml:space="preserve"> </w:t>
      </w:r>
      <w:r>
        <w:rPr>
          <w:b/>
          <w:bCs/>
        </w:rPr>
        <w:t xml:space="preserve">Questo non autorizza a leggere come nocebo il peggioramento del tuo paziente:</w:t>
      </w:r>
      <w:r>
        <w:t xml:space="preserve"> </w:t>
      </w:r>
      <w:r>
        <w:t xml:space="preserve">dice che il conteggio va interpretato contro un fondo alto, non che il fondo spieghi il caso che hai davanti. E i cinque segnali che rompono il conteggio restano invariati. Il conteggio serve a</w:t>
      </w:r>
      <w:r>
        <w:t xml:space="preserve"> </w:t>
      </w:r>
      <w:r>
        <w:rPr>
          <w:b/>
          <w:bCs/>
        </w:rPr>
        <w:t xml:space="preserve">dosare</w:t>
      </w:r>
      <w:r>
        <w:t xml:space="preserve">, non a stabilire un nesso causale con il tuo gesto.</w:t>
      </w:r>
    </w:p>
    <w:p>
      <w:pPr>
        <w:pStyle w:val="BlockText"/>
      </w:pPr>
      <w:r>
        <w:rPr>
          <w:b/>
          <w:bCs/>
        </w:rPr>
        <w:t xml:space="preserve">Cosa NON è quel conteggio.</w:t>
      </w:r>
      <w:r>
        <w:t xml:space="preserve"> </w:t>
      </w:r>
      <w:r>
        <w:t xml:space="preserve">Il paziente esce da questo documento addestrato ad annotare qualunque peggioramento e a portarlo alla seduta successiva. Cinque cose rompono quella regola e mandano in pronto soccorso invece che sul quaderno: una</w:t>
      </w:r>
      <w:r>
        <w:t xml:space="preserve"> </w:t>
      </w:r>
      <w:r>
        <w:rPr>
          <w:b/>
          <w:bCs/>
        </w:rPr>
        <w:t xml:space="preserve">cefalea improvvisa e violentissima</w:t>
      </w:r>
      <w:r>
        <w:t xml:space="preserve"> </w:t>
      </w:r>
      <w:r>
        <w:t xml:space="preserve">mai provata prima;</w:t>
      </w:r>
      <w:r>
        <w:t xml:space="preserve"> </w:t>
      </w:r>
      <w:r>
        <w:rPr>
          <w:b/>
          <w:bCs/>
        </w:rPr>
        <w:t xml:space="preserve">qualunque deficit neurologico nuovo</w:t>
      </w:r>
      <w:r>
        <w:t xml:space="preserve"> </w:t>
      </w:r>
      <w:r>
        <w:t xml:space="preserve">— debolezza, intorpidimento di faccia o arto, disturbo visivo, difficoltà a parlare o a deglutire; un</w:t>
      </w:r>
      <w:r>
        <w:t xml:space="preserve"> </w:t>
      </w:r>
      <w:r>
        <w:rPr>
          <w:b/>
          <w:bCs/>
        </w:rPr>
        <w:t xml:space="preserve">dolore ingravescente</w:t>
      </w:r>
      <w:r>
        <w:t xml:space="preserve"> </w:t>
      </w:r>
      <w:r>
        <w:t xml:space="preserve">che non segue il profilo a ventiquattro-quarantotto ore ma cresce e non torna;</w:t>
      </w:r>
      <w:r>
        <w:t xml:space="preserve"> </w:t>
      </w:r>
      <w:r>
        <w:rPr>
          <w:b/>
          <w:bCs/>
        </w:rPr>
        <w:t xml:space="preserve">dolore toracico</w:t>
      </w:r>
      <w:r>
        <w:t xml:space="preserve">;</w:t>
      </w:r>
      <w:r>
        <w:t xml:space="preserve"> </w:t>
      </w:r>
      <w:r>
        <w:rPr>
          <w:b/>
          <w:bCs/>
        </w:rPr>
        <w:t xml:space="preserve">febbre</w:t>
      </w:r>
      <w:r>
        <w:t xml:space="preserve">. Questi segnali si dicono al paziente</w:t>
      </w:r>
      <w:r>
        <w:t xml:space="preserve"> </w:t>
      </w:r>
      <w:r>
        <w:rPr>
          <w:b/>
          <w:bCs/>
        </w:rPr>
        <w:t xml:space="preserve">prima</w:t>
      </w:r>
      <w:r>
        <w:t xml:space="preserve"> </w:t>
      </w:r>
      <w:r>
        <w:t xml:space="preserve">della prima seduta, insieme alla regola del conteggio. Detti dopo, la regola del conteggio è l’unica cosa che ha in mano.</w:t>
      </w:r>
    </w:p>
    <w:bookmarkEnd w:id="73"/>
    <w:bookmarkStart w:id="74" w:name="X313a9305afc17cefd332a43187892ca69ddea55"/>
    <w:p>
      <w:pPr>
        <w:pStyle w:val="Heading3"/>
      </w:pPr>
      <w:r>
        <w:t xml:space="preserve">Cosa fa l’osteopata che il resto del percorso non fa</w:t>
      </w:r>
    </w:p>
    <w:p>
      <w:pPr>
        <w:pStyle w:val="FirstParagraph"/>
      </w:pPr>
      <w:r>
        <w:t xml:space="preserve">Tre cose, tutte sui meccanismi.</w:t>
      </w:r>
    </w:p>
    <w:p>
      <w:pPr>
        <w:pStyle w:val="Compact"/>
        <w:numPr>
          <w:ilvl w:val="0"/>
          <w:numId w:val="1033"/>
        </w:numPr>
      </w:pPr>
      <w:r>
        <w:rPr>
          <w:b/>
          <w:bCs/>
        </w:rPr>
        <w:t xml:space="preserve">Separa il generatore regionale dal quadro diffuso.</w:t>
      </w:r>
      <w:r>
        <w:t xml:space="preserve"> </w:t>
      </w:r>
      <w:r>
        <w:t xml:space="preserve">Nel percorso standard «mi fa male dappertutto» resta un’unica voce: tu la scomponi, e su una delle parti hai una via anatomica.</w:t>
      </w:r>
    </w:p>
    <w:p>
      <w:pPr>
        <w:pStyle w:val="Compact"/>
        <w:numPr>
          <w:ilvl w:val="0"/>
          <w:numId w:val="1033"/>
        </w:numPr>
      </w:pPr>
      <w:r>
        <w:rPr>
          <w:b/>
          <w:bCs/>
        </w:rPr>
        <w:t xml:space="preserve">Misura il carico e il suo costo.</w:t>
      </w:r>
      <w:r>
        <w:t xml:space="preserve"> </w:t>
      </w:r>
      <w:r>
        <w:t xml:space="preserve">Nessun referto contiene la ricostruzione della settimana, né quanti giorni costa una giornata piena. Ed è l’informazione che spiega metà delle riacutizzazioni.</w:t>
      </w:r>
    </w:p>
    <w:p>
      <w:pPr>
        <w:pStyle w:val="Compact"/>
        <w:numPr>
          <w:ilvl w:val="0"/>
          <w:numId w:val="1033"/>
        </w:numPr>
      </w:pPr>
      <w:r>
        <w:rPr>
          <w:b/>
          <w:bCs/>
        </w:rPr>
        <w:t xml:space="preserve">Porta il sonno dal racconto alla misura, e lo rimanda a chi lo tratta</w:t>
      </w:r>
      <w:r>
        <w:t xml:space="preserve"> </w:t>
      </w:r>
      <w:r>
        <w:t xml:space="preserve">— insieme ai due sospetti che il sonno nasconde. Lì la terapia farmacologica in corso non batte il placebo, e lo strumento migliore non è né tuo né farmacologico.</w:t>
      </w:r>
    </w:p>
    <w:p>
      <w:pPr>
        <w:pStyle w:val="FirstParagraph"/>
      </w:pPr>
      <w:r>
        <w:t xml:space="preserve">Il come si fa non è qui. Sta nella Procedura di Fibromialgia: due pagine, tecniche, dosi e piano delle sedute.</w:t>
      </w:r>
    </w:p>
    <w:p>
      <w:pPr>
        <w:pStyle w:val="BodyText"/>
      </w:pPr>
      <w:r>
        <w:rPr>
          <w:b/>
          <w:bCs/>
        </w:rPr>
        <w:t xml:space="preserve">Le tre cose da ricordare, più una</w:t>
      </w:r>
    </w:p>
    <w:p>
      <w:pPr>
        <w:pStyle w:val="Compact"/>
        <w:numPr>
          <w:ilvl w:val="0"/>
          <w:numId w:val="1034"/>
        </w:numPr>
      </w:pPr>
      <w:r>
        <w:t xml:space="preserve">La tua leva è l’ingresso periferico, ed è la più debole dei cinque meccanismi: questa proporzione va detta al paziente.</w:t>
      </w:r>
    </w:p>
    <w:p>
      <w:pPr>
        <w:pStyle w:val="Compact"/>
        <w:numPr>
          <w:ilvl w:val="0"/>
          <w:numId w:val="1034"/>
        </w:numPr>
      </w:pPr>
      <w:r>
        <w:t xml:space="preserve">La leva sull’attivazione esiste, è manuale e porta IPOTESI; e sul carico affettivo c’è l’unico segnale positivo misurato che abbiamo.</w:t>
      </w:r>
    </w:p>
    <w:p>
      <w:pPr>
        <w:pStyle w:val="Compact"/>
        <w:numPr>
          <w:ilvl w:val="0"/>
          <w:numId w:val="1034"/>
        </w:numPr>
      </w:pPr>
      <w:r>
        <w:t xml:space="preserve">Il rischio è la dose e il decorso a quarantotto ore, non il distretto — con due eccezioni da sapere: la cervicale alta, e i cinque segnali che rompono il conteggio.</w:t>
      </w:r>
    </w:p>
    <w:p>
      <w:pPr>
        <w:pStyle w:val="Compact"/>
        <w:numPr>
          <w:ilvl w:val="0"/>
          <w:numId w:val="1034"/>
        </w:numPr>
      </w:pPr>
      <w:r>
        <w:rPr>
          <w:b/>
          <w:bCs/>
        </w:rPr>
        <w:t xml:space="preserve">Perché ci sei tu.</w:t>
      </w:r>
      <w:r>
        <w:t xml:space="preserve"> </w:t>
      </w:r>
      <w:r>
        <w:t xml:space="preserve">La terapia manuale alza la soglia di pressione in siti remoti, ma su quattro studi e con effetto piccolo (Coronado, 2012, PMID 22296867), misurato su dolore muscolo-scheletrico vario. Ti autorizza a leggere quel marker come informazione sul sistema. Non a leggerlo come la prova che il generatore era il bersaglio.</w:t>
      </w:r>
    </w:p>
    <w:p>
      <w:r>
        <w:pict>
          <v:rect style="width:0;height:1.5pt" o:hralign="center" o:hrstd="t" o:hr="t"/>
        </w:pict>
      </w:r>
    </w:p>
    <w:bookmarkEnd w:id="74"/>
    <w:bookmarkEnd w:id="75"/>
    <w:bookmarkStart w:id="81"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le prove migliori del mondo non è il tocco, è il movimento — e la seconda migliore riguarda il sonno e la eroga qualcun altro.</w:t>
      </w:r>
    </w:p>
    <w:p>
      <w:pPr>
        <w:pStyle w:val="FirstParagraph"/>
      </w:pPr>
      <w:r>
        <w:rPr>
          <w:b/>
          <w:bCs/>
        </w:rPr>
        <w:t xml:space="preserve">Per tutti e cinque gli strumenti: come e quando consegnarlo al tuo paziente sta nella Procedura.</w:t>
      </w:r>
    </w:p>
    <w:bookmarkStart w:id="76" w:name="strumento-1-lesercizio-e-quale"/>
    <w:p>
      <w:pPr>
        <w:pStyle w:val="Heading3"/>
      </w:pPr>
      <w:r>
        <w:t xml:space="preserve">Strumento 1 — L’esercizio, e quale</w:t>
      </w:r>
    </w:p>
    <w:p>
      <w:pPr>
        <w:pStyle w:val="FirstParagraph"/>
      </w:pPr>
      <w:r>
        <w:rPr>
          <w:b/>
          <w:bCs/>
        </w:rPr>
        <w:t xml:space="preserve">Cos’è.</w:t>
      </w:r>
      <w:r>
        <w:t xml:space="preserve"> </w:t>
      </w:r>
      <w:r>
        <w:t xml:space="preserve">Movimento regolare a intensità sostenibile, aumentato molto lentamente: aerobico, in acqua o di rinforzo.</w:t>
      </w:r>
    </w:p>
    <w:p>
      <w:pPr>
        <w:pStyle w:val="BodyText"/>
      </w:pPr>
      <w:r>
        <w:rPr>
          <w:b/>
          <w:bCs/>
        </w:rPr>
        <w:t xml:space="preserve">Su quale meccanismo agisce.</w:t>
      </w:r>
      <w:r>
        <w:t xml:space="preserve"> </w:t>
      </w:r>
      <w:r>
        <w:t xml:space="preserve">Sul quarto — l’acceleratore e il freno — perché ricostruisce capacità senza produrre il conto a quarantotto ore.</w:t>
      </w:r>
    </w:p>
    <w:p>
      <w:pPr>
        <w:pStyle w:val="BodyText"/>
      </w:pPr>
      <w:r>
        <w:t xml:space="preserve">Sul primo — il guadagno centrale — l’ipotesi del controllo discendente circola molto ed</w:t>
      </w:r>
      <w:r>
        <w:t xml:space="preserve"> </w:t>
      </w:r>
      <w:r>
        <w:rPr>
          <w:b/>
          <w:bCs/>
        </w:rPr>
        <w:t xml:space="preserve">è esplicitamente non sostenuta dalla letteratura</w:t>
      </w:r>
      <w:r>
        <w:t xml:space="preserve">. Nel dato su questi pazienti la modulazione discendente è</w:t>
      </w:r>
      <w:r>
        <w:t xml:space="preserve"> </w:t>
      </w:r>
      <w:r>
        <w:rPr>
          <w:b/>
          <w:bCs/>
        </w:rPr>
        <w:t xml:space="preserve">peggiorata</w:t>
      </w:r>
      <w:r>
        <w:t xml:space="preserve"> </w:t>
      </w:r>
      <w:r>
        <w:t xml:space="preserve">sia dopo esercizio sia dopo riposo tranquillo nel campione complessivo. È migliorata solo in chi partiva da una modulazione inefficiente, allo stesso modo in pazienti e controlli: un disegno che non separa l’effetto dalla regressione verso la media (Alsouhibani, 2022, PMID 35399187).</w:t>
      </w:r>
    </w:p>
    <w:p>
      <w:pPr>
        <w:pStyle w:val="BodyText"/>
      </w:pPr>
      <w:r>
        <w:t xml:space="preserve">E la sintesi della letteratura dice che l’ipoalgesia da esercizio è</w:t>
      </w:r>
      <w:r>
        <w:t xml:space="preserve"> </w:t>
      </w:r>
      <w:r>
        <w:rPr>
          <w:b/>
          <w:bCs/>
        </w:rPr>
        <w:t xml:space="preserve">grande nei sani e assente nel dolore cronico</w:t>
      </w:r>
      <w:r>
        <w:t xml:space="preserve">. Nel dolore muscolo-scheletrico cronico l’isometrico</w:t>
      </w:r>
      <w:r>
        <w:t xml:space="preserve"> </w:t>
      </w:r>
      <w:r>
        <w:rPr>
          <w:b/>
          <w:bCs/>
        </w:rPr>
        <w:t xml:space="preserve">non</w:t>
      </w:r>
      <w:r>
        <w:t xml:space="preserve"> </w:t>
      </w:r>
      <w:r>
        <w:t xml:space="preserve">la produce (g −0,41, da −1,08 a 0,25; 3 studi, 114 persone), e per aerobico e resistenza non c’erano studi sufficienti per meta-analizzarli (Wewege e Jones, 2021, PMID 32599154) —</w:t>
      </w:r>
      <w:r>
        <w:t xml:space="preserve"> </w:t>
      </w:r>
      <w:r>
        <w:rPr>
          <w:i/>
          <w:iCs/>
        </w:rPr>
        <w:t xml:space="preserve">misurato su dolore sperimentale dopo una singola sessione, in dolore muscolo-scheletrico cronico vario, non sul ciclo di esercizio di settimane in fibromialgia.</w:t>
      </w:r>
      <w:r>
        <w:t xml:space="preserve"> </w:t>
      </w:r>
      <w:r>
        <w:rPr>
          <w:b/>
          <w:bCs/>
        </w:rPr>
        <w:t xml:space="preserve">Smentisce il meccanismo, non l’esito:</w:t>
      </w:r>
      <w:r>
        <w:t xml:space="preserve"> </w:t>
      </w:r>
      <w:r>
        <w:t xml:space="preserve">l’etichetta dell’esercizio poggia su Bidonde e Macfarlane, e non ha mai avuto bisogno di questo meccanismo.</w:t>
      </w:r>
    </w:p>
    <w:p>
      <w:pPr>
        <w:pStyle w:val="BodyText"/>
      </w:pPr>
      <w:r>
        <w:rPr>
          <w:b/>
          <w:bCs/>
        </w:rPr>
        <w:t xml:space="preserve">Cosa hanno misurato gli studi.</w:t>
      </w:r>
      <w:r>
        <w:t xml:space="preserve"> </w:t>
      </w:r>
      <w:r>
        <w:t xml:space="preserve">Nella revisione Cochrane su tredici studi randomizzati e 839 persone, l’esercizio aerobico è stato confrontato con nessun esercizio in otto studi e 456 partecipanti, con interventi durati</w:t>
      </w:r>
      <w:r>
        <w:t xml:space="preserve"> </w:t>
      </w:r>
      <w:r>
        <w:rPr>
          <w:b/>
          <w:bCs/>
        </w:rPr>
        <w:t xml:space="preserve">da sei a ventiquattro settimane</w:t>
      </w:r>
      <w:r>
        <w:t xml:space="preserve">. La qualità di vita è migliorata di 7,9 punti su 100 (da 2,6 a 13,2), il dolore di 11,1 punti (da 3,8 a 18,3) e la funzione fisica di 10,2 (da 4,9 a 15,4). Sulla stanchezza la differenza non ha raggiunto la significatività (Bidonde, 2017, PMID 28636204).</w:t>
      </w:r>
    </w:p>
    <w:p>
      <w:pPr>
        <w:pStyle w:val="BodyText"/>
      </w:pPr>
      <w:r>
        <w:rPr>
          <w:b/>
          <w:bCs/>
        </w:rPr>
        <w:t xml:space="preserve">Per te:</w:t>
      </w:r>
      <w:r>
        <w:t xml:space="preserve"> </w:t>
      </w:r>
      <w:r>
        <w:t xml:space="preserve">il miglioramento è reale e modesto, circa un decimo della scala. È quello che dici al paziente che ha già provato e ha smesso: non è la guarigione, è dieci punti su cento, e vale la fatica per quel motivo e non per un altro.</w:t>
      </w:r>
    </w:p>
    <w:p>
      <w:pPr>
        <w:pStyle w:val="BodyText"/>
      </w:pPr>
      <w:r>
        <w:t xml:space="preserve">Quale forma? Nella meta-analisi in rete su cinquantuno studi e 2.873 donne,</w:t>
      </w:r>
      <w:r>
        <w:t xml:space="preserve"> </w:t>
      </w:r>
      <w:r>
        <w:rPr>
          <w:b/>
          <w:bCs/>
        </w:rPr>
        <w:t xml:space="preserve">l’esercizio in acqua</w:t>
      </w:r>
      <w:r>
        <w:t xml:space="preserve"> </w:t>
      </w:r>
      <w:r>
        <w:t xml:space="preserve">risulta il più efficace sul dolore a breve termine, cioè entro tre mesi.</w:t>
      </w:r>
      <w:r>
        <w:t xml:space="preserve"> </w:t>
      </w:r>
      <w:r>
        <w:rPr>
          <w:b/>
          <w:bCs/>
        </w:rPr>
        <w:t xml:space="preserve">Il rinforzo</w:t>
      </w:r>
      <w:r>
        <w:t xml:space="preserve"> </w:t>
      </w:r>
      <w:r>
        <w:t xml:space="preserve">risulta il più efficace a lungo termine, cioè oltre tre mesi (Rodríguez-Domínguez, 2025, PMID 40319533).</w:t>
      </w:r>
      <w:r>
        <w:t xml:space="preserve"> </w:t>
      </w:r>
      <w:r>
        <w:rPr>
          <w:b/>
          <w:bCs/>
        </w:rPr>
        <w:t xml:space="preserve">Per te:</w:t>
      </w:r>
      <w:r>
        <w:t xml:space="preserve"> </w:t>
      </w:r>
      <w:r>
        <w:t xml:space="preserve">l’acqua è anche la forma che questi pazienti tollerano per prima, e ha una ragione fisiologica — la risposta ortostatica alterata del terzo meccanismo.</w:t>
      </w:r>
    </w:p>
    <w:p>
      <w:pPr>
        <w:pStyle w:val="BodyText"/>
      </w:pPr>
      <w:r>
        <w:rPr>
          <w:b/>
          <w:bCs/>
        </w:rPr>
        <w:t xml:space="preserve">Il rinforzo merita i suoi numeri, altrimenti il lettore esce pensando «aerobico o acqua».</w:t>
      </w:r>
      <w:r>
        <w:t xml:space="preserve"> </w:t>
      </w:r>
      <w:r>
        <w:t xml:space="preserve">Nella revisione Cochrane dedicata — cinque studi randomizzati, 219 donne, 95 nel braccio di rinforzo — il rinforzo a intensità moderata-alta contro controllo ha spostato il questionario di impatto di</w:t>
      </w:r>
      <w:r>
        <w:t xml:space="preserve"> </w:t>
      </w:r>
      <w:r>
        <w:rPr>
          <w:b/>
          <w:bCs/>
        </w:rPr>
        <w:t xml:space="preserve">16,75 punti</w:t>
      </w:r>
      <w:r>
        <w:t xml:space="preserve">, la funzione fisica di 6,29, il dolore di 3,3 centimetri e la forza di 27,32 chilogrammi. Prove di bassa qualità, nessuna differenza di abbandono fra i bracci,</w:t>
      </w:r>
      <w:r>
        <w:t xml:space="preserve"> </w:t>
      </w:r>
      <w:r>
        <w:rPr>
          <w:b/>
          <w:bCs/>
        </w:rPr>
        <w:t xml:space="preserve">nessun evento avverso grave</w:t>
      </w:r>
      <w:r>
        <w:t xml:space="preserve"> </w:t>
      </w:r>
      <w:r>
        <w:t xml:space="preserve">(Busch, 2013, PMID 24362925).</w:t>
      </w:r>
    </w:p>
    <w:p>
      <w:pPr>
        <w:pStyle w:val="BodyText"/>
      </w:pPr>
      <w:r>
        <w:t xml:space="preserve">Contro l’aerobico, però, non c’è differenza su funzione e dolorabilità, e</w:t>
      </w:r>
      <w:r>
        <w:t xml:space="preserve"> </w:t>
      </w:r>
      <w:r>
        <w:rPr>
          <w:b/>
          <w:bCs/>
        </w:rPr>
        <w:t xml:space="preserve">l’aerobico resta superiore sul dolore</w:t>
      </w:r>
      <w:r>
        <w:t xml:space="preserve">: 16,75 non significa «il rinforzo è meglio di tutto». La riga sugli eventi avversi è quella da avere in testa quando il paziente dice «se mi muovo peggioro».</w:t>
      </w:r>
    </w:p>
    <w:p>
      <w:pPr>
        <w:pStyle w:val="BlockText"/>
      </w:pPr>
      <w:r>
        <w:rPr>
          <w:b/>
          <w:bCs/>
        </w:rPr>
        <w:t xml:space="preserve">Quanto è solido:</w:t>
      </w:r>
      <w:r>
        <w:t xml:space="preserve"> </w:t>
      </w:r>
      <w:r>
        <w:t xml:space="preserve">l’etichetta si spezza, perché la qualità delle prove non è la stessa su tutti gli esiti. Che l’esercizio sia efficace e sia</w:t>
      </w:r>
      <w:r>
        <w:t xml:space="preserve"> </w:t>
      </w:r>
      <w:r>
        <w:rPr>
          <w:b/>
          <w:bCs/>
        </w:rPr>
        <w:t xml:space="preserve">l’unica raccomandazione forte</w:t>
      </w:r>
      <w:r>
        <w:t xml:space="preserve"> </w:t>
      </w:r>
      <w:r>
        <w:t xml:space="preserve">delle linee guida europee — l’unica basata su meta-analisi, in un documento in cui ogni altra terapia è «debolmente a favore» — è</w:t>
      </w:r>
      <w:r>
        <w:t xml:space="preserve"> </w:t>
      </w:r>
      <w:r>
        <w:rPr>
          <w:b/>
          <w:bCs/>
        </w:rPr>
        <w:t xml:space="preserve">DIMOSTRATO</w:t>
      </w:r>
      <w:r>
        <w:t xml:space="preserve"> </w:t>
      </w:r>
      <w:r>
        <w:rPr>
          <w:i/>
          <w:iCs/>
        </w:rPr>
        <w:t xml:space="preserve">(studi sull’uomo, solidi)</w:t>
      </w:r>
      <w:r>
        <w:t xml:space="preserve"> </w:t>
      </w:r>
      <w:r>
        <w:t xml:space="preserve">(Macfarlane, 2017, PMID 27377815), con qualità GRADE moderata su qualità di vita e ritiri. L’</w:t>
      </w:r>
      <w:r>
        <w:rPr>
          <w:b/>
          <w:bCs/>
        </w:rPr>
        <w:t xml:space="preserve">entità</w:t>
      </w:r>
      <w:r>
        <w:t xml:space="preserve"> </w:t>
      </w:r>
      <w:r>
        <w:t xml:space="preserve">dell’effetto su dolore e funzione è</w:t>
      </w:r>
      <w:r>
        <w:t xml:space="preserve"> </w:t>
      </w:r>
      <w:r>
        <w:rPr>
          <w:b/>
          <w:bCs/>
        </w:rPr>
        <w:t xml:space="preserve">PROBABILE</w:t>
      </w:r>
      <w:r>
        <w:t xml:space="preserve"> </w:t>
      </w:r>
      <w:r>
        <w:rPr>
          <w:i/>
          <w:iCs/>
        </w:rPr>
        <w:t xml:space="preserve">(razionale forte, prove parziali)</w:t>
      </w:r>
      <w:r>
        <w:t xml:space="preserve"> </w:t>
      </w:r>
      <w:r>
        <w:t xml:space="preserve">— qualità GRADE bassa su dolore, funzione, rigidità e stanchezza (Bidonde, 2017, PMID 28636204). E nessuno studio è in cieco, perché non si può.</w:t>
      </w:r>
    </w:p>
    <w:p>
      <w:pPr>
        <w:pStyle w:val="FirstParagraph"/>
      </w:pPr>
      <w:r>
        <w:rPr>
          <w:b/>
          <w:bCs/>
        </w:rPr>
        <w:t xml:space="preserve">Cosa NON fa, e cosa succede se smette.</w:t>
      </w:r>
      <w:r>
        <w:t xml:space="preserve"> </w:t>
      </w:r>
      <w:r>
        <w:t xml:space="preserve">Non abbassa il guadagno centrale. Sul lungo termine la revisione Cochrane conclude incertezza: tre studi con follow-up dopo la fine dell’intervento riportano che i benefici su dolore e funzione persistono, ma le conclusioni degli autori parlano di «poca o nessuna differenza», su prove di bassa qualità (Bidonde, 2017, PMID 28636204).</w:t>
      </w:r>
      <w:r>
        <w:t xml:space="preserve"> </w:t>
      </w:r>
      <w:r>
        <w:rPr>
          <w:b/>
          <w:bCs/>
        </w:rPr>
        <w:t xml:space="preserve">Che chi smette torni al punto di partenza non è stato misurato: è un’attesa clinica</w:t>
      </w:r>
      <w:r>
        <w:t xml:space="preserve"> </w:t>
      </w:r>
      <w:r>
        <w:t xml:space="preserve">—</w:t>
      </w:r>
      <w:r>
        <w:t xml:space="preserve"> </w:t>
      </w:r>
      <w:r>
        <w:rPr>
          <w:i/>
          <w:iCs/>
        </w:rPr>
        <w:t xml:space="preserve">quanto è solido: RAGIONAMENTO (cornice clinica, non una prova)</w:t>
      </w:r>
      <w:r>
        <w:t xml:space="preserve">. Quello che regge è più semplice:</w:t>
      </w:r>
      <w:r>
        <w:t xml:space="preserve"> </w:t>
      </w:r>
      <w:r>
        <w:rPr>
          <w:b/>
          <w:bCs/>
        </w:rPr>
        <w:t xml:space="preserve">il guadagno appartiene alla ripetizione, non alla singola volta.</w:t>
      </w:r>
    </w:p>
    <w:bookmarkEnd w:id="76"/>
    <w:bookmarkStart w:id="77" w:name="X7afa67924a385c9fd3bb2853983be77747777ff"/>
    <w:p>
      <w:pPr>
        <w:pStyle w:val="Heading3"/>
      </w:pPr>
      <w:r>
        <w:t xml:space="preserve">Strumento 2 — Il movimento lento con attenzione al corpo</w:t>
      </w:r>
    </w:p>
    <w:p>
      <w:pPr>
        <w:pStyle w:val="FirstParagraph"/>
      </w:pPr>
      <w:r>
        <w:rPr>
          <w:b/>
          <w:bCs/>
        </w:rPr>
        <w:t xml:space="preserve">Cos’è.</w:t>
      </w:r>
      <w:r>
        <w:t xml:space="preserve"> </w:t>
      </w:r>
      <w:r>
        <w:t xml:space="preserve">Tai chi, e per estensione le forme lente e continue con controllo del respiro.</w:t>
      </w:r>
    </w:p>
    <w:p>
      <w:pPr>
        <w:pStyle w:val="BodyText"/>
      </w:pPr>
      <w:r>
        <w:rPr>
          <w:b/>
          <w:bCs/>
        </w:rPr>
        <w:t xml:space="preserve">Su quale meccanismo agisce.</w:t>
      </w:r>
      <w:r>
        <w:t xml:space="preserve"> </w:t>
      </w:r>
      <w:r>
        <w:t xml:space="preserve">Sul quarto e sul terzo insieme: carica pochissimo, e chiede attenzione al corpo in un contesto in cui non fa male.</w:t>
      </w:r>
    </w:p>
    <w:p>
      <w:pPr>
        <w:pStyle w:val="BodyText"/>
      </w:pPr>
      <w:r>
        <w:rPr>
          <w:b/>
          <w:bCs/>
        </w:rPr>
        <w:t xml:space="preserve">Cosa hanno misurato gli studi.</w:t>
      </w:r>
      <w:r>
        <w:t xml:space="preserve"> </w:t>
      </w:r>
      <w:r>
        <w:t xml:space="preserve">In uno studio randomizzato su 226 adulti seguiti per 52 settimane, i gruppi che hanno fatto tai chi sono migliorati sul questionario di impatto</w:t>
      </w:r>
      <w:r>
        <w:t xml:space="preserve"> </w:t>
      </w:r>
      <w:r>
        <w:rPr>
          <w:b/>
          <w:bCs/>
        </w:rPr>
        <w:t xml:space="preserve">più</w:t>
      </w:r>
      <w:r>
        <w:t xml:space="preserve"> </w:t>
      </w:r>
      <w:r>
        <w:t xml:space="preserve">del gruppo di esercizio aerobico.</w:t>
      </w:r>
      <w:r>
        <w:t xml:space="preserve"> </w:t>
      </w:r>
      <w:r>
        <w:rPr>
          <w:b/>
          <w:bCs/>
        </w:rPr>
        <w:t xml:space="preserve">Il confronto pre-specificato, cioè quello che conta, è 5,5 punti a 24 settimane</w:t>
      </w:r>
      <w:r>
        <w:t xml:space="preserve"> </w:t>
      </w:r>
      <w:r>
        <w:t xml:space="preserve">(da 0,6 a 10,4).</w:t>
      </w:r>
    </w:p>
    <w:p>
      <w:pPr>
        <w:pStyle w:val="BodyText"/>
      </w:pPr>
      <w:r>
        <w:t xml:space="preserve">Se poi si confronta uno solo dei bracci di tai chi con l’aerobico a pari intensità e durata — ventiquattro settimane, due volte a settimana — la differenza sale a 16,2 punti (da 8,7 a 23,6). Ma è un confronto secondario interno allo studio. E i partecipanti si sono presentati alle sedute di tai chi più spesso che a quelle di aerobico (Wang, 2018, PMID 29563100).</w:t>
      </w:r>
    </w:p>
    <w:p>
      <w:pPr>
        <w:pStyle w:val="BodyText"/>
      </w:pPr>
      <w:r>
        <w:rPr>
          <w:b/>
          <w:bCs/>
        </w:rPr>
        <w:t xml:space="preserve">Per te:</w:t>
      </w:r>
      <w:r>
        <w:t xml:space="preserve"> </w:t>
      </w:r>
      <w:r>
        <w:t xml:space="preserve">il numero che ti autorizza a proporlo è</w:t>
      </w:r>
      <w:r>
        <w:t xml:space="preserve"> </w:t>
      </w:r>
      <w:r>
        <w:rPr>
          <w:b/>
          <w:bCs/>
        </w:rPr>
        <w:t xml:space="preserve">5,5</w:t>
      </w:r>
      <w:r>
        <w:t xml:space="preserve">, cioè il dato principale, e sta al margine della soglia di rilevanza, che è circa otto-nove punti e non quattordici. I 16,2 non sono il numero da portare in stanza: sono un confronto interno, e vanno detti come tali.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w:t>
      </w:r>
      <w:r>
        <w:t xml:space="preserve"> </w:t>
      </w:r>
      <w:r>
        <w:rPr>
          <w:b/>
          <w:bCs/>
        </w:rPr>
        <w:t xml:space="preserve">un solo</w:t>
      </w:r>
      <w:r>
        <w:t xml:space="preserve"> </w:t>
      </w:r>
      <w:r>
        <w:t xml:space="preserve">studio, monocentrico, mai replicato, con esito primario al margine della soglia di rilevanza. Il disegno è buono: randomizzato di confronto diretto, singolo cieco, follow-up a un anno, su questi pazienti. Ma un solo studio non è «studi sull’uomo, solidi», e il confronto è attivo e non contro finto trattamento, quindi non separa l’effetto specifico dal contesto.</w:t>
      </w:r>
    </w:p>
    <w:p>
      <w:pPr>
        <w:pStyle w:val="FirstParagraph"/>
      </w:pPr>
      <w:r>
        <w:rPr>
          <w:b/>
          <w:bCs/>
        </w:rPr>
        <w:t xml:space="preserve">Cosa NON fa.</w:t>
      </w:r>
      <w:r>
        <w:t xml:space="preserve"> </w:t>
      </w:r>
      <w:r>
        <w:t xml:space="preserve">Non è più efficace del rinforzo o dell’acqua su tutti gli esiti: lo è su quello composito, e ha un’aderenza migliore. È probabilmente l’aderenza, più che la tecnica, la ragione del vantaggio — ed è un ragionamento, non un risultato dello studio.</w:t>
      </w:r>
    </w:p>
    <w:bookmarkEnd w:id="77"/>
    <w:bookmarkStart w:id="78" w:name="X60966abe3db4eaab9a2846eb3cbea556487e3da"/>
    <w:p>
      <w:pPr>
        <w:pStyle w:val="Heading3"/>
      </w:pPr>
      <w:r>
        <w:t xml:space="preserve">Strumento 3 — Il trattamento del sonno, che non è tuo</w:t>
      </w:r>
    </w:p>
    <w:p>
      <w:pPr>
        <w:pStyle w:val="FirstParagraph"/>
      </w:pPr>
      <w:r>
        <w:rPr>
          <w:b/>
          <w:bCs/>
        </w:rPr>
        <w:t xml:space="preserve">Cos’è.</w:t>
      </w:r>
      <w:r>
        <w:t xml:space="preserve"> </w:t>
      </w:r>
      <w:r>
        <w:t xml:space="preserve">Trattamento cognitivo-comportamentale dell’insonnia: restrizione del tempo a letto, controllo dello stimolo, lavoro sulle credenze che riguardano il sonno. Lo erogano psicologi e terapisti formati.</w:t>
      </w:r>
    </w:p>
    <w:p>
      <w:pPr>
        <w:pStyle w:val="BodyText"/>
      </w:pPr>
      <w:r>
        <w:rPr>
          <w:b/>
          <w:bCs/>
        </w:rPr>
        <w:t xml:space="preserve">Su quale meccanismo agisce.</w:t>
      </w:r>
      <w:r>
        <w:t xml:space="preserve"> </w:t>
      </w:r>
      <w:r>
        <w:t xml:space="preserve">Sul secondo — il sonno che non rifà la taratura — cioè il piano che questo documento mette primo nell’ordine di interrogazione.</w:t>
      </w:r>
    </w:p>
    <w:p>
      <w:pPr>
        <w:pStyle w:val="BodyText"/>
      </w:pPr>
      <w:r>
        <w:rPr>
          <w:b/>
          <w:bCs/>
        </w:rPr>
        <w:t xml:space="preserve">Cosa hanno misurato gli studi.</w:t>
      </w:r>
      <w:r>
        <w:t xml:space="preserve"> </w:t>
      </w:r>
      <w:r>
        <w:t xml:space="preserve">Nello studio randomizzato che ha aperto il campo sono stati arruolati quarantasette pazienti con fibromialgia e insonnia. Il trattamento cognitivo-comportamentale ha ridotto il tempo di veglia notturna di quasi il 50%, contro il 20% dell’igiene del sonno e il 3,5% delle sole cure abituali. E ha raggiunto i criteri di miglioramento in 8 pazienti su 14, contro 2 su 12 e 0 nel gruppo di cure abituali (Edinger, 2005, PMID 16314551).</w:t>
      </w:r>
    </w:p>
    <w:p>
      <w:pPr>
        <w:pStyle w:val="BodyText"/>
      </w:pPr>
      <w:r>
        <w:rPr>
          <w:b/>
          <w:bCs/>
        </w:rPr>
        <w:t xml:space="preserve">Per te:</w:t>
      </w:r>
      <w:r>
        <w:t xml:space="preserve"> </w:t>
      </w:r>
      <w:r>
        <w:t xml:space="preserve">8 su 14 contro 0 su 12 è la ragione per cui il sonno esce dalle tue mani e finisce in una lettera. Nessuna leva manuale di questo documento ha un numero così.</w:t>
      </w:r>
    </w:p>
    <w:p>
      <w:pPr>
        <w:pStyle w:val="BodyText"/>
      </w:pPr>
      <w:r>
        <w:t xml:space="preserve">Nella meta-analisi successiva su cinque studi migliorano qualità del sonno, dolore, ansia e depressione (Climent-Sanz, 2022, PMID 34297651).</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le prove sono di qualità da molto bassa a bassa e su pochi studi, e la meta-analisi</w:t>
      </w:r>
      <w:r>
        <w:t xml:space="preserve"> </w:t>
      </w:r>
      <w:r>
        <w:rPr>
          <w:b/>
          <w:bCs/>
        </w:rPr>
        <w:t xml:space="preserve">non</w:t>
      </w:r>
      <w:r>
        <w:t xml:space="preserve"> </w:t>
      </w:r>
      <w:r>
        <w:t xml:space="preserve">trova un miglioramento significativo dell’efficienza del sonno. E il salto va dichiarato sull’asse dell’erogatore: negli studi lo somministrano psicologi e terapisti formati, non osteopati.</w:t>
      </w:r>
    </w:p>
    <w:p>
      <w:pPr>
        <w:pStyle w:val="FirstParagraph"/>
      </w:pPr>
      <w:r>
        <w:rPr>
          <w:b/>
          <w:bCs/>
        </w:rPr>
        <w:t xml:space="preserve">Cosa NON fa, e chi lo fa.</w:t>
      </w:r>
      <w:r>
        <w:t xml:space="preserve"> </w:t>
      </w:r>
      <w:r>
        <w:t xml:space="preserve">Non lo fai tu. Il tuo ruolo è riconoscere il pattern guidato dal sonno, misurarlo abbastanza da poterlo scrivere, e indirizzarlo attraverso il curante. È il caso in cui restringere il tuo campo è la cosa più utile che puoi fare per il paziente.</w:t>
      </w:r>
    </w:p>
    <w:p>
      <w:pPr>
        <w:pStyle w:val="BodyText"/>
      </w:pPr>
      <w:r>
        <w:rPr>
          <w:b/>
          <w:bCs/>
        </w:rPr>
        <w:t xml:space="preserve">E una precisazione che evita di mandare il paziente allo strumento sbagliato:</w:t>
      </w:r>
      <w:r>
        <w:t xml:space="preserve"> </w:t>
      </w:r>
      <w:r>
        <w:t xml:space="preserve">questo trattamento è</w:t>
      </w:r>
      <w:r>
        <w:t xml:space="preserve"> </w:t>
      </w:r>
      <w:r>
        <w:rPr>
          <w:b/>
          <w:bCs/>
        </w:rPr>
        <w:t xml:space="preserve">per l’insonnia</w:t>
      </w:r>
      <w:r>
        <w:t xml:space="preserve">. Non è per la sindrome delle gambe senza riposo e non è per l’apnea. Sono due cose diverse, hanno percorsi diversi, e si nominano nella lettera al curante.</w:t>
      </w:r>
    </w:p>
    <w:bookmarkEnd w:id="78"/>
    <w:bookmarkStart w:id="79" w:name="X0e40e41c060a064a5b0dfe46ff7d996ac88b3c9"/>
    <w:p>
      <w:pPr>
        <w:pStyle w:val="Heading3"/>
      </w:pPr>
      <w:r>
        <w:t xml:space="preserve">Strumento 4 — Sapere come funziona il proprio dolore</w:t>
      </w:r>
    </w:p>
    <w:p>
      <w:pPr>
        <w:pStyle w:val="FirstParagraph"/>
      </w:pPr>
      <w:r>
        <w:rPr>
          <w:b/>
          <w:bCs/>
        </w:rPr>
        <w:t xml:space="preserve">Cos’è.</w:t>
      </w:r>
      <w:r>
        <w:t xml:space="preserve"> </w:t>
      </w:r>
      <w:r>
        <w:t xml:space="preserve">Spiegare il meccanismo: il segnale è amplificato, l’amplificazione è misurata, non c’è un danno che nessuno ha trovato.</w:t>
      </w:r>
    </w:p>
    <w:p>
      <w:pPr>
        <w:pStyle w:val="BodyText"/>
      </w:pPr>
      <w:r>
        <w:rPr>
          <w:b/>
          <w:bCs/>
        </w:rPr>
        <w:t xml:space="preserve">Su quale meccanismo agisce.</w:t>
      </w:r>
      <w:r>
        <w:t xml:space="preserve"> </w:t>
      </w:r>
      <w:r>
        <w:t xml:space="preserve">Sul primo, per via delle credenze. E sul quarto, perché chi smette di cercare il danno smette anche di alternare riposo assoluto e giornate piene.</w:t>
      </w:r>
    </w:p>
    <w:p>
      <w:pPr>
        <w:pStyle w:val="BodyText"/>
      </w:pPr>
      <w:r>
        <w:rPr>
          <w:b/>
          <w:bCs/>
        </w:rPr>
        <w:t xml:space="preserve">Cosa hanno misurato gli studi.</w:t>
      </w:r>
      <w:r>
        <w:t xml:space="preserve"> </w:t>
      </w:r>
      <w:r>
        <w:t xml:space="preserve">Le linee guida europee mettono l’educazione del paziente nella gestione iniziale (Macfarlane, 2017, PMID 27377815). Nella revisione Cochrane su ventitré studi e 2.031 pazienti, le terapie cognitivo-comportamentali — di cui l’educazione è parte — riducono il dolore di 0,5 punti su 10 a fine trattamento e 0,6 a sei mesi, e la disabilità di 0,7 e 1,2 (Bernardy, 2013, PMID 24018611).</w:t>
      </w:r>
    </w:p>
    <w:p>
      <w:pPr>
        <w:pStyle w:val="BodyText"/>
      </w:pPr>
      <w:r>
        <w:t xml:space="preserve">In uno studio a quattro bracci su cinquanta pazienti, con</w:t>
      </w:r>
      <w:r>
        <w:t xml:space="preserve"> </w:t>
      </w:r>
      <w:r>
        <w:rPr>
          <w:b/>
          <w:bCs/>
        </w:rPr>
        <w:t xml:space="preserve">dodici pazienti nel braccio di sola educazione</w:t>
      </w:r>
      <w:r>
        <w:t xml:space="preserve">, il dolore è diminuito in tutti i gruppi sperimentali</w:t>
      </w:r>
      <w:r>
        <w:t xml:space="preserve"> </w:t>
      </w:r>
      <w:r>
        <w:rPr>
          <w:b/>
          <w:bCs/>
        </w:rPr>
        <w:t xml:space="preserve">senza che nessuno risultasse superiore al controllo</w:t>
      </w:r>
      <w:r>
        <w:t xml:space="preserve"> </w:t>
      </w:r>
      <w:r>
        <w:t xml:space="preserve">(Kircali, 2024, PMID 39262170): è una variazione dentro il gruppo, non un effetto.</w:t>
      </w:r>
    </w:p>
    <w:p>
      <w:pPr>
        <w:pStyle w:val="BodyText"/>
      </w:pPr>
      <w:r>
        <w:rPr>
          <w:b/>
          <w:bCs/>
        </w:rPr>
        <w:t xml:space="preserve">Per te:</w:t>
      </w:r>
      <w:r>
        <w:t xml:space="preserve"> </w:t>
      </w:r>
      <w:r>
        <w:t xml:space="preserve">mezzo punto su dieci è poco, e viene da studi che gli stessi autori giudicano di bassa qualità. Abbastanza per farlo bene, non abbastanza per venderlo.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effetto piccolo, prove di bassa qualità, e l’educazione è quasi sempre studiata dentro un pacchetto più ampio, non da sola.</w:t>
      </w:r>
    </w:p>
    <w:p>
      <w:pPr>
        <w:pStyle w:val="FirstParagraph"/>
      </w:pPr>
      <w:r>
        <w:rPr>
          <w:b/>
          <w:bCs/>
        </w:rPr>
        <w:t xml:space="preserve">Cosa NON fa.</w:t>
      </w:r>
      <w:r>
        <w:t xml:space="preserve"> </w:t>
      </w:r>
      <w:r>
        <w:t xml:space="preserve">Non funziona come informazione consegnata. A un paziente a cui hanno detto per anni che era nella sua testa, «il dolore è amplificato» può suonare come una versione più elegante della stessa frase. La differenza la fa la sequenza: prima che il dolore è reale e misurato, poi dove nasce.</w:t>
      </w:r>
    </w:p>
    <w:bookmarkEnd w:id="79"/>
    <w:bookmarkStart w:id="80" w:name="strumento-5-dosare-lattività"/>
    <w:p>
      <w:pPr>
        <w:pStyle w:val="Heading3"/>
      </w:pPr>
      <w:r>
        <w:t xml:space="preserve">Strumento 5 — Dosare l’attività</w:t>
      </w:r>
    </w:p>
    <w:p>
      <w:pPr>
        <w:pStyle w:val="FirstParagraph"/>
      </w:pPr>
      <w:r>
        <w:rPr>
          <w:b/>
          <w:bCs/>
        </w:rPr>
        <w:t xml:space="preserve">Cos’è.</w:t>
      </w:r>
      <w:r>
        <w:t xml:space="preserve"> </w:t>
      </w:r>
      <w:r>
        <w:t xml:space="preserve">Distribuire il carico sulla settimana invece di concentrarlo nelle giornate buone: riconoscere il proprio tetto, fermarsi prima di superarlo, non recuperare con il riposo assoluto. È lo stipendio speso tutto il primo giorno: il resto del mese lo passi fermo.</w:t>
      </w:r>
    </w:p>
    <w:p>
      <w:pPr>
        <w:pStyle w:val="BodyText"/>
      </w:pPr>
      <w:r>
        <w:rPr>
          <w:b/>
          <w:bCs/>
        </w:rPr>
        <w:t xml:space="preserve">Su quale meccanismo agisce.</w:t>
      </w:r>
      <w:r>
        <w:t xml:space="preserve"> </w:t>
      </w:r>
      <w:r>
        <w:t xml:space="preserve">Sul quarto, per nome — l’acceleratore e il freno.</w:t>
      </w:r>
    </w:p>
    <w:p>
      <w:pPr>
        <w:pStyle w:val="BodyText"/>
      </w:pPr>
      <w:r>
        <w:rPr>
          <w:b/>
          <w:bCs/>
        </w:rPr>
        <w:t xml:space="preserve">Cosa hanno misurato gli studi.</w:t>
      </w:r>
      <w:r>
        <w:t xml:space="preserve"> </w:t>
      </w:r>
      <w:r>
        <w:t xml:space="preserve">Nell’unico studio randomizzato dedicato sono stati arruolati 178 pazienti, assegnati a due forme di dosaggio dell’attività o a un controllo differito; 69 hanno completato.</w:t>
      </w:r>
      <w:r>
        <w:t xml:space="preserve"> </w:t>
      </w:r>
      <w:r>
        <w:rPr>
          <w:b/>
          <w:bCs/>
        </w:rPr>
        <w:t xml:space="preserve">Sul dolore medio e sulla stanchezza non ha funzionato.</w:t>
      </w:r>
      <w:r>
        <w:t xml:space="preserve"> </w:t>
      </w:r>
      <w:r>
        <w:t xml:space="preserve">Ha migliorato qualità del sonno e funzione fisica, ha aumentato i comportamenti di dosaggio e ha ridotto il «fare troppo». Solo la forma basata sull’apprendimento operante ha ridotto l’evitamento dell’attività (Racine, 2019, PMID 30326271).</w:t>
      </w:r>
    </w:p>
    <w:p>
      <w:pPr>
        <w:pStyle w:val="BodyText"/>
      </w:pPr>
      <w:r>
        <w:rPr>
          <w:b/>
          <w:bCs/>
        </w:rPr>
        <w:t xml:space="preserve">Per te:</w:t>
      </w:r>
      <w:r>
        <w:t xml:space="preserve"> </w:t>
      </w:r>
      <w:r>
        <w:t xml:space="preserve">69 pazienti su 178 hanno completato, cioè meno di quattro su dieci. È il numero che ti fa proporre il dosaggio dell’attività come un esperimento da verificare, non come un piano da consegnare.</w:t>
      </w:r>
    </w:p>
    <w:p>
      <w:pPr>
        <w:pStyle w:val="BlockText"/>
      </w:pPr>
      <w:r>
        <w:rPr>
          <w:b/>
          <w:bCs/>
        </w:rPr>
        <w:t xml:space="preserve">Quanto è solido:</w:t>
      </w:r>
      <w:r>
        <w:t xml:space="preserve"> </w:t>
      </w:r>
      <w:r>
        <w:t xml:space="preserve">l’etichetta si spezza. Su</w:t>
      </w:r>
      <w:r>
        <w:t xml:space="preserve"> </w:t>
      </w:r>
      <w:r>
        <w:rPr>
          <w:b/>
          <w:bCs/>
        </w:rPr>
        <w:t xml:space="preserve">dolore e stanchezza</w:t>
      </w:r>
      <w:r>
        <w:t xml:space="preserve"> </w:t>
      </w:r>
      <w:r>
        <w:t xml:space="preserve">non c’è un’assenza di prove: c’è una misura negativa, e va dichiarata per prima. Su</w:t>
      </w:r>
      <w:r>
        <w:t xml:space="preserve"> </w:t>
      </w:r>
      <w:r>
        <w:rPr>
          <w:b/>
          <w:bCs/>
        </w:rPr>
        <w:t xml:space="preserve">funzione, sonno e comportamento di sovraccarico</w:t>
      </w:r>
      <w:r>
        <w:t xml:space="preserve">:</w:t>
      </w:r>
      <w:r>
        <w:t xml:space="preserve"> </w:t>
      </w:r>
      <w:r>
        <w:rPr>
          <w:b/>
          <w:bCs/>
        </w:rPr>
        <w:t xml:space="preserve">PROBABILE</w:t>
      </w:r>
      <w:r>
        <w:t xml:space="preserve"> </w:t>
      </w:r>
      <w:r>
        <w:rPr>
          <w:i/>
          <w:iCs/>
        </w:rPr>
        <w:t xml:space="preserve">(razionale forte, prove parziali)</w:t>
      </w:r>
      <w:r>
        <w:t xml:space="preserve"> </w:t>
      </w:r>
      <w:r>
        <w:t xml:space="preserve">— uno studio pilota, con meno di quattro pazienti su dieci che lo completano.</w:t>
      </w:r>
    </w:p>
    <w:p>
      <w:pPr>
        <w:pStyle w:val="FirstParagraph"/>
      </w:pPr>
      <w:r>
        <w:rPr>
          <w:b/>
          <w:bCs/>
        </w:rPr>
        <w:t xml:space="preserve">Cosa NON fa.</w:t>
      </w:r>
      <w:r>
        <w:t xml:space="preserve"> </w:t>
      </w:r>
      <w:r>
        <w:t xml:space="preserve">Non riduce il dolore. Ed è la cosa più importante da dire a chi stai chiedendo di riorganizzare la settimana: il guadagno è sulla funzione e sulle notti, non sul male.</w:t>
      </w:r>
    </w:p>
    <w:p>
      <w:pPr>
        <w:pStyle w:val="BodyText"/>
      </w:pPr>
      <w:r>
        <w:rPr>
          <w:b/>
          <w:bCs/>
        </w:rPr>
        <w:t xml:space="preserve">Quanti smettono, dato che nessuno riporta mai.</w:t>
      </w:r>
      <w:r>
        <w:t xml:space="preserve"> </w:t>
      </w:r>
      <w:r>
        <w:t xml:space="preserve">Nella revisione Cochrane i ritiri sono 20 su 100 nel braccio esercizio contro 17 su 100 nel controllo (Bidonde, 2017, PMID 28636204). Si ritira circa un paziente su cinque, e</w:t>
      </w:r>
      <w:r>
        <w:t xml:space="preserve"> </w:t>
      </w:r>
      <w:r>
        <w:rPr>
          <w:b/>
          <w:bCs/>
        </w:rPr>
        <w:t xml:space="preserve">non più che nei controlli</w:t>
      </w:r>
      <w:r>
        <w:t xml:space="preserve">. L’abbandono non è un effetto dell’esercizio: è la condizione di base con cui lavori.</w:t>
      </w:r>
    </w:p>
    <w:p>
      <w:pPr>
        <w:pStyle w:val="BodyText"/>
      </w:pPr>
      <w:r>
        <w:rPr>
          <w:b/>
          <w:bCs/>
        </w:rPr>
        <w:t xml:space="preserve">Le tre cose da ricordare, più una</w:t>
      </w:r>
    </w:p>
    <w:p>
      <w:pPr>
        <w:pStyle w:val="Compact"/>
        <w:numPr>
          <w:ilvl w:val="0"/>
          <w:numId w:val="1035"/>
        </w:numPr>
      </w:pPr>
      <w:r>
        <w:t xml:space="preserve">L’esercizio è l’unica raccomandazione forte esistente, e il guadagno appartiene alla ripetizione, non alla singola seduta.</w:t>
      </w:r>
    </w:p>
    <w:p>
      <w:pPr>
        <w:pStyle w:val="Compact"/>
        <w:numPr>
          <w:ilvl w:val="0"/>
          <w:numId w:val="1035"/>
        </w:numPr>
      </w:pPr>
      <w:r>
        <w:t xml:space="preserve">Sul sonno lo strumento migliore non è tuo: il tuo lavoro è riconoscere il pattern e indirizzarlo.</w:t>
      </w:r>
    </w:p>
    <w:p>
      <w:pPr>
        <w:pStyle w:val="Compact"/>
        <w:numPr>
          <w:ilvl w:val="0"/>
          <w:numId w:val="1035"/>
        </w:numPr>
      </w:pPr>
      <w:r>
        <w:t xml:space="preserve">I numeri si leggono contro una variazione del 14% del punteggio del paziente, cioè circa otto-nove punti: il tai chi a 5,5 punti è al margine, e va detto.</w:t>
      </w:r>
    </w:p>
    <w:p>
      <w:pPr>
        <w:pStyle w:val="Compact"/>
        <w:numPr>
          <w:ilvl w:val="0"/>
          <w:numId w:val="1035"/>
        </w:numPr>
      </w:pPr>
      <w:r>
        <w:rPr>
          <w:b/>
          <w:bCs/>
        </w:rPr>
        <w:t xml:space="preserve">Perché ci sei tu.</w:t>
      </w:r>
      <w:r>
        <w:t xml:space="preserve"> </w:t>
      </w:r>
      <w:r>
        <w:t xml:space="preserve">Le linee guida europee hanno valutato 107 revisioni sistematiche, e</w:t>
      </w:r>
      <w:r>
        <w:t xml:space="preserve"> </w:t>
      </w:r>
      <w:r>
        <w:rPr>
          <w:b/>
          <w:bCs/>
        </w:rPr>
        <w:t xml:space="preserve">l’esercizio è l’unica raccomandazione forte</w:t>
      </w:r>
      <w:r>
        <w:t xml:space="preserve"> </w:t>
      </w:r>
      <w:r>
        <w:t xml:space="preserve">(Macfarlane, 2017, PMID 27377815). Ti autorizza a metterlo al centro di quello che insegni. Non a presentare la tua seduta come l’intervento principale.</w:t>
      </w:r>
    </w:p>
    <w:p>
      <w:r>
        <w:pict>
          <v:rect style="width:0;height:1.5pt" o:hralign="center" o:hrstd="t" o:hr="t"/>
        </w:pict>
      </w:r>
    </w:p>
    <w:bookmarkEnd w:id="80"/>
    <w:bookmarkEnd w:id="81"/>
    <w:bookmarkStart w:id="85" w:name="capitolo-13-cosa-dire-al-paziente"/>
    <w:p>
      <w:pPr>
        <w:pStyle w:val="Heading2"/>
      </w:pPr>
      <w:r>
        <w:t xml:space="preserve">Capitolo 13 — Cosa dire al paziente</w:t>
      </w:r>
    </w:p>
    <w:p>
      <w:pPr>
        <w:pStyle w:val="BlockText"/>
      </w:pPr>
      <w:r>
        <w:rPr>
          <w:b/>
          <w:bCs/>
        </w:rPr>
        <w:t xml:space="preserve">In una riga:</w:t>
      </w:r>
      <w:r>
        <w:t xml:space="preserve"> </w:t>
      </w:r>
      <w:r>
        <w:t xml:space="preserve">con questo paziente la prima cosa che dici non è cosa farai, è che gli credi — e la seconda è cosa non farai.</w:t>
      </w:r>
    </w:p>
    <w:bookmarkStart w:id="82" w:name="lo-script"/>
    <w:p>
      <w:pPr>
        <w:pStyle w:val="Heading3"/>
      </w:pPr>
      <w:r>
        <w:t xml:space="preserve">Lo script</w:t>
      </w:r>
    </w:p>
    <w:p>
      <w:pPr>
        <w:pStyle w:val="FirstParagraph"/>
      </w:pPr>
      <w:r>
        <w:rPr>
          <w:i/>
          <w:iCs/>
        </w:rPr>
        <w:t xml:space="preserve">«Il tuo dolore è vero. Lo hanno misurato: a parità di pressione, il tuo sistema si accende molto di più. Non è nella tua testa, ed è per questo che gli esami sono normali — guardavano un’altra cosa. Te lo dico subito: uno studio serio ha confrontato il trattamento osteopatico con uno finto su cento pazienti, e non ha trovato differenza. Io non tratto la fibromialgia e non abbasso quel volume. Tratto le zone che ho trovato io, per togliere qualche ingresso da lì dentro. È un margine, non una guarigione. E prima di iniziare scegliamo una cosa da misurare.»</w:t>
      </w:r>
    </w:p>
    <w:bookmarkEnd w:id="82"/>
    <w:bookmarkStart w:id="83" w:name="le-obiezioni-e-le-risposte-oneste"/>
    <w:p>
      <w:pPr>
        <w:pStyle w:val="Heading3"/>
      </w:pPr>
      <w:r>
        <w:t xml:space="preserve">Le obiezioni, e le risposte oneste</w:t>
      </w:r>
    </w:p>
    <w:p>
      <w:pPr>
        <w:pStyle w:val="FirstParagraph"/>
      </w:pPr>
      <w:r>
        <w:rPr>
          <w:b/>
          <w:bCs/>
        </w:rPr>
        <w:t xml:space="preserve">«Mi hanno detto che è nella mia testa.»</w:t>
      </w:r>
      <w:r>
        <w:t xml:space="preserve"> </w:t>
      </w:r>
      <w:r>
        <w:rPr>
          <w:i/>
          <w:iCs/>
        </w:rPr>
        <w:t xml:space="preserve">«Non lo è, e non è un’opinione mia. Hanno messo persone con questa condizione in risonanza e applicato la stessa pressione dei controlli: nel loro cervello si accendono più aree. Il tuo sistema del dolore lavora davvero in modo diverso, e qui si parte da questo.»</w:t>
      </w:r>
    </w:p>
    <w:p>
      <w:pPr>
        <w:pStyle w:val="BodyText"/>
      </w:pPr>
      <w:r>
        <w:rPr>
          <w:b/>
          <w:bCs/>
        </w:rPr>
        <w:t xml:space="preserve">«I massaggi normali mi fanno male.»</w:t>
      </w:r>
      <w:r>
        <w:t xml:space="preserve"> </w:t>
      </w:r>
      <w:r>
        <w:rPr>
          <w:i/>
          <w:iCs/>
        </w:rPr>
        <w:t xml:space="preserve">«Perché usano una pressione decisa, e in te la pressione è proprio la cosa che il sistema amplifica. Qui la pressione la decidi tu: partiamo bassissimi, e se in un punto è troppo mi fermo. Se dopo la seduta stai peggio, non è un imprevisto — lo contiamo e la volta dopo abbassiamo.»</w:t>
      </w:r>
    </w:p>
    <w:p>
      <w:pPr>
        <w:pStyle w:val="BodyText"/>
      </w:pPr>
      <w:r>
        <w:rPr>
          <w:b/>
          <w:bCs/>
        </w:rPr>
        <w:t xml:space="preserve">«Se il volume resta alto, a cosa serve?»</w:t>
      </w:r>
      <w:r>
        <w:t xml:space="preserve"> </w:t>
      </w:r>
      <w:r>
        <w:rPr>
          <w:i/>
          <w:iCs/>
        </w:rPr>
        <w:t xml:space="preserve">«A ridurre quello che ci entra dentro. È un margine reale e limitato, e non ti prometto quanto sarà. Ti prometto che lo misuriamo, e che se dopo un numero di sedute che decidiamo adesso non si è mosso niente, te lo dico io.»</w:t>
      </w:r>
    </w:p>
    <w:p>
      <w:pPr>
        <w:pStyle w:val="BodyText"/>
      </w:pPr>
      <w:r>
        <w:rPr>
          <w:b/>
          <w:bCs/>
        </w:rPr>
        <w:t xml:space="preserve">«Ho paura di pagare la seduta il giorno dopo.»</w:t>
      </w:r>
      <w:r>
        <w:t xml:space="preserve"> </w:t>
      </w:r>
      <w:r>
        <w:rPr>
          <w:i/>
          <w:iCs/>
        </w:rPr>
        <w:t xml:space="preserve">«È un rischio noto e documentato, quindi lo mettiamo dentro il piano invece di sperare che non succeda. Contiamo i giorni: se dopo una seduta ci metti più di un giorno a tornare come prima, la volta dopo facciamo meno. Due cose però non si contano e basta. Se compare un mal di testa violentissimo mai provato, un disturbo nuovo di forza, sensibilità, vista, parola o deglutizione, un dolore che invece di tornare cresce, dolore al petto o febbre, non aspetti la seduta: vai in pronto soccorso. E ci rivediamo a tre mesi anche se il ciclo è finito, perché un peggioramento tardivo è documentato e voglio saperlo.»</w:t>
      </w:r>
    </w:p>
    <w:p>
      <w:pPr>
        <w:pStyle w:val="BodyText"/>
      </w:pPr>
      <w:r>
        <w:rPr>
          <w:b/>
          <w:bCs/>
        </w:rPr>
        <w:t xml:space="preserve">«Il mio medico sa che vengo?»</w:t>
      </w:r>
      <w:r>
        <w:t xml:space="preserve"> </w:t>
      </w:r>
      <w:r>
        <w:rPr>
          <w:i/>
          <w:iCs/>
        </w:rPr>
        <w:t xml:space="preserve">«Glielo scrivo io. Il tuo inquadramento medico resta il suo, e io gli mando cosa ho trovato e cosa sto facendo. Le due cose convivono: io lavoro sulla componente meccanica che ho trovato, il quadro generale lo segue lui, e nel frattempo non aspetto.»</w:t>
      </w:r>
    </w:p>
    <w:p>
      <w:pPr>
        <w:pStyle w:val="BodyText"/>
      </w:pPr>
      <w:r>
        <w:rPr>
          <w:b/>
          <w:bCs/>
        </w:rPr>
        <w:t xml:space="preserve">«Allora le medicine che prendo non servono?»</w:t>
      </w:r>
      <w:r>
        <w:t xml:space="preserve"> </w:t>
      </w:r>
      <w:r>
        <w:rPr>
          <w:i/>
          <w:iCs/>
        </w:rPr>
        <w:t xml:space="preserve">«Non lo so, e non è una cosa che decido io: su questi farmaci il beneficio medio negli studi è modesto, ma se il tuo funziona lo stabilisci con chi te lo ha prescritto. Io non tocco la terapia, non ti dico di ridurla e non di aumentarla. Se qualcosa non ti torna lo scrivo al tuo medico, e lo decidete voi.»</w:t>
      </w:r>
    </w:p>
    <w:p>
      <w:pPr>
        <w:pStyle w:val="BodyText"/>
      </w:pPr>
      <w:r>
        <w:rPr>
          <w:b/>
          <w:bCs/>
        </w:rPr>
        <w:t xml:space="preserve">«Quindi devo fare tutto io? E comunque ho già provato la ginnastica e sono stata peggio.»</w:t>
      </w:r>
      <w:r>
        <w:t xml:space="preserve"> </w:t>
      </w:r>
      <w:r>
        <w:rPr>
          <w:i/>
          <w:iCs/>
        </w:rPr>
        <w:t xml:space="preserve">«In parte sì. Il movimento graduato è l’unica cosa con una raccomandazione forte, e vale circa dieci punti su cento: non è la guarigione, ed è per quello che vale la fatica. Che tu sia stata peggio non vuol dire che non funzioni — vuol dire che sei partita da un livello che il tuo corpo non reggeva. Il mio lavoro è renderti tollerabile il rientro, non sostituirlo.»</w:t>
      </w:r>
    </w:p>
    <w:p>
      <w:pPr>
        <w:pStyle w:val="BodyText"/>
      </w:pPr>
      <w:r>
        <w:rPr>
          <w:b/>
          <w:bCs/>
        </w:rPr>
        <w:t xml:space="preserve">«Sto perdendo la testa? Perdo le parole a metà frase.»</w:t>
      </w:r>
      <w:r>
        <w:t xml:space="preserve"> </w:t>
      </w:r>
      <w:r>
        <w:rPr>
          <w:i/>
          <w:iCs/>
        </w:rPr>
        <w:t xml:space="preserve">«No. Hanno confrontato donne con la tua condizione e donne senza, e la memoria di lavoro complessiva non risulta diversa: il deficit misurato è piccolo e passa dal sonno, dalla stanchezza e dal dolore. Quello che senti è reale, ma non è un cervello che si rovina — è un cervello che lavora con il carburante che gli lasciano una notte spezzata e un dolore continuo.»</w:t>
      </w:r>
    </w:p>
    <w:bookmarkEnd w:id="83"/>
    <w:bookmarkStart w:id="84" w:name="cosa-non-promettere-mai"/>
    <w:p>
      <w:pPr>
        <w:pStyle w:val="Heading3"/>
      </w:pPr>
      <w:r>
        <w:t xml:space="preserve">Cosa non promettere mai</w:t>
      </w:r>
    </w:p>
    <w:p>
      <w:pPr>
        <w:pStyle w:val="FirstParagraph"/>
      </w:pPr>
      <w:r>
        <w:t xml:space="preserve">Non promettere che il dolore diminuirà. Non promettere che il sonno migliorerà con le tue mani. Non promettere che la stanchezza passerà. E non promettere di sostituire l’esercizio, che è l’unica cosa con una raccomandazione forte: se il paziente vuole scegliere fra le due, la scelta giusta non è la tua.</w:t>
      </w:r>
    </w:p>
    <w:p>
      <w:pPr>
        <w:pStyle w:val="BodyText"/>
      </w:pPr>
      <w:r>
        <w:rPr>
          <w:b/>
          <w:bCs/>
        </w:rPr>
        <w:t xml:space="preserve">Le tre cose da ricordare, più una</w:t>
      </w:r>
    </w:p>
    <w:p>
      <w:pPr>
        <w:pStyle w:val="Compact"/>
        <w:numPr>
          <w:ilvl w:val="0"/>
          <w:numId w:val="1036"/>
        </w:numPr>
      </w:pPr>
      <w:r>
        <w:t xml:space="preserve">La prima frase è che gli credi, e ha un dato dietro. La seconda è cosa non fai, e la terza è lo studio che ti smentisce.</w:t>
      </w:r>
    </w:p>
    <w:p>
      <w:pPr>
        <w:pStyle w:val="Compact"/>
        <w:numPr>
          <w:ilvl w:val="0"/>
          <w:numId w:val="1036"/>
        </w:numPr>
      </w:pPr>
      <w:r>
        <w:t xml:space="preserve">Lo studio negativo si dice prima, non dopo: detto prima costruisce fiducia, scoperto dopo la distrugge.</w:t>
      </w:r>
    </w:p>
    <w:p>
      <w:pPr>
        <w:pStyle w:val="Compact"/>
        <w:numPr>
          <w:ilvl w:val="0"/>
          <w:numId w:val="1036"/>
        </w:numPr>
      </w:pPr>
      <w:r>
        <w:t xml:space="preserve">La convivenza fra il tuo lavoro e l’inquadramento medico si dice al paziente con quelle parole.</w:t>
      </w:r>
    </w:p>
    <w:p>
      <w:pPr>
        <w:pStyle w:val="Compact"/>
        <w:numPr>
          <w:ilvl w:val="0"/>
          <w:numId w:val="1036"/>
        </w:numPr>
      </w:pPr>
      <w:r>
        <w:rPr>
          <w:b/>
          <w:bCs/>
        </w:rPr>
        <w:t xml:space="preserve">Perché ci sei tu.</w:t>
      </w:r>
      <w:r>
        <w:t xml:space="preserve"> </w:t>
      </w:r>
      <w:r>
        <w:t xml:space="preserve">Su 800 pazienti,</w:t>
      </w:r>
      <w:r>
        <w:t xml:space="preserve"> </w:t>
      </w:r>
      <w:r>
        <w:rPr>
          <w:b/>
          <w:bCs/>
        </w:rPr>
        <w:t xml:space="preserve">il 35% dichiarava il proprio dolore diffuso non ben gestito dal trattamento in corso</w:t>
      </w:r>
      <w:r>
        <w:t xml:space="preserve"> </w:t>
      </w:r>
      <w:r>
        <w:t xml:space="preserve">(Choy, 2010, PMID 20420681). Ti autorizza a esserci. Non a lasciar credere che tu copra quella quota.</w:t>
      </w:r>
    </w:p>
    <w:p>
      <w:r>
        <w:pict>
          <v:rect style="width:0;height:1.5pt" o:hralign="center" o:hrstd="t" o:hr="t"/>
        </w:pict>
      </w:r>
    </w:p>
    <w:bookmarkEnd w:id="84"/>
    <w:bookmarkEnd w:id="85"/>
    <w:bookmarkStart w:id="86" w:name="capitolo-14-cosa-fare-adesso"/>
    <w:p>
      <w:pPr>
        <w:pStyle w:val="Heading2"/>
      </w:pPr>
      <w:r>
        <w:t xml:space="preserve">Capitolo 14 — Cosa fare adesso</w:t>
      </w:r>
    </w:p>
    <w:p>
      <w:pPr>
        <w:pStyle w:val="BlockText"/>
      </w:pPr>
      <w:r>
        <w:rPr>
          <w:b/>
          <w:bCs/>
        </w:rPr>
        <w:t xml:space="preserve">In una riga:</w:t>
      </w:r>
      <w:r>
        <w:t xml:space="preserve"> </w:t>
      </w:r>
      <w:r>
        <w:t xml:space="preserve">su questa condizione la competenza non si vede da quello che prometti, si vede da quello che misuri e da quello che dichiari di non poter fare.</w:t>
      </w:r>
    </w:p>
    <w:p>
      <w:pPr>
        <w:pStyle w:val="FirstParagraph"/>
      </w:pPr>
      <w:r>
        <w:rPr>
          <w:b/>
          <w:bCs/>
        </w:rPr>
        <w:t xml:space="preserve">Il filo.</w:t>
      </w:r>
      <w:r>
        <w:t xml:space="preserve"> </w:t>
      </w:r>
      <w:r>
        <w:t xml:space="preserve">Ti arriva una persona che ha male dappertutto da anni, con tutti gli esami negativi, e a cui hanno detto che se lo inventa. Non se lo inventa: a parità di pressione il suo sistema nervoso si accende molto di più, ed è stato fotografato.</w:t>
      </w:r>
    </w:p>
    <w:p>
      <w:pPr>
        <w:pStyle w:val="BodyText"/>
      </w:pPr>
      <w:r>
        <w:t xml:space="preserve">Quel guadagno alzato lo tengono su tre cose che tu non tocchi — un sonno che non rifà la taratura, un sistema che non torna in stand-by, una settimana fatta di un picco e quattro giorni sotto. E una che tocchi: gli ingressi da un distretto con una storia sua. È la tua leva, ed è la più debole delle cinque; accanto ha solo una leva piccola e misurata sul carico affettivo.</w:t>
      </w:r>
    </w:p>
    <w:p>
      <w:pPr>
        <w:pStyle w:val="BodyText"/>
      </w:pPr>
      <w:r>
        <w:t xml:space="preserve">Sul gesto applicato al quadro intero esiste una prova, ed è negativa. Su quello che fai davvero non esiste nessuna prova, né a favore né contro. Ecco perché tutto, qui, poggia su un marker scelto prima.</w:t>
      </w:r>
    </w:p>
    <w:p>
      <w:pPr>
        <w:pStyle w:val="BodyText"/>
      </w:pPr>
      <w:r>
        <w:rPr>
          <w:b/>
          <w:bCs/>
        </w:rPr>
        <w:t xml:space="preserve">Le tre cose che cambi da lunedì.</w:t>
      </w:r>
    </w:p>
    <w:p>
      <w:pPr>
        <w:pStyle w:val="Compact"/>
        <w:numPr>
          <w:ilvl w:val="0"/>
          <w:numId w:val="1037"/>
        </w:numPr>
      </w:pPr>
      <w:r>
        <w:rPr>
          <w:b/>
          <w:bCs/>
        </w:rPr>
        <w:t xml:space="preserve">Guarda il sonno prima del corpo.</w:t>
      </w:r>
      <w:r>
        <w:t xml:space="preserve"> </w:t>
      </w:r>
      <w:r>
        <w:t xml:space="preserve">Su ogni paziente con dolore diffuso, la prima domanda è quante volte si sveglia e quanto ci mette a riaddormentarsi. Non «dormi male»: il numero. E due domande in più, che aprono canali che non sono tuoi: le gambe che non stanno ferme la sera, e il russare con le pause di respiro.</w:t>
      </w:r>
    </w:p>
    <w:p>
      <w:pPr>
        <w:pStyle w:val="Compact"/>
        <w:numPr>
          <w:ilvl w:val="0"/>
          <w:numId w:val="1037"/>
        </w:numPr>
      </w:pPr>
      <w:r>
        <w:rPr>
          <w:b/>
          <w:bCs/>
        </w:rPr>
        <w:t xml:space="preserve">Di’ dello studio negativo prima di iniziare.</w:t>
      </w:r>
      <w:r>
        <w:t xml:space="preserve"> </w:t>
      </w:r>
      <w:r>
        <w:t xml:space="preserve">«C’è uno studio che ha confrontato il trattamento osteopatico con uno finto e non ha trovato differenza. Quello che facciamo qui è un’altra cosa, e la misuriamo.»</w:t>
      </w:r>
    </w:p>
    <w:p>
      <w:pPr>
        <w:pStyle w:val="Compact"/>
        <w:numPr>
          <w:ilvl w:val="0"/>
          <w:numId w:val="1037"/>
        </w:numPr>
      </w:pPr>
      <w:r>
        <w:rPr>
          <w:b/>
          <w:bCs/>
        </w:rPr>
        <w:t xml:space="preserve">Smetti di contare i punti dolorosi.</w:t>
      </w:r>
      <w:r>
        <w:t xml:space="preserve"> </w:t>
      </w:r>
      <w:r>
        <w:t xml:space="preserve">Non è più un criterio dal 2010, e la dolorabilità palpata non regge né il mandato né la verifica. Al suo posto:</w:t>
      </w:r>
      <w:r>
        <w:t xml:space="preserve"> </w:t>
      </w:r>
      <w:r>
        <w:rPr>
          <w:b/>
          <w:bCs/>
        </w:rPr>
        <w:t xml:space="preserve">un test della sedia e il conteggio dei giorni di riacutizzazione</w:t>
      </w:r>
      <w:r>
        <w:t xml:space="preserve">, più un algometro su sito remoto come informazione sul sistema.</w:t>
      </w:r>
    </w:p>
    <w:p>
      <w:pPr>
        <w:pStyle w:val="FirstParagraph"/>
      </w:pPr>
      <w:r>
        <w:rPr>
          <w:b/>
          <w:bCs/>
        </w:rPr>
        <w:t xml:space="preserve">Quando sai di averla studiata abbastanza.</w:t>
      </w:r>
      <w:r>
        <w:t xml:space="preserve"> </w:t>
      </w:r>
      <w:r>
        <w:t xml:space="preserve">Non quando hai finito le pagine: quando sai fare tre cose a documento chiuso. Distinguere il pattern guidato dal sonno da quello guidato dall’allerta quando sono accesi entrambi, e dire quale dei due diventa il bersaglio e perché. Riconoscere l’ipermobile</w:t>
      </w:r>
      <w:r>
        <w:t xml:space="preserve"> </w:t>
      </w:r>
      <w:r>
        <w:rPr>
          <w:b/>
          <w:bCs/>
        </w:rPr>
        <w:t xml:space="preserve">prima</w:t>
      </w:r>
      <w:r>
        <w:t xml:space="preserve"> </w:t>
      </w:r>
      <w:r>
        <w:t xml:space="preserve">di decidere dove mobilizzare, perché lì la lettura si rovescia. Dire a un medico cosa possiamo affermare su questo trattamento e cosa no. Se una delle tre non ti esce, quello è il capitolo da rileggere.</w:t>
      </w:r>
    </w:p>
    <w:p>
      <w:pPr>
        <w:pStyle w:val="BodyText"/>
      </w:pPr>
      <w:r>
        <w:rPr>
          <w:i/>
          <w:iCs/>
        </w:rPr>
        <w:t xml:space="preserve">Il paziente che ti si siede davanti ha smesso di aspettarsi qualcosa: ogni volta che ha chiesto ha ricevuto un esame in più e una risposta in meno. Non ti serve prometterle niente — ti serve essere la prima persona che le dice esattamente cosa puoi e cosa non puoi fare, e poi misurarlo davanti a lei. Su questa condizione l’onestà non è un limite del mestiere. È il mestiere.</w:t>
      </w:r>
    </w:p>
    <w:p>
      <w:pPr>
        <w:pStyle w:val="BodyText"/>
      </w:pPr>
      <w:r>
        <w:rPr>
          <w:b/>
          <w:bCs/>
        </w:rPr>
        <w:t xml:space="preserve">Le tre cose da ricordare, più una</w:t>
      </w:r>
    </w:p>
    <w:p>
      <w:pPr>
        <w:pStyle w:val="Compact"/>
        <w:numPr>
          <w:ilvl w:val="0"/>
          <w:numId w:val="1038"/>
        </w:numPr>
      </w:pPr>
      <w:r>
        <w:t xml:space="preserve">Guarda il sonno prima del corpo, e in numeri.</w:t>
      </w:r>
    </w:p>
    <w:p>
      <w:pPr>
        <w:pStyle w:val="Compact"/>
        <w:numPr>
          <w:ilvl w:val="0"/>
          <w:numId w:val="1038"/>
        </w:numPr>
      </w:pPr>
      <w:r>
        <w:t xml:space="preserve">Di’ dello studio negativo prima di iniziare, non dopo.</w:t>
      </w:r>
    </w:p>
    <w:p>
      <w:pPr>
        <w:pStyle w:val="Compact"/>
        <w:numPr>
          <w:ilvl w:val="0"/>
          <w:numId w:val="1038"/>
        </w:numPr>
      </w:pPr>
      <w:r>
        <w:t xml:space="preserve">Smetti di contare i punti dolorosi: la coppia che decide è il test funzionale più il conteggio dei giorni.</w:t>
      </w:r>
    </w:p>
    <w:p>
      <w:pPr>
        <w:pStyle w:val="Compact"/>
        <w:numPr>
          <w:ilvl w:val="0"/>
          <w:numId w:val="1038"/>
        </w:numPr>
      </w:pPr>
      <w:r>
        <w:rPr>
          <w:b/>
          <w:bCs/>
        </w:rPr>
        <w:t xml:space="preserve">Perché ci sei tu.</w:t>
      </w:r>
      <w:r>
        <w:t xml:space="preserve"> </w:t>
      </w:r>
      <w:r>
        <w:t xml:space="preserve">La differenza minima che conta è una variazione del</w:t>
      </w:r>
      <w:r>
        <w:t xml:space="preserve"> </w:t>
      </w:r>
      <w:r>
        <w:rPr>
          <w:b/>
          <w:bCs/>
        </w:rPr>
        <w:t xml:space="preserve">14% del punteggio del paziente</w:t>
      </w:r>
      <w:r>
        <w:t xml:space="preserve">, circa otto-nove punti su un basale di sessanta (Bennett, 2009, PMID 19369473). Ti autorizza a dichiarare prima quale cambiamento conterà come risultato. Non a raccontare come successo un’oscillazione più piccola.</w:t>
      </w:r>
    </w:p>
    <w:p>
      <w:r>
        <w:pict>
          <v:rect style="width:0;height:1.5pt" o:hralign="center" o:hrstd="t" o:hr="t"/>
        </w:pict>
      </w:r>
    </w:p>
    <w:bookmarkEnd w:id="86"/>
    <w:bookmarkStart w:id="87" w:name="appendice-a-glossario"/>
    <w:p>
      <w:pPr>
        <w:pStyle w:val="Heading2"/>
      </w:pPr>
      <w:r>
        <w:t xml:space="preserve">Appendice A — Glossario</w:t>
      </w:r>
    </w:p>
    <w:p>
      <w:pPr>
        <w:pStyle w:val="FirstParagraph"/>
      </w:pPr>
      <w:r>
        <w:rPr>
          <w:b/>
          <w:bCs/>
        </w:rPr>
        <w:t xml:space="preserve">Amplificazione centrale</w:t>
      </w:r>
      <w:r>
        <w:t xml:space="preserve"> </w:t>
      </w:r>
      <w:r>
        <w:t xml:space="preserve">— Il sistema nervoso centrale risponde a uno stimolo come se fosse più forte di quanto è.</w:t>
      </w:r>
    </w:p>
    <w:p>
      <w:pPr>
        <w:pStyle w:val="BodyText"/>
      </w:pPr>
      <w:r>
        <w:rPr>
          <w:b/>
          <w:bCs/>
        </w:rPr>
        <w:t xml:space="preserve">Anastomosi artero-venosa</w:t>
      </w:r>
      <w:r>
        <w:t xml:space="preserve"> </w:t>
      </w:r>
      <w:r>
        <w:t xml:space="preserve">— Collegamento diretto fra arteriola e venula che salta il letto capillare; nel palmo e nella pianta serve a smaltire calore.</w:t>
      </w:r>
    </w:p>
    <w:p>
      <w:pPr>
        <w:pStyle w:val="BodyText"/>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 Su questa condizione il ragionamento per catene non guida: «monte» è un livello di regolazione, non una coordinata anatomica.</w:t>
      </w:r>
    </w:p>
    <w:p>
      <w:pPr>
        <w:pStyle w:val="BodyText"/>
      </w:pPr>
      <w:r>
        <w:rPr>
          <w:b/>
          <w:bCs/>
        </w:rPr>
        <w:t xml:space="preserve">Chiave di volta (prova della)</w:t>
      </w:r>
      <w:r>
        <w:t xml:space="preserve"> </w:t>
      </w:r>
      <w:r>
        <w:t xml:space="preserve">— Si tratta il piano ipotizzato dominante e si verifica l’effetto altrove: se l’arco non si muove, quella pietra non era la chiave.</w:t>
      </w:r>
    </w:p>
    <w:p>
      <w:pPr>
        <w:pStyle w:val="BodyText"/>
      </w:pPr>
      <w:r>
        <w:rPr>
          <w:b/>
          <w:bCs/>
        </w:rPr>
        <w:t xml:space="preserve">Coefficiente di correlazione intraclasse (ICC)</w:t>
      </w:r>
      <w:r>
        <w:t xml:space="preserve"> </w:t>
      </w:r>
      <w:r>
        <w:t xml:space="preserve">— Quanto una misura ripetuta dà lo stesso valore. Va da 0 a 1: sopra 0,90 l’affidabilità è ottima.</w:t>
      </w:r>
    </w:p>
    <w:p>
      <w:pPr>
        <w:pStyle w:val="BodyText"/>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Conduttanza cutanea</w:t>
      </w:r>
      <w:r>
        <w:t xml:space="preserve"> </w:t>
      </w:r>
      <w:r>
        <w:t xml:space="preserve">— Quanto la pelle conduce corrente: cresce con la sudorazione. Misura la</w:t>
      </w:r>
      <w:r>
        <w:t xml:space="preserve"> </w:t>
      </w:r>
      <w:r>
        <w:rPr>
          <w:b/>
          <w:bCs/>
        </w:rPr>
        <w:t xml:space="preserve">risposta a uno stimolo</w:t>
      </w:r>
      <w:r>
        <w:t xml:space="preserve"> </w:t>
      </w:r>
      <w:r>
        <w:t xml:space="preserve">del ramo simpatico, non il livello tonico di attivazione: è la ragione per cui un suo aumento dopo una seduta non dice che il tono di base sia cambiato.</w:t>
      </w:r>
    </w:p>
    <w:p>
      <w:pPr>
        <w:pStyle w:val="BodyText"/>
      </w:pPr>
      <w:r>
        <w:rPr>
          <w:b/>
          <w:bCs/>
        </w:rPr>
        <w:t xml:space="preserve">Criteri ACR 2016</w:t>
      </w:r>
      <w:r>
        <w:t xml:space="preserve"> </w:t>
      </w:r>
      <w:r>
        <w:t xml:space="preserve">— I criteri diagnostici di riferimento per la fibromialgia: indice delle sedi di dolore, punteggio di gravità dei sintomi, durata di tre mesi.</w:t>
      </w:r>
    </w:p>
    <w:p>
      <w:pPr>
        <w:pStyle w:val="BodyText"/>
      </w:pPr>
      <w:r>
        <w:rPr>
          <w:b/>
          <w:bCs/>
        </w:rPr>
        <w:t xml:space="preserve">DIMOSTRATO</w:t>
      </w:r>
      <w:r>
        <w:t xml:space="preserve"> </w:t>
      </w:r>
      <w:r>
        <w:t xml:space="preserve">— Etichetta di solidità: studi sull’uomo, solidi.</w:t>
      </w:r>
    </w:p>
    <w:p>
      <w:pPr>
        <w:pStyle w:val="BodyText"/>
      </w:pPr>
      <w:r>
        <w:rPr>
          <w:b/>
          <w:bCs/>
        </w:rPr>
        <w:t xml:space="preserve">Differenza standardizzata (SMD, g)</w:t>
      </w:r>
      <w:r>
        <w:t xml:space="preserve"> </w:t>
      </w:r>
      <w:r>
        <w:t xml:space="preserve">— Effetto espresso in deviazioni standard, per confrontare studi che usano scale diverse. Attorno a 0,2 è piccolo, 0,5 medio, 0,8 grande.</w:t>
      </w:r>
    </w:p>
    <w:p>
      <w:pPr>
        <w:pStyle w:val="BodyText"/>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BodyText"/>
      </w:pPr>
      <w:r>
        <w:rPr>
          <w:b/>
          <w:bCs/>
        </w:rPr>
        <w:t xml:space="preserve">Dolore nociplastico</w:t>
      </w:r>
      <w:r>
        <w:t xml:space="preserve"> </w:t>
      </w:r>
      <w:r>
        <w:t xml:space="preserve">— Terza categoria di dolore, accanto al nocicettivo e al neuropatico: nasce da un’alterazione dell’elaborazione del segnale, non da un danno di tessuto né da una lesione di nervo.</w:t>
      </w:r>
    </w:p>
    <w:p>
      <w:pPr>
        <w:pStyle w:val="BodyText"/>
      </w:pPr>
      <w:r>
        <w:rPr>
          <w:b/>
          <w:bCs/>
        </w:rPr>
        <w:t xml:space="preserve">Fibre C-tattili</w:t>
      </w:r>
      <w:r>
        <w:t xml:space="preserve"> </w:t>
      </w:r>
      <w:r>
        <w:t xml:space="preserve">— Meccanocettori amielinici della cute pelosa che rispondono al tocco lento (1-10 cm/s) e proiettano all’insula posteriore. Sono il canale del contatto lento, e la biopsia cutanea non le misura.</w:t>
      </w:r>
    </w:p>
    <w:p>
      <w:pPr>
        <w:pStyle w:val="BodyText"/>
      </w:pPr>
      <w:r>
        <w:rPr>
          <w:b/>
          <w:bCs/>
        </w:rPr>
        <w:t xml:space="preserve">FIQ e FIQR</w:t>
      </w:r>
      <w:r>
        <w:t xml:space="preserve"> </w:t>
      </w:r>
      <w:r>
        <w:t xml:space="preserve">— Il questionario di impatto della fibromialgia e la sua versione rivista, entrambi su scala 0-100. La soglia di rilevanza del 14% del punteggio del paziente è stata derivata sul primo e viene applicata al secondo: il trasferimento non è validato. È una misura di esito, non un marker.</w:t>
      </w:r>
    </w:p>
    <w:p>
      <w:pPr>
        <w:pStyle w:val="BodyText"/>
      </w:pPr>
      <w:r>
        <w:rPr>
          <w:b/>
          <w:bCs/>
        </w:rPr>
        <w:t xml:space="preserve">Generatore regionale</w:t>
      </w:r>
      <w:r>
        <w:t xml:space="preserve"> </w:t>
      </w:r>
      <w:r>
        <w:t xml:space="preserve">— Sorgente nocicettiva locale, circoscritta a un distretto, riconoscibile con una misura tua e distinta dal dolore diffuso. È la componente nocicettiva dentro un quadro nociplastico.</w:t>
      </w:r>
    </w:p>
    <w:p>
      <w:pPr>
        <w:pStyle w:val="BodyText"/>
      </w:pPr>
      <w:r>
        <w:rPr>
          <w:b/>
          <w:bCs/>
        </w:rPr>
        <w:t xml:space="preserve">GRADE</w:t>
      </w:r>
      <w:r>
        <w:t xml:space="preserve"> </w:t>
      </w:r>
      <w:r>
        <w:t xml:space="preserve">— Metodo con cui si dichiara quanta fiducia meritano le prove su un esito: alta, moderata, bassa, molto bassa.</w:t>
      </w:r>
    </w:p>
    <w:p>
      <w:pPr>
        <w:pStyle w:val="BodyText"/>
      </w:pPr>
      <w:r>
        <w:rPr>
          <w:b/>
          <w:bCs/>
        </w:rPr>
        <w:t xml:space="preserve">Intervallo di confidenza</w:t>
      </w:r>
      <w:r>
        <w:t xml:space="preserve"> </w:t>
      </w:r>
      <w:r>
        <w:t xml:space="preserve">— I due numeri fra parentesi dopo un risultato: l’intervallo entro cui sta ragionevolmente il valore vero. Se comprende lo zero, l’effetto può anche non esserci.</w:t>
      </w:r>
    </w:p>
    <w:p>
      <w:pPr>
        <w:pStyle w:val="BodyText"/>
      </w:pPr>
      <w:r>
        <w:rPr>
          <w:b/>
          <w:bCs/>
        </w:rPr>
        <w:t xml:space="preserve">Intervallo di predizione</w:t>
      </w:r>
      <w:r>
        <w:t xml:space="preserve"> </w:t>
      </w:r>
      <w:r>
        <w:t xml:space="preserve">— Dove si collocherebbe il risultato di uno studio</w:t>
      </w:r>
      <w:r>
        <w:t xml:space="preserve"> </w:t>
      </w:r>
      <w:r>
        <w:rPr>
          <w:b/>
          <w:bCs/>
        </w:rPr>
        <w:t xml:space="preserve">nuovo</w:t>
      </w:r>
      <w:r>
        <w:t xml:space="preserve">, non la media di quelli fatti. Se è ampio, la meta-analisi non dice cosa succederà al prossimo paziente.</w:t>
      </w:r>
    </w:p>
    <w:p>
      <w:pPr>
        <w:pStyle w:val="BodyText"/>
      </w:pPr>
      <w:r>
        <w:rPr>
          <w:b/>
          <w:bCs/>
        </w:rPr>
        <w:t xml:space="preserve">Ipermobilità articolare generalizzata</w:t>
      </w:r>
      <w:r>
        <w:t xml:space="preserve"> </w:t>
      </w:r>
      <w:r>
        <w:t xml:space="preserve">— Escursione articolare eccessiva diffusa, valutata con i criteri di Beighton. In questa popolazione è più frequente che nei controlli, e rovescia il bersaglio del lavoro manuale.</w:t>
      </w:r>
    </w:p>
    <w:p>
      <w:pPr>
        <w:pStyle w:val="BodyText"/>
      </w:pPr>
      <w:r>
        <w:rPr>
          <w:b/>
          <w:bCs/>
        </w:rPr>
        <w:t xml:space="preserve">IPOTESI</w:t>
      </w:r>
      <w:r>
        <w:t xml:space="preserve"> </w:t>
      </w:r>
      <w:r>
        <w:t xml:space="preserve">— Etichetta di solidità: meccanismo coerente, nessuno studio.</w:t>
      </w:r>
    </w:p>
    <w:p>
      <w:pPr>
        <w:pStyle w:val="BodyText"/>
      </w:pPr>
      <w:r>
        <w:rPr>
          <w:b/>
          <w:bCs/>
        </w:rPr>
        <w:t xml:space="preserve">Lesione primaria</w:t>
      </w:r>
      <w:r>
        <w:t xml:space="preserve"> </w:t>
      </w:r>
      <w:r>
        <w:t xml:space="preserve">— La disfunzione che, nella ricostruzione clinica, ha innescato le altre. È una ricostruzione a posteriori e non una prova: si scrive come ipotesi, mai come fatto. Su questa condizione non c’è da ricostruirla.</w:t>
      </w:r>
    </w:p>
    <w:p>
      <w:pPr>
        <w:pStyle w:val="BodyText"/>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Modulazione discendente</w:t>
      </w:r>
      <w:r>
        <w:t xml:space="preserve"> </w:t>
      </w:r>
      <w:r>
        <w:t xml:space="preserve">— Vie che dal tronco encefalico scendono a regolare quanto di ciò che arriva dalla periferia diventa dolore. In questi pazienti funziona meno: è misurato.</w:t>
      </w:r>
    </w:p>
    <w:p>
      <w:pPr>
        <w:pStyle w:val="BodyText"/>
      </w:pPr>
      <w:r>
        <w:rPr>
          <w:b/>
          <w:bCs/>
        </w:rPr>
        <w:t xml:space="preserve">Patologia delle piccole fibre</w:t>
      </w:r>
      <w:r>
        <w:t xml:space="preserve"> </w:t>
      </w:r>
      <w:r>
        <w:t xml:space="preserve">— Riduzione delle fibre nervose sottili della cute, documentabile con biopsia cutanea di tre millimetri. In questi pazienti è più lieve che nella neuropatia vera, e non riclassifica il dolore come neuropatico.</w:t>
      </w:r>
    </w:p>
    <w:p>
      <w:pPr>
        <w:pStyle w:val="BodyText"/>
      </w:pPr>
      <w:r>
        <w:rPr>
          <w:b/>
          <w:bCs/>
        </w:rPr>
        <w:t xml:space="preserve">Polisonnografia</w:t>
      </w:r>
      <w:r>
        <w:t xml:space="preserve"> </w:t>
      </w:r>
      <w:r>
        <w:t xml:space="preserve">— Registrazione strumentale del sonno con più canali insieme (attività cerebrale, respiro, ossigenazione, movimenti). È l’esame che distingue un’apnea da un’insonnia, e non è tuo da chiedere.</w:t>
      </w:r>
    </w:p>
    <w:p>
      <w:pPr>
        <w:pStyle w:val="BodyText"/>
      </w:pPr>
      <w:r>
        <w:rPr>
          <w:b/>
          <w:bCs/>
        </w:rPr>
        <w:t xml:space="preserve">PROBABILE</w:t>
      </w:r>
      <w:r>
        <w:t xml:space="preserve"> </w:t>
      </w:r>
      <w:r>
        <w:t xml:space="preserve">— Etichetta di solidità: razionale forte, prove parziali.</w:t>
      </w:r>
    </w:p>
    <w:p>
      <w:pPr>
        <w:pStyle w:val="BodyText"/>
      </w:pPr>
      <w:r>
        <w:rPr>
          <w:b/>
          <w:bCs/>
        </w:rPr>
        <w:t xml:space="preserve">Punta e sommerso</w:t>
      </w:r>
      <w:r>
        <w:t xml:space="preserve"> </w:t>
      </w:r>
      <w:r>
        <w:t xml:space="preserve">— La punta è quello che il paziente racconta; il sommerso è il piano che lo tiene su. Quasi mai coincidono.</w:t>
      </w:r>
    </w:p>
    <w:p>
      <w:pPr>
        <w:pStyle w:val="BodyText"/>
      </w:pPr>
      <w:r>
        <w:rPr>
          <w:b/>
          <w:bCs/>
        </w:rPr>
        <w:t xml:space="preserve">Punti dolorosi (tender point)</w:t>
      </w:r>
      <w:r>
        <w:t xml:space="preserve"> </w:t>
      </w:r>
      <w:r>
        <w:t xml:space="preserve">— I diciotto punti della conta diagnostica del 1990, abbandonata dai criteri successivi. Nel corpo del documento si dicono sempre così, mai «tot punti su diciotto» come esito tuo.</w:t>
      </w:r>
    </w:p>
    <w:p>
      <w:pPr>
        <w:pStyle w:val="BodyText"/>
      </w:pPr>
      <w:r>
        <w:rPr>
          <w:b/>
          <w:bCs/>
        </w:rPr>
        <w:t xml:space="preserve">RAGIONAMENTO</w:t>
      </w:r>
      <w:r>
        <w:t xml:space="preserve"> </w:t>
      </w:r>
      <w:r>
        <w:t xml:space="preserve">— Etichetta di solidità: cornice clinica, non una prova.</w:t>
      </w:r>
    </w:p>
    <w:p>
      <w:pPr>
        <w:pStyle w:val="BodyText"/>
      </w:pPr>
      <w:r>
        <w:rPr>
          <w:b/>
          <w:bCs/>
        </w:rPr>
        <w:t xml:space="preserve">Regressione verso la media</w:t>
      </w:r>
      <w:r>
        <w:t xml:space="preserve"> </w:t>
      </w:r>
      <w:r>
        <w:t xml:space="preserve">— Chi parte da un valore estremo tende, alla misura successiva, a stare più vicino alla media, anche senza che nessuno abbia fatto niente. È il motivo per cui «è migliorato chi partiva peggio» non è di per sé un effetto del trattamento.</w:t>
      </w:r>
    </w:p>
    <w:p>
      <w:pPr>
        <w:pStyle w:val="BodyText"/>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Riacutizzazione</w:t>
      </w:r>
      <w:r>
        <w:t xml:space="preserve"> </w:t>
      </w:r>
      <w:r>
        <w:t xml:space="preserve">— Stato clinico distinto, non un valore più alto della stessa scala: dolori diffusi «tipo influenza» ed esaurimento, con innesti riconoscibili.</w:t>
      </w:r>
    </w:p>
    <w:p>
      <w:pPr>
        <w:pStyle w:val="BodyText"/>
      </w:pPr>
      <w:r>
        <w:rPr>
          <w:b/>
          <w:bCs/>
        </w:rPr>
        <w:t xml:space="preserve">Sindrome delle gambe senza riposo</w:t>
      </w:r>
      <w:r>
        <w:t xml:space="preserve"> </w:t>
      </w:r>
      <w:r>
        <w:t xml:space="preserve">— Bisogno irrefrenabile di muovere le gambe a riposo, che il movimento allevia. È una condizione distinta, frequente in questa popolazione, e non risponde al trattamento dell’insonnia.</w:t>
      </w:r>
    </w:p>
    <w:p>
      <w:pPr>
        <w:pStyle w:val="BodyText"/>
      </w:pPr>
      <w:r>
        <w:rPr>
          <w:b/>
          <w:bCs/>
        </w:rPr>
        <w:t xml:space="preserve">Sindrome serotoninergica</w:t>
      </w:r>
      <w:r>
        <w:t xml:space="preserve"> </w:t>
      </w:r>
      <w:r>
        <w:t xml:space="preserve">— Quadro acuto da eccesso di serotonina, di solito per due farmaci serotoninergici insieme: agitazione, tremore, sudorazione, iperreflessia, rigidità, febbre. Assomiglia al terzo meccanismo sotto le mani e non lo è: si manda, oggi.</w:t>
      </w:r>
    </w:p>
    <w:p>
      <w:pPr>
        <w:pStyle w:val="BodyText"/>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Soglia di pressione algometrica</w:t>
      </w:r>
      <w:r>
        <w:t xml:space="preserve"> </w:t>
      </w:r>
      <w:r>
        <w:t xml:space="preserve">— La pressione alla quale uno stimolo diventa doloroso, misurata con un algometro.</w:t>
      </w:r>
    </w:p>
    <w:p>
      <w:pPr>
        <w:pStyle w:val="BodyText"/>
      </w:pPr>
      <w:r>
        <w:rPr>
          <w:b/>
          <w:bCs/>
        </w:rPr>
        <w:t xml:space="preserve">Sommazione temporale</w:t>
      </w:r>
      <w:r>
        <w:t xml:space="preserve"> </w:t>
      </w:r>
      <w:r>
        <w:t xml:space="preserve">— Fenomeno per cui stimoli ravvicinati producono risposte crescenti nel relè spinale.</w:t>
      </w:r>
    </w:p>
    <w:p>
      <w:pPr>
        <w:pStyle w:val="BodyText"/>
      </w:pPr>
      <w:r>
        <w:rPr>
          <w:b/>
          <w:bCs/>
        </w:rPr>
        <w:t xml:space="preserve">Variabilità della frequenza cardiaca</w:t>
      </w:r>
      <w:r>
        <w:t xml:space="preserve"> </w:t>
      </w:r>
      <w:r>
        <w:t xml:space="preserve">— La variazione dell’intervallo fra battiti consecutivi; la componente ad alta frequenza indicizza l’attività parasimpatica.</w:t>
      </w:r>
    </w:p>
    <w:p>
      <w:r>
        <w:pict>
          <v:rect style="width:0;height:1.5pt" o:hralign="center" o:hrstd="t" o:hr="t"/>
        </w:pict>
      </w:r>
    </w:p>
    <w:bookmarkEnd w:id="87"/>
    <w:bookmarkStart w:id="88" w:name="appendice-b-le-fonti"/>
    <w:p>
      <w:pPr>
        <w:pStyle w:val="Heading2"/>
      </w:pPr>
      <w:r>
        <w:t xml:space="preserve">Appendice B — Le fonti</w:t>
      </w:r>
    </w:p>
    <w:p>
      <w:pPr>
        <w:pStyle w:val="FirstParagraph"/>
      </w:pPr>
      <w:r>
        <w:t xml:space="preserve">Nell’ordine in cui compaiono nel testo.</w:t>
      </w:r>
    </w:p>
    <w:p>
      <w:pPr>
        <w:pStyle w:val="Compact"/>
        <w:numPr>
          <w:ilvl w:val="0"/>
          <w:numId w:val="1039"/>
        </w:numPr>
      </w:pPr>
      <w:r>
        <w:t xml:space="preserve">Choy E, Perrot S, Leon T, et al. </w:t>
      </w:r>
      <w:r>
        <w:rPr>
          <w:i/>
          <w:iCs/>
        </w:rPr>
        <w:t xml:space="preserve">A patient survey of the impact of fibromyalgia and the journey to diagnosis.</w:t>
      </w:r>
      <w:r>
        <w:t xml:space="preserve"> </w:t>
      </w:r>
      <w:r>
        <w:t xml:space="preserve">BMC Health Serv Res 2010;10:102. — https://pubmed.ncbi.nlm.nih.gov/20420681/</w:t>
      </w:r>
    </w:p>
    <w:p>
      <w:pPr>
        <w:pStyle w:val="Compact"/>
        <w:numPr>
          <w:ilvl w:val="0"/>
          <w:numId w:val="1039"/>
        </w:numPr>
      </w:pPr>
      <w:r>
        <w:t xml:space="preserve">White KP, Nielson WR, Harth M, et al. </w:t>
      </w:r>
      <w:r>
        <w:rPr>
          <w:i/>
          <w:iCs/>
        </w:rPr>
        <w:t xml:space="preserve">Does the label</w:t>
      </w:r>
      <w:r>
        <w:rPr>
          <w:i/>
          <w:iCs/>
        </w:rPr>
        <w:t xml:space="preserve"> </w:t>
      </w:r>
      <w:r>
        <w:rPr>
          <w:i/>
          <w:iCs/>
        </w:rPr>
        <w:t xml:space="preserve">“fibromyalgia”</w:t>
      </w:r>
      <w:r>
        <w:rPr>
          <w:i/>
          <w:iCs/>
        </w:rPr>
        <w:t xml:space="preserve"> </w:t>
      </w:r>
      <w:r>
        <w:rPr>
          <w:i/>
          <w:iCs/>
        </w:rPr>
        <w:t xml:space="preserve">alter health status, function, and health service utilization?</w:t>
      </w:r>
      <w:r>
        <w:t xml:space="preserve"> </w:t>
      </w:r>
      <w:r>
        <w:t xml:space="preserve">Arthritis Rheum 2002;47(3):260-5. — https://pubmed.ncbi.nlm.nih.gov/12115155/</w:t>
      </w:r>
    </w:p>
    <w:p>
      <w:pPr>
        <w:pStyle w:val="Compact"/>
        <w:numPr>
          <w:ilvl w:val="0"/>
          <w:numId w:val="1039"/>
        </w:numPr>
      </w:pPr>
      <w:r>
        <w:t xml:space="preserve">Wolfe F, Clauw DJ, Fitzcharles MA, et al. </w:t>
      </w:r>
      <w:r>
        <w:rPr>
          <w:i/>
          <w:iCs/>
        </w:rPr>
        <w:t xml:space="preserve">2016 Revisions to the 2010/2011 fibromyalgia diagnostic criteria.</w:t>
      </w:r>
      <w:r>
        <w:t xml:space="preserve"> </w:t>
      </w:r>
      <w:r>
        <w:t xml:space="preserve">Semin Arthritis Rheum 2016;46(3):319-329. — https://pubmed.ncbi.nlm.nih.gov/27916278/</w:t>
      </w:r>
    </w:p>
    <w:p>
      <w:pPr>
        <w:pStyle w:val="Compact"/>
        <w:numPr>
          <w:ilvl w:val="0"/>
          <w:numId w:val="1039"/>
        </w:numPr>
      </w:pPr>
      <w:r>
        <w:t xml:space="preserve">Treede RD, Rief W, Barke A, et al. </w:t>
      </w:r>
      <w:r>
        <w:rPr>
          <w:i/>
          <w:iCs/>
        </w:rPr>
        <w:t xml:space="preserve">Chronic pain as a symptom or a disease: the IASP Classification of Chronic Pain for the ICD-11.</w:t>
      </w:r>
      <w:r>
        <w:t xml:space="preserve"> </w:t>
      </w:r>
      <w:r>
        <w:t xml:space="preserve">Pain 2019;160(1):19-27. — https://pubmed.ncbi.nlm.nih.gov/30586067/</w:t>
      </w:r>
    </w:p>
    <w:p>
      <w:pPr>
        <w:pStyle w:val="Compact"/>
        <w:numPr>
          <w:ilvl w:val="0"/>
          <w:numId w:val="1039"/>
        </w:numPr>
      </w:pPr>
      <w:r>
        <w:t xml:space="preserve">Pearce JMS.</w:t>
      </w:r>
      <w:r>
        <w:t xml:space="preserve"> </w:t>
      </w:r>
      <w:r>
        <w:rPr>
          <w:i/>
          <w:iCs/>
        </w:rPr>
        <w:t xml:space="preserve">Myofascial pain, fibromyalgia or fibrositis?</w:t>
      </w:r>
      <w:r>
        <w:t xml:space="preserve"> </w:t>
      </w:r>
      <w:r>
        <w:t xml:space="preserve">Eur Neurol 2004;52(2):67-72. — https://pubmed.ncbi.nlm.nih.gov/15256826/</w:t>
      </w:r>
    </w:p>
    <w:p>
      <w:pPr>
        <w:pStyle w:val="Compact"/>
        <w:numPr>
          <w:ilvl w:val="0"/>
          <w:numId w:val="1039"/>
        </w:numPr>
      </w:pPr>
      <w:r>
        <w:t xml:space="preserve">Salaffi F, De Angelis R, Grassi W.</w:t>
      </w:r>
      <w:r>
        <w:t xml:space="preserve"> </w:t>
      </w:r>
      <w:r>
        <w:rPr>
          <w:i/>
          <w:iCs/>
        </w:rPr>
        <w:t xml:space="preserve">Prevalence of musculoskeletal conditions in an Italian population sample: the MAPPING study.</w:t>
      </w:r>
      <w:r>
        <w:t xml:space="preserve"> </w:t>
      </w:r>
      <w:r>
        <w:t xml:space="preserve">Clin Exp Rheumatol 2005;23(6):819-28. — https://pubmed.ncbi.nlm.nih.gov/16396700/</w:t>
      </w:r>
    </w:p>
    <w:p>
      <w:pPr>
        <w:pStyle w:val="Compact"/>
        <w:numPr>
          <w:ilvl w:val="0"/>
          <w:numId w:val="1039"/>
        </w:numPr>
      </w:pPr>
      <w:r>
        <w:t xml:space="preserve">Heidari F, Afshari M, Moosazadeh M.</w:t>
      </w:r>
      <w:r>
        <w:t xml:space="preserve"> </w:t>
      </w:r>
      <w:r>
        <w:rPr>
          <w:i/>
          <w:iCs/>
        </w:rPr>
        <w:t xml:space="preserve">Prevalence of fibromyalgia in general population and patients: a systematic review and meta-analysis.</w:t>
      </w:r>
      <w:r>
        <w:t xml:space="preserve"> </w:t>
      </w:r>
      <w:r>
        <w:t xml:space="preserve">Rheumatol Int 2017;37(9):1527-1539. — https://pubmed.ncbi.nlm.nih.gov/28447207/</w:t>
      </w:r>
    </w:p>
    <w:p>
      <w:pPr>
        <w:pStyle w:val="Compact"/>
        <w:numPr>
          <w:ilvl w:val="0"/>
          <w:numId w:val="1039"/>
        </w:numPr>
      </w:pPr>
      <w:r>
        <w:t xml:space="preserve">Häuser W, Perrot S, Sommer C, et al. </w:t>
      </w:r>
      <w:r>
        <w:rPr>
          <w:i/>
          <w:iCs/>
        </w:rPr>
        <w:t xml:space="preserve">Diagnostic confounders of chronic widespread pain: not always fibromyalgia.</w:t>
      </w:r>
      <w:r>
        <w:t xml:space="preserve"> </w:t>
      </w:r>
      <w:r>
        <w:t xml:space="preserve">Pain Rep 2017;2(3):e598. — https://pubmed.ncbi.nlm.nih.gov/29392213/</w:t>
      </w:r>
    </w:p>
    <w:p>
      <w:pPr>
        <w:pStyle w:val="Compact"/>
        <w:numPr>
          <w:ilvl w:val="0"/>
          <w:numId w:val="1039"/>
        </w:numPr>
      </w:pPr>
      <w:r>
        <w:t xml:space="preserve">Staud R, Vierck CJ, Cannon RL, et al. </w:t>
      </w:r>
      <w:r>
        <w:rPr>
          <w:i/>
          <w:iCs/>
        </w:rPr>
        <w:t xml:space="preserve">Abnormal sensitization and temporal summation of second pain (wind-up) in patients with fibromyalgia syndrome.</w:t>
      </w:r>
      <w:r>
        <w:t xml:space="preserve"> </w:t>
      </w:r>
      <w:r>
        <w:t xml:space="preserve">Pain 2001;91(1-2):165-175. — https://pubmed.ncbi.nlm.nih.gov/11240089/</w:t>
      </w:r>
    </w:p>
    <w:p>
      <w:pPr>
        <w:pStyle w:val="Compact"/>
        <w:numPr>
          <w:ilvl w:val="0"/>
          <w:numId w:val="1039"/>
        </w:numPr>
      </w:pPr>
      <w:r>
        <w:t xml:space="preserve">Alsouhibani A, Hoeger Bement M.</w:t>
      </w:r>
      <w:r>
        <w:t xml:space="preserve"> </w:t>
      </w:r>
      <w:r>
        <w:rPr>
          <w:i/>
          <w:iCs/>
        </w:rPr>
        <w:t xml:space="preserve">Impaired conditioned pain modulation was restored after a single exercise session in individuals with and without fibromyalgia.</w:t>
      </w:r>
      <w:r>
        <w:t xml:space="preserve"> </w:t>
      </w:r>
      <w:r>
        <w:t xml:space="preserve">Pain Rep 2022;7(2):e996. — https://pubmed.ncbi.nlm.nih.gov/35399187/</w:t>
      </w:r>
    </w:p>
    <w:p>
      <w:pPr>
        <w:pStyle w:val="Compact"/>
        <w:numPr>
          <w:ilvl w:val="0"/>
          <w:numId w:val="1039"/>
        </w:numPr>
      </w:pPr>
      <w:r>
        <w:t xml:space="preserve">Albrecht PJ, Hou Q, Argoff CE, et al. </w:t>
      </w:r>
      <w:r>
        <w:rPr>
          <w:i/>
          <w:iCs/>
        </w:rPr>
        <w:t xml:space="preserve">Excessive peptidergic sensory innervation of cutaneous arteriole-venule shunts (AVS) in the palmar glabrous skin of fibromyalgia patients.</w:t>
      </w:r>
      <w:r>
        <w:t xml:space="preserve"> </w:t>
      </w:r>
      <w:r>
        <w:t xml:space="preserve">Pain Med 2013;14(6):895-915. — https://pubmed.ncbi.nlm.nih.gov/23691965/ —</w:t>
      </w:r>
      <w:r>
        <w:t xml:space="preserve"> </w:t>
      </w:r>
      <w:r>
        <w:rPr>
          <w:i/>
          <w:iCs/>
        </w:rPr>
        <w:t xml:space="preserve">Limiti: 24 pazienti contro 23 controlli, quattordici dei quali presi da lavori precedenti; anastomosi identificabili solo in parte dei prelievi; mai replicato, e studi successivi su altro distretto vanno in direzione opposta.</w:t>
      </w:r>
    </w:p>
    <w:p>
      <w:pPr>
        <w:pStyle w:val="Compact"/>
        <w:numPr>
          <w:ilvl w:val="0"/>
          <w:numId w:val="1039"/>
        </w:numPr>
      </w:pPr>
      <w:r>
        <w:t xml:space="preserve">Moldofsky H, Scarisbrick P.</w:t>
      </w:r>
      <w:r>
        <w:t xml:space="preserve"> </w:t>
      </w:r>
      <w:r>
        <w:rPr>
          <w:i/>
          <w:iCs/>
        </w:rPr>
        <w:t xml:space="preserve">Induction of neurasthenic musculoskeletal pain syndrome by selective sleep stage deprivation.</w:t>
      </w:r>
      <w:r>
        <w:t xml:space="preserve"> </w:t>
      </w:r>
      <w:r>
        <w:t xml:space="preserve">Psychosom Med 1976;38(1):35-44. — https://pubmed.ncbi.nlm.nih.gov/176677/</w:t>
      </w:r>
    </w:p>
    <w:p>
      <w:pPr>
        <w:pStyle w:val="Compact"/>
        <w:numPr>
          <w:ilvl w:val="0"/>
          <w:numId w:val="1039"/>
        </w:numPr>
      </w:pPr>
      <w:r>
        <w:t xml:space="preserve">Gracely RH, Petzke F, Wolf JM, Clauw DJ.</w:t>
      </w:r>
      <w:r>
        <w:t xml:space="preserve"> </w:t>
      </w:r>
      <w:r>
        <w:rPr>
          <w:i/>
          <w:iCs/>
        </w:rPr>
        <w:t xml:space="preserve">Functional magnetic resonance imaging evidence of augmented pain processing in fibromyalgia.</w:t>
      </w:r>
      <w:r>
        <w:t xml:space="preserve"> </w:t>
      </w:r>
      <w:r>
        <w:t xml:space="preserve">Arthritis Rheum 2002;46(5):1333-43. — https://pubmed.ncbi.nlm.nih.gov/12115241/</w:t>
      </w:r>
    </w:p>
    <w:p>
      <w:pPr>
        <w:pStyle w:val="Compact"/>
        <w:numPr>
          <w:ilvl w:val="0"/>
          <w:numId w:val="1039"/>
        </w:numPr>
      </w:pPr>
      <w:r>
        <w:t xml:space="preserve">Fitzcharles MA, Cohen SP, Clauw DJ, et al. </w:t>
      </w:r>
      <w:r>
        <w:rPr>
          <w:i/>
          <w:iCs/>
        </w:rPr>
        <w:t xml:space="preserve">Nociplastic pain: towards an understanding of prevalent pain conditions.</w:t>
      </w:r>
      <w:r>
        <w:t xml:space="preserve"> </w:t>
      </w:r>
      <w:r>
        <w:t xml:space="preserve">Lancet 2021;397(10289):2098-2110. — https://pubmed.ncbi.nlm.nih.gov/34062144/</w:t>
      </w:r>
    </w:p>
    <w:p>
      <w:pPr>
        <w:pStyle w:val="Compact"/>
        <w:numPr>
          <w:ilvl w:val="0"/>
          <w:numId w:val="1039"/>
        </w:numPr>
      </w:pPr>
      <w:r>
        <w:t xml:space="preserve">Finan PH, Goodin BR, Smith MT.</w:t>
      </w:r>
      <w:r>
        <w:t xml:space="preserve"> </w:t>
      </w:r>
      <w:r>
        <w:rPr>
          <w:i/>
          <w:iCs/>
        </w:rPr>
        <w:t xml:space="preserve">The association of sleep and pain: an update and a path forward.</w:t>
      </w:r>
      <w:r>
        <w:t xml:space="preserve"> </w:t>
      </w:r>
      <w:r>
        <w:t xml:space="preserve">J Pain 2013;14(12):1539-52. — https://pubmed.ncbi.nlm.nih.gov/24290442/</w:t>
      </w:r>
    </w:p>
    <w:p>
      <w:pPr>
        <w:pStyle w:val="Compact"/>
        <w:numPr>
          <w:ilvl w:val="0"/>
          <w:numId w:val="1039"/>
        </w:numPr>
      </w:pPr>
      <w:r>
        <w:t xml:space="preserve">Tracy LM, Ioannou L, Baker KS, et al. </w:t>
      </w:r>
      <w:r>
        <w:rPr>
          <w:i/>
          <w:iCs/>
        </w:rPr>
        <w:t xml:space="preserve">Meta-analytic evidence for decreased heart rate variability in chronic pain implicating parasympathetic nervous system dysregulation.</w:t>
      </w:r>
      <w:r>
        <w:t xml:space="preserve"> </w:t>
      </w:r>
      <w:r>
        <w:t xml:space="preserve">Pain 2016;157(1):7-29. — https://pubmed.ncbi.nlm.nih.gov/26431423/</w:t>
      </w:r>
    </w:p>
    <w:p>
      <w:pPr>
        <w:pStyle w:val="Compact"/>
        <w:numPr>
          <w:ilvl w:val="0"/>
          <w:numId w:val="1039"/>
        </w:numPr>
      </w:pPr>
      <w:r>
        <w:t xml:space="preserve">Tavares LF, Germano Maciel D, Pereira Barros da Silva TY, et al. </w:t>
      </w:r>
      <w:r>
        <w:rPr>
          <w:i/>
          <w:iCs/>
        </w:rPr>
        <w:t xml:space="preserve">Comparison of functional and isokinetic performance between healthy women and women with fibromyalgia.</w:t>
      </w:r>
      <w:r>
        <w:t xml:space="preserve"> </w:t>
      </w:r>
      <w:r>
        <w:t xml:space="preserve">J Bodyw Mov Ther 2020;24(1):248-252. — https://pubmed.ncbi.nlm.nih.gov/31987552/</w:t>
      </w:r>
    </w:p>
    <w:p>
      <w:pPr>
        <w:pStyle w:val="Compact"/>
        <w:numPr>
          <w:ilvl w:val="0"/>
          <w:numId w:val="1039"/>
        </w:numPr>
      </w:pPr>
      <w:r>
        <w:t xml:space="preserve">Coste J, Medkour T, Maigne JY, et al. </w:t>
      </w:r>
      <w:r>
        <w:rPr>
          <w:i/>
          <w:iCs/>
        </w:rPr>
        <w:t xml:space="preserve">Osteopathic medicine for fibromyalgia: a sham-controlled randomized clinical trial.</w:t>
      </w:r>
      <w:r>
        <w:t xml:space="preserve"> </w:t>
      </w:r>
      <w:r>
        <w:t xml:space="preserve">Ther Adv Musculoskelet Dis 2021;13:1759720X21100901. — https://pubmed.ncbi.nlm.nih.gov/33948127/</w:t>
      </w:r>
    </w:p>
    <w:p>
      <w:pPr>
        <w:pStyle w:val="Compact"/>
        <w:numPr>
          <w:ilvl w:val="0"/>
          <w:numId w:val="1039"/>
        </w:numPr>
      </w:pPr>
      <w:r>
        <w:t xml:space="preserve">Macfarlane GJ, Kronisch C, Dean LE, et al. </w:t>
      </w:r>
      <w:r>
        <w:rPr>
          <w:i/>
          <w:iCs/>
        </w:rPr>
        <w:t xml:space="preserve">EULAR revised recommendations for the management of fibromyalgia.</w:t>
      </w:r>
      <w:r>
        <w:t xml:space="preserve"> </w:t>
      </w:r>
      <w:r>
        <w:t xml:space="preserve">Ann Rheum Dis 2017;76(2):318-328. — https://pubmed.ncbi.nlm.nih.gov/27377815/</w:t>
      </w:r>
    </w:p>
    <w:p>
      <w:pPr>
        <w:pStyle w:val="Compact"/>
        <w:numPr>
          <w:ilvl w:val="0"/>
          <w:numId w:val="1039"/>
        </w:numPr>
      </w:pPr>
      <w:r>
        <w:t xml:space="preserve">Tabatabaiee A, Takamjani IE, Sarrafzadeh J, et al. </w:t>
      </w:r>
      <w:r>
        <w:rPr>
          <w:i/>
          <w:iCs/>
        </w:rPr>
        <w:t xml:space="preserve">Pressure pain threshold in subjects with piriformis syndrome: test-retest, intrarater, and interrater reliability, and minimal detectible changes.</w:t>
      </w:r>
      <w:r>
        <w:t xml:space="preserve"> </w:t>
      </w:r>
      <w:r>
        <w:t xml:space="preserve">Arch Phys Med Rehabil 2020;101(5):781-788. — https://pubmed.ncbi.nlm.nih.gov/31821801/</w:t>
      </w:r>
    </w:p>
    <w:p>
      <w:pPr>
        <w:pStyle w:val="Compact"/>
        <w:numPr>
          <w:ilvl w:val="0"/>
          <w:numId w:val="1039"/>
        </w:numPr>
      </w:pPr>
      <w:r>
        <w:t xml:space="preserve">Carbonell-Baeza A, Álvarez-Gallardo IC, Segura-Jiménez V, et al. </w:t>
      </w:r>
      <w:r>
        <w:rPr>
          <w:i/>
          <w:iCs/>
        </w:rPr>
        <w:t xml:space="preserve">Reliability and feasibility of physical fitness tests in female fibromyalgia patients.</w:t>
      </w:r>
      <w:r>
        <w:t xml:space="preserve"> </w:t>
      </w:r>
      <w:r>
        <w:t xml:space="preserve">Int J Sports Med 2015;36(2):157-62. — https://pubmed.ncbi.nlm.nih.gov/25329431/</w:t>
      </w:r>
    </w:p>
    <w:p>
      <w:pPr>
        <w:pStyle w:val="Compact"/>
        <w:numPr>
          <w:ilvl w:val="0"/>
          <w:numId w:val="1039"/>
        </w:numPr>
      </w:pPr>
      <w:r>
        <w:t xml:space="preserve">Bennett RM, Bushmakin AG, Cappelleri JC, et al. </w:t>
      </w:r>
      <w:r>
        <w:rPr>
          <w:i/>
          <w:iCs/>
        </w:rPr>
        <w:t xml:space="preserve">Minimal clinically important difference in the fibromyalgia impact questionnaire.</w:t>
      </w:r>
      <w:r>
        <w:t xml:space="preserve"> </w:t>
      </w:r>
      <w:r>
        <w:t xml:space="preserve">J Rheumatol 2009;36(6):1304-11. — https://pubmed.ncbi.nlm.nih.gov/19369473/</w:t>
      </w:r>
    </w:p>
    <w:p>
      <w:pPr>
        <w:pStyle w:val="Compact"/>
        <w:numPr>
          <w:ilvl w:val="0"/>
          <w:numId w:val="1039"/>
        </w:numPr>
      </w:pPr>
      <w:r>
        <w:t xml:space="preserve">Bennett RM, Friend R, Jones KD, et al. </w:t>
      </w:r>
      <w:r>
        <w:rPr>
          <w:i/>
          <w:iCs/>
        </w:rPr>
        <w:t xml:space="preserve">The Revised Fibromyalgia Impact Questionnaire (FIQR): validation and psychometric properties.</w:t>
      </w:r>
      <w:r>
        <w:t xml:space="preserve"> </w:t>
      </w:r>
      <w:r>
        <w:t xml:space="preserve">Arthritis Res Ther 2009;11(4):R120. — https://pubmed.ncbi.nlm.nih.gov/19664287/</w:t>
      </w:r>
    </w:p>
    <w:p>
      <w:pPr>
        <w:pStyle w:val="Compact"/>
        <w:numPr>
          <w:ilvl w:val="0"/>
          <w:numId w:val="1039"/>
        </w:numPr>
      </w:pPr>
      <w:r>
        <w:t xml:space="preserve">Welsch P, Üçeyler N, Klose P, et al. </w:t>
      </w:r>
      <w:r>
        <w:rPr>
          <w:i/>
          <w:iCs/>
        </w:rPr>
        <w:t xml:space="preserve">Serotonin and noradrenaline reuptake inhibitors (SNRIs) for fibromyalgia.</w:t>
      </w:r>
      <w:r>
        <w:t xml:space="preserve"> </w:t>
      </w:r>
      <w:r>
        <w:t xml:space="preserve">Cochrane Database Syst Rev 2018;2:CD010292. — https://pubmed.ncbi.nlm.nih.gov/29489029/</w:t>
      </w:r>
    </w:p>
    <w:p>
      <w:pPr>
        <w:pStyle w:val="Compact"/>
        <w:numPr>
          <w:ilvl w:val="0"/>
          <w:numId w:val="1039"/>
        </w:numPr>
      </w:pPr>
      <w:r>
        <w:t xml:space="preserve">Zipp F, Semlitsch T, Tögel B, et al. </w:t>
      </w:r>
      <w:r>
        <w:rPr>
          <w:i/>
          <w:iCs/>
        </w:rPr>
        <w:t xml:space="preserve">An overview of systematic reviews on the efficacy and safety of osteopathic techniques.</w:t>
      </w:r>
      <w:r>
        <w:t xml:space="preserve"> </w:t>
      </w:r>
      <w:r>
        <w:t xml:space="preserve">J Bodyw Mov Ther 2025. — https://pubmed.ncbi.nlm.nih.gov/40325655/</w:t>
      </w:r>
    </w:p>
    <w:p>
      <w:pPr>
        <w:pStyle w:val="Compact"/>
        <w:numPr>
          <w:ilvl w:val="0"/>
          <w:numId w:val="1039"/>
        </w:numPr>
      </w:pPr>
      <w:r>
        <w:t xml:space="preserve">Hansen L, Goebel J, Pagels L, et al. </w:t>
      </w:r>
      <w:r>
        <w:rPr>
          <w:i/>
          <w:iCs/>
        </w:rPr>
        <w:t xml:space="preserve">Effects of mobilization or manipulation of the thoracic spine on autonomic nervous system markers in symptomatic and asymptomatic participants.</w:t>
      </w:r>
      <w:r>
        <w:t xml:space="preserve"> </w:t>
      </w:r>
      <w:r>
        <w:t xml:space="preserve">J Man Manip Ther 2025. — https://pubmed.ncbi.nlm.nih.gov/40232939/</w:t>
      </w:r>
    </w:p>
    <w:p>
      <w:pPr>
        <w:pStyle w:val="Compact"/>
        <w:numPr>
          <w:ilvl w:val="0"/>
          <w:numId w:val="1039"/>
        </w:numPr>
      </w:pPr>
      <w:r>
        <w:t xml:space="preserve">Li YH, Wang FY, Feng CQ, et al. </w:t>
      </w:r>
      <w:r>
        <w:rPr>
          <w:i/>
          <w:iCs/>
        </w:rPr>
        <w:t xml:space="preserve">Massage therapy for fibromyalgia: a systematic review and meta-analysis of randomized controlled trials.</w:t>
      </w:r>
      <w:r>
        <w:t xml:space="preserve"> </w:t>
      </w:r>
      <w:r>
        <w:t xml:space="preserve">PLoS One 2014;9(2):e89304. — https://pubmed.ncbi.nlm.nih.gov/24586677/</w:t>
      </w:r>
    </w:p>
    <w:p>
      <w:pPr>
        <w:pStyle w:val="Compact"/>
        <w:numPr>
          <w:ilvl w:val="0"/>
          <w:numId w:val="1039"/>
        </w:numPr>
      </w:pPr>
      <w:r>
        <w:t xml:space="preserve">Coronado RA, Gay CW, Bialosky JE, et al. </w:t>
      </w:r>
      <w:r>
        <w:rPr>
          <w:i/>
          <w:iCs/>
        </w:rPr>
        <w:t xml:space="preserve">Changes in pain sensitivity following spinal manipulation: a systematic review and meta-analysis.</w:t>
      </w:r>
      <w:r>
        <w:t xml:space="preserve"> </w:t>
      </w:r>
      <w:r>
        <w:t xml:space="preserve">J Electromyogr Kinesiol 2012;22(5):752-67. — https://pubmed.ncbi.nlm.nih.gov/22296867/</w:t>
      </w:r>
    </w:p>
    <w:p>
      <w:pPr>
        <w:pStyle w:val="Compact"/>
        <w:numPr>
          <w:ilvl w:val="0"/>
          <w:numId w:val="1039"/>
        </w:numPr>
      </w:pPr>
      <w:r>
        <w:t xml:space="preserve">Gordon TC, Hope-Bell J, Draper-Rodi J, MacMillan A, Miller D, Edwards DJ.</w:t>
      </w:r>
      <w:r>
        <w:t xml:space="preserve"> </w:t>
      </w:r>
      <w:r>
        <w:rPr>
          <w:i/>
          <w:iCs/>
        </w:rPr>
        <w:t xml:space="preserve">Effects of manual osteopathic interventions on psychometric and psychophysiological indicators of anxiety, depression and stress in adults.</w:t>
      </w:r>
      <w:r>
        <w:t xml:space="preserve"> </w:t>
      </w:r>
      <w:r>
        <w:t xml:space="preserve">BMJ Open 2025;15(2):e095933. — https://pubmed.ncbi.nlm.nih.gov/39920074/</w:t>
      </w:r>
    </w:p>
    <w:p>
      <w:pPr>
        <w:pStyle w:val="Compact"/>
        <w:numPr>
          <w:ilvl w:val="0"/>
          <w:numId w:val="1039"/>
        </w:numPr>
      </w:pPr>
      <w:r>
        <w:t xml:space="preserve">Bidonde J, Busch AJ, Schachter CL, et al. </w:t>
      </w:r>
      <w:r>
        <w:rPr>
          <w:i/>
          <w:iCs/>
        </w:rPr>
        <w:t xml:space="preserve">Aerobic exercise training for adults with fibromyalgia.</w:t>
      </w:r>
      <w:r>
        <w:t xml:space="preserve"> </w:t>
      </w:r>
      <w:r>
        <w:t xml:space="preserve">Cochrane Database Syst Rev 2017;6:CD012700. — https://pubmed.ncbi.nlm.nih.gov/28636204/</w:t>
      </w:r>
    </w:p>
    <w:p>
      <w:pPr>
        <w:pStyle w:val="Compact"/>
        <w:numPr>
          <w:ilvl w:val="0"/>
          <w:numId w:val="1039"/>
        </w:numPr>
      </w:pPr>
      <w:r>
        <w:t xml:space="preserve">Rodríguez-Domínguez ÁJ, Rebollo-Salas M, Chillón-Martínez R, et al. </w:t>
      </w:r>
      <w:r>
        <w:rPr>
          <w:i/>
          <w:iCs/>
        </w:rPr>
        <w:t xml:space="preserve">The most effective therapeutic exercises for pain intensity in women with fibromyalgia: a systematic review and network meta-analysis.</w:t>
      </w:r>
      <w:r>
        <w:t xml:space="preserve"> </w:t>
      </w:r>
      <w:r>
        <w:t xml:space="preserve">Braz J Phys Ther 2025;29(4):101226. — https://pubmed.ncbi.nlm.nih.gov/40319533/</w:t>
      </w:r>
    </w:p>
    <w:p>
      <w:pPr>
        <w:pStyle w:val="Compact"/>
        <w:numPr>
          <w:ilvl w:val="0"/>
          <w:numId w:val="1039"/>
        </w:numPr>
      </w:pPr>
      <w:r>
        <w:t xml:space="preserve">Wang C, Schmid CH, Fielding RA, et al. </w:t>
      </w:r>
      <w:r>
        <w:rPr>
          <w:i/>
          <w:iCs/>
        </w:rPr>
        <w:t xml:space="preserve">Effect of tai chi versus aerobic exercise for fibromyalgia: comparative effectiveness randomized controlled trial.</w:t>
      </w:r>
      <w:r>
        <w:t xml:space="preserve"> </w:t>
      </w:r>
      <w:r>
        <w:t xml:space="preserve">BMJ 2018;360:k851. — https://pubmed.ncbi.nlm.nih.gov/29563100/</w:t>
      </w:r>
    </w:p>
    <w:p>
      <w:pPr>
        <w:pStyle w:val="Compact"/>
        <w:numPr>
          <w:ilvl w:val="0"/>
          <w:numId w:val="1039"/>
        </w:numPr>
      </w:pPr>
      <w:r>
        <w:t xml:space="preserve">Edinger JD, Wohlgemuth WK, Krystal AD, Rice JR.</w:t>
      </w:r>
      <w:r>
        <w:t xml:space="preserve"> </w:t>
      </w:r>
      <w:r>
        <w:rPr>
          <w:i/>
          <w:iCs/>
        </w:rPr>
        <w:t xml:space="preserve">Behavioral insomnia therapy for fibromyalgia patients: a randomized clinical trial.</w:t>
      </w:r>
      <w:r>
        <w:t xml:space="preserve"> </w:t>
      </w:r>
      <w:r>
        <w:t xml:space="preserve">Arch Intern Med 2005;165(21):2527-35. — https://pubmed.ncbi.nlm.nih.gov/16314551/</w:t>
      </w:r>
    </w:p>
    <w:p>
      <w:pPr>
        <w:pStyle w:val="Compact"/>
        <w:numPr>
          <w:ilvl w:val="0"/>
          <w:numId w:val="1039"/>
        </w:numPr>
      </w:pPr>
      <w:r>
        <w:t xml:space="preserve">Climent-Sanz C, Valenzuela-Pascual F, Martínez-Navarro O, et al. </w:t>
      </w:r>
      <w:r>
        <w:rPr>
          <w:i/>
          <w:iCs/>
        </w:rPr>
        <w:t xml:space="preserve">Cognitive behavioral therapy for insomnia (CBT-i) in patients with fibromyalgia: a systematic review and meta-analysis.</w:t>
      </w:r>
      <w:r>
        <w:t xml:space="preserve"> </w:t>
      </w:r>
      <w:r>
        <w:t xml:space="preserve">Disabil Rehabil 2022;44(20):5770-5783. — https://pubmed.ncbi.nlm.nih.gov/34297651/</w:t>
      </w:r>
    </w:p>
    <w:p>
      <w:pPr>
        <w:pStyle w:val="Compact"/>
        <w:numPr>
          <w:ilvl w:val="0"/>
          <w:numId w:val="1039"/>
        </w:numPr>
      </w:pPr>
      <w:r>
        <w:t xml:space="preserve">Bernardy K, Klose P, Busch AJ, et al. </w:t>
      </w:r>
      <w:r>
        <w:rPr>
          <w:i/>
          <w:iCs/>
        </w:rPr>
        <w:t xml:space="preserve">Cognitive behavioural therapies for fibromyalgia.</w:t>
      </w:r>
      <w:r>
        <w:t xml:space="preserve"> </w:t>
      </w:r>
      <w:r>
        <w:t xml:space="preserve">Cochrane Database Syst Rev 2013;9:CD009796. — https://pubmed.ncbi.nlm.nih.gov/24018611/</w:t>
      </w:r>
    </w:p>
    <w:p>
      <w:pPr>
        <w:pStyle w:val="Compact"/>
        <w:numPr>
          <w:ilvl w:val="0"/>
          <w:numId w:val="1039"/>
        </w:numPr>
      </w:pPr>
      <w:r>
        <w:t xml:space="preserve">Kircali S, Özcan ÖÖ, Karahan M.</w:t>
      </w:r>
      <w:r>
        <w:t xml:space="preserve"> </w:t>
      </w:r>
      <w:r>
        <w:rPr>
          <w:i/>
          <w:iCs/>
        </w:rPr>
        <w:t xml:space="preserve">Pain neuroscience education and motor imagery-based exercise protocol for patients with fibromyalgia: a randomized controlled trial.</w:t>
      </w:r>
      <w:r>
        <w:t xml:space="preserve"> </w:t>
      </w:r>
      <w:r>
        <w:t xml:space="preserve">Brain Behav 2024;14(9):e70013. — https://pubmed.ncbi.nlm.nih.gov/39262170/</w:t>
      </w:r>
    </w:p>
    <w:p>
      <w:pPr>
        <w:pStyle w:val="Compact"/>
        <w:numPr>
          <w:ilvl w:val="0"/>
          <w:numId w:val="1039"/>
        </w:numPr>
      </w:pPr>
      <w:r>
        <w:t xml:space="preserve">Castro-Sánchez AM, Matarán-Peñarrocha GA, Arroyo-Morales M, et al. </w:t>
      </w:r>
      <w:r>
        <w:rPr>
          <w:i/>
          <w:iCs/>
        </w:rPr>
        <w:t xml:space="preserve">Effects of myofascial release techniques on pain, physical function, and postural stability in patients with fibromyalgia: a randomized controlled trial.</w:t>
      </w:r>
      <w:r>
        <w:t xml:space="preserve"> </w:t>
      </w:r>
      <w:r>
        <w:t xml:space="preserve">Clin Rehabil 2011;25(9):800-13. — https://pubmed.ncbi.nlm.nih.gov/21673013/</w:t>
      </w:r>
    </w:p>
    <w:p>
      <w:pPr>
        <w:pStyle w:val="Compact"/>
        <w:numPr>
          <w:ilvl w:val="0"/>
          <w:numId w:val="1039"/>
        </w:numPr>
      </w:pPr>
      <w:r>
        <w:t xml:space="preserve">Castro-Sánchez AM, Matarán-Peñarrocha GA, Sánchez-Labraca N, et al. </w:t>
      </w:r>
      <w:r>
        <w:rPr>
          <w:i/>
          <w:iCs/>
        </w:rPr>
        <w:t xml:space="preserve">A randomized controlled trial investigating the effects of craniosacral therapy on pain and heart rate variability in fibromyalgia patients.</w:t>
      </w:r>
      <w:r>
        <w:t xml:space="preserve"> </w:t>
      </w:r>
      <w:r>
        <w:t xml:space="preserve">Clin Rehabil 2011;25(1):25-35. — https://pubmed.ncbi.nlm.nih.gov/20702514/</w:t>
      </w:r>
    </w:p>
    <w:p>
      <w:pPr>
        <w:pStyle w:val="Compact"/>
        <w:numPr>
          <w:ilvl w:val="0"/>
          <w:numId w:val="1039"/>
        </w:numPr>
      </w:pPr>
      <w:r>
        <w:t xml:space="preserve">Ughreja RA, Venkatesan P, Balebail Gopalakrishna D, et al. </w:t>
      </w:r>
      <w:r>
        <w:rPr>
          <w:i/>
          <w:iCs/>
        </w:rPr>
        <w:t xml:space="preserve">Effectiveness of myofascial release on pain, sleep, and quality of life in patients with fibromyalgia syndrome: a systematic review.</w:t>
      </w:r>
      <w:r>
        <w:t xml:space="preserve"> </w:t>
      </w:r>
      <w:r>
        <w:t xml:space="preserve">Complement Ther Clin Pract 2021;45:101477. — https://pubmed.ncbi.nlm.nih.gov/34507243/</w:t>
      </w:r>
    </w:p>
    <w:p>
      <w:pPr>
        <w:pStyle w:val="Compact"/>
        <w:numPr>
          <w:ilvl w:val="0"/>
          <w:numId w:val="1039"/>
        </w:numPr>
      </w:pPr>
      <w:r>
        <w:t xml:space="preserve">Clauw DJ.</w:t>
      </w:r>
      <w:r>
        <w:t xml:space="preserve"> </w:t>
      </w:r>
      <w:r>
        <w:rPr>
          <w:i/>
          <w:iCs/>
        </w:rPr>
        <w:t xml:space="preserve">Fibromyalgia: a clinical review.</w:t>
      </w:r>
      <w:r>
        <w:t xml:space="preserve"> </w:t>
      </w:r>
      <w:r>
        <w:t xml:space="preserve">JAMA 2014;311(15):1547-55. — https://pubmed.ncbi.nlm.nih.gov/24737367/</w:t>
      </w:r>
    </w:p>
    <w:p>
      <w:pPr>
        <w:pStyle w:val="Compact"/>
        <w:numPr>
          <w:ilvl w:val="0"/>
          <w:numId w:val="1039"/>
        </w:numPr>
      </w:pPr>
      <w:r>
        <w:t xml:space="preserve">Derry S, Cording M, Wiffen PJ, et al. </w:t>
      </w:r>
      <w:r>
        <w:rPr>
          <w:i/>
          <w:iCs/>
        </w:rPr>
        <w:t xml:space="preserve">Pregabalin for pain in fibromyalgia in adults.</w:t>
      </w:r>
      <w:r>
        <w:t xml:space="preserve"> </w:t>
      </w:r>
      <w:r>
        <w:t xml:space="preserve">Cochrane Database Syst Rev 2016;9:CD011790. — https://pubmed.ncbi.nlm.nih.gov/27684492/</w:t>
      </w:r>
    </w:p>
    <w:p>
      <w:pPr>
        <w:pStyle w:val="FirstParagraph"/>
      </w:pPr>
      <w:r>
        <w:rPr>
          <w:b/>
          <w:bCs/>
        </w:rPr>
        <w:t xml:space="preserve">Fonti entrate con la revisione di primo livello (v2).</w:t>
      </w:r>
    </w:p>
    <w:p>
      <w:pPr>
        <w:pStyle w:val="Compact"/>
        <w:numPr>
          <w:ilvl w:val="0"/>
          <w:numId w:val="1040"/>
        </w:numPr>
      </w:pPr>
      <w:r>
        <w:t xml:space="preserve">Wolfe F, Brähler E, Hinz A, Häuser W.</w:t>
      </w:r>
      <w:r>
        <w:t xml:space="preserve"> </w:t>
      </w:r>
      <w:r>
        <w:rPr>
          <w:i/>
          <w:iCs/>
        </w:rPr>
        <w:t xml:space="preserve">Fibromyalgia prevalence, somatic symptom reporting, and the dimensionality of polysymptomatic distress.</w:t>
      </w:r>
      <w:r>
        <w:t xml:space="preserve"> </w:t>
      </w:r>
      <w:r>
        <w:t xml:space="preserve">Arthritis Care Res 2013;65(5):777-85. — https://pubmed.ncbi.nlm.nih.gov/23424058/</w:t>
      </w:r>
    </w:p>
    <w:p>
      <w:pPr>
        <w:pStyle w:val="Compact"/>
        <w:numPr>
          <w:ilvl w:val="0"/>
          <w:numId w:val="1040"/>
        </w:numPr>
      </w:pPr>
      <w:r>
        <w:t xml:space="preserve">Jones GT, Atzeni F, Beasley M, et al. </w:t>
      </w:r>
      <w:r>
        <w:rPr>
          <w:i/>
          <w:iCs/>
        </w:rPr>
        <w:t xml:space="preserve">The prevalence of fibromyalgia in the general population: a comparison of the ACR 1990, 2010 and modified 2010 classification criteria.</w:t>
      </w:r>
      <w:r>
        <w:t xml:space="preserve"> </w:t>
      </w:r>
      <w:r>
        <w:t xml:space="preserve">Arthritis Rheumatol 2015;67(2):568-75. — https://pubmed.ncbi.nlm.nih.gov/25323744/</w:t>
      </w:r>
    </w:p>
    <w:p>
      <w:pPr>
        <w:pStyle w:val="Compact"/>
        <w:numPr>
          <w:ilvl w:val="0"/>
          <w:numId w:val="1040"/>
        </w:numPr>
      </w:pPr>
      <w:r>
        <w:t xml:space="preserve">Granges G, Zilko P, Littlejohn GO.</w:t>
      </w:r>
      <w:r>
        <w:t xml:space="preserve"> </w:t>
      </w:r>
      <w:r>
        <w:rPr>
          <w:i/>
          <w:iCs/>
        </w:rPr>
        <w:t xml:space="preserve">Fibromyalgia syndrome: assessment of the severity of the condition 2 years after diagnosis.</w:t>
      </w:r>
      <w:r>
        <w:t xml:space="preserve"> </w:t>
      </w:r>
      <w:r>
        <w:t xml:space="preserve">J Rheumatol 1994;21(3):523-9. — https://pubmed.ncbi.nlm.nih.gov/8006897/</w:t>
      </w:r>
    </w:p>
    <w:p>
      <w:pPr>
        <w:pStyle w:val="Compact"/>
        <w:numPr>
          <w:ilvl w:val="0"/>
          <w:numId w:val="1040"/>
        </w:numPr>
      </w:pPr>
      <w:r>
        <w:t xml:space="preserve">Walitt B, Fitzcharles MA, Hassett AL, et al. </w:t>
      </w:r>
      <w:r>
        <w:rPr>
          <w:i/>
          <w:iCs/>
        </w:rPr>
        <w:t xml:space="preserve">The longitudinal outcome of fibromyalgia: a study of 1555 patients.</w:t>
      </w:r>
      <w:r>
        <w:t xml:space="preserve"> </w:t>
      </w:r>
      <w:r>
        <w:t xml:space="preserve">J Rheumatol 2011;38(10):2238-46. — https://pubmed.ncbi.nlm.nih.gov/21765102/</w:t>
      </w:r>
    </w:p>
    <w:p>
      <w:pPr>
        <w:pStyle w:val="Compact"/>
        <w:numPr>
          <w:ilvl w:val="0"/>
          <w:numId w:val="1040"/>
        </w:numPr>
      </w:pPr>
      <w:r>
        <w:t xml:space="preserve">Smith MT, Edwards RR, McCann UD, Haythornthwaite JA.</w:t>
      </w:r>
      <w:r>
        <w:t xml:space="preserve"> </w:t>
      </w:r>
      <w:r>
        <w:rPr>
          <w:i/>
          <w:iCs/>
        </w:rPr>
        <w:t xml:space="preserve">The effects of sleep deprivation on pain inhibition and spontaneous pain in women.</w:t>
      </w:r>
      <w:r>
        <w:t xml:space="preserve"> </w:t>
      </w:r>
      <w:r>
        <w:t xml:space="preserve">Sleep 2007;30(4):494-505. — https://pubmed.ncbi.nlm.nih.gov/17520794/</w:t>
      </w:r>
    </w:p>
    <w:p>
      <w:pPr>
        <w:pStyle w:val="Compact"/>
        <w:numPr>
          <w:ilvl w:val="0"/>
          <w:numId w:val="1040"/>
        </w:numPr>
      </w:pPr>
      <w:r>
        <w:t xml:space="preserve">Boehme R, van Ettinger-Veenstra H, Olausson H, et al. </w:t>
      </w:r>
      <w:r>
        <w:rPr>
          <w:i/>
          <w:iCs/>
        </w:rPr>
        <w:t xml:space="preserve">Anhedonia to gentle touch in fibromyalgia: normal sensory processing but abnormal evaluation.</w:t>
      </w:r>
      <w:r>
        <w:t xml:space="preserve"> </w:t>
      </w:r>
      <w:r>
        <w:t xml:space="preserve">Brain Sci 2020;10(5):306. — https://pubmed.ncbi.nlm.nih.gov/32443443/</w:t>
      </w:r>
    </w:p>
    <w:p>
      <w:pPr>
        <w:pStyle w:val="Compact"/>
        <w:numPr>
          <w:ilvl w:val="0"/>
          <w:numId w:val="1040"/>
        </w:numPr>
      </w:pPr>
      <w:r>
        <w:t xml:space="preserve">Furlan R, Colombo S, Perego F, et al. </w:t>
      </w:r>
      <w:r>
        <w:rPr>
          <w:i/>
          <w:iCs/>
        </w:rPr>
        <w:t xml:space="preserve">Abnormalities of cardiovascular neural control and reduced orthostatic tolerance in patients with primary fibromyalgia.</w:t>
      </w:r>
      <w:r>
        <w:t xml:space="preserve"> </w:t>
      </w:r>
      <w:r>
        <w:t xml:space="preserve">J Rheumatol 2005;32(9):1787-93. — https://pubmed.ncbi.nlm.nih.gov/16142879/</w:t>
      </w:r>
    </w:p>
    <w:p>
      <w:pPr>
        <w:pStyle w:val="Compact"/>
        <w:numPr>
          <w:ilvl w:val="0"/>
          <w:numId w:val="1040"/>
        </w:numPr>
      </w:pPr>
      <w:r>
        <w:t xml:space="preserve">Martínez-Lavín M, Hermosillo AG, Mendoza C, et al. </w:t>
      </w:r>
      <w:r>
        <w:rPr>
          <w:i/>
          <w:iCs/>
        </w:rPr>
        <w:t xml:space="preserve">Orthostatic sympathetic derangement in subjects with fibromyalgia.</w:t>
      </w:r>
      <w:r>
        <w:t xml:space="preserve"> </w:t>
      </w:r>
      <w:r>
        <w:t xml:space="preserve">J Rheumatol 1997;24(4):714-8. — https://pubmed.ncbi.nlm.nih.gov/9101507/</w:t>
      </w:r>
    </w:p>
    <w:p>
      <w:pPr>
        <w:pStyle w:val="Compact"/>
        <w:numPr>
          <w:ilvl w:val="0"/>
          <w:numId w:val="1040"/>
        </w:numPr>
      </w:pPr>
      <w:r>
        <w:t xml:space="preserve">Ofluoglu D, Gunduz OH, Kul-Panza E, Guven Z.</w:t>
      </w:r>
      <w:r>
        <w:t xml:space="preserve"> </w:t>
      </w:r>
      <w:r>
        <w:rPr>
          <w:i/>
          <w:iCs/>
        </w:rPr>
        <w:t xml:space="preserve">Hypermobility in women with fibromyalgia syndrome.</w:t>
      </w:r>
      <w:r>
        <w:t xml:space="preserve"> </w:t>
      </w:r>
      <w:r>
        <w:t xml:space="preserve">Clin Rheumatol 2006;25(3):291-3. — https://pubmed.ncbi.nlm.nih.gov/16228925/</w:t>
      </w:r>
    </w:p>
    <w:p>
      <w:pPr>
        <w:pStyle w:val="Compact"/>
        <w:numPr>
          <w:ilvl w:val="0"/>
          <w:numId w:val="1040"/>
        </w:numPr>
      </w:pPr>
      <w:r>
        <w:t xml:space="preserve">Vincent A, Whipple MO, Rhudy LM.</w:t>
      </w:r>
      <w:r>
        <w:t xml:space="preserve"> </w:t>
      </w:r>
      <w:r>
        <w:rPr>
          <w:i/>
          <w:iCs/>
        </w:rPr>
        <w:t xml:space="preserve">Fibromyalgia flares: a qualitative analysis.</w:t>
      </w:r>
      <w:r>
        <w:t xml:space="preserve"> </w:t>
      </w:r>
      <w:r>
        <w:t xml:space="preserve">Pain Med 2016;17(3):463-8. — https://pubmed.ncbi.nlm.nih.gov/25586303/</w:t>
      </w:r>
    </w:p>
    <w:p>
      <w:pPr>
        <w:pStyle w:val="Compact"/>
        <w:numPr>
          <w:ilvl w:val="0"/>
          <w:numId w:val="1040"/>
        </w:numPr>
      </w:pPr>
      <w:r>
        <w:t xml:space="preserve">Pidal-Miranda M, González-Villar AJ, Carrillo-de-la-Peña MT, et al. </w:t>
      </w:r>
      <w:r>
        <w:rPr>
          <w:i/>
          <w:iCs/>
        </w:rPr>
        <w:t xml:space="preserve">Broad cognitive complaints but subtle objective working memory impairment in fibromyalgia patients.</w:t>
      </w:r>
      <w:r>
        <w:t xml:space="preserve"> </w:t>
      </w:r>
      <w:r>
        <w:t xml:space="preserve">PeerJ 2018;6:e5907. — https://pubmed.ncbi.nlm.nih.gov/30498630/</w:t>
      </w:r>
    </w:p>
    <w:p>
      <w:pPr>
        <w:pStyle w:val="Compact"/>
        <w:numPr>
          <w:ilvl w:val="0"/>
          <w:numId w:val="1040"/>
        </w:numPr>
      </w:pPr>
      <w:r>
        <w:t xml:space="preserve">Viola-Saltzman M, Watson NF, Bogart A, et al. </w:t>
      </w:r>
      <w:r>
        <w:rPr>
          <w:i/>
          <w:iCs/>
        </w:rPr>
        <w:t xml:space="preserve">High prevalence of restless legs syndrome among patients with fibromyalgia: a controlled cross-sectional study.</w:t>
      </w:r>
      <w:r>
        <w:t xml:space="preserve"> </w:t>
      </w:r>
      <w:r>
        <w:t xml:space="preserve">J Clin Sleep Med 2010;6(5):423-7. — https://pubmed.ncbi.nlm.nih.gov/20957840/</w:t>
      </w:r>
    </w:p>
    <w:p>
      <w:pPr>
        <w:pStyle w:val="Compact"/>
        <w:numPr>
          <w:ilvl w:val="0"/>
          <w:numId w:val="1040"/>
        </w:numPr>
      </w:pPr>
      <w:r>
        <w:t xml:space="preserve">May KP, West SG, Baker MR, Everett DW.</w:t>
      </w:r>
      <w:r>
        <w:t xml:space="preserve"> </w:t>
      </w:r>
      <w:r>
        <w:rPr>
          <w:i/>
          <w:iCs/>
        </w:rPr>
        <w:t xml:space="preserve">Sleep apnea in male patients with the fibromyalgia syndrome.</w:t>
      </w:r>
      <w:r>
        <w:t xml:space="preserve"> </w:t>
      </w:r>
      <w:r>
        <w:t xml:space="preserve">Am J Med 1993;94(5):505-8. — https://pubmed.ncbi.nlm.nih.gov/8498395/</w:t>
      </w:r>
    </w:p>
    <w:p>
      <w:pPr>
        <w:pStyle w:val="Compact"/>
        <w:numPr>
          <w:ilvl w:val="0"/>
          <w:numId w:val="1040"/>
        </w:numPr>
      </w:pPr>
      <w:r>
        <w:t xml:space="preserve">Adawi M, Chen W, Bragazzi NL, et al. </w:t>
      </w:r>
      <w:r>
        <w:rPr>
          <w:i/>
          <w:iCs/>
        </w:rPr>
        <w:t xml:space="preserve">Suicidal behavior in fibromyalgia patients: rates and determinants of prevalence — a systematic review and meta-analysis.</w:t>
      </w:r>
      <w:r>
        <w:t xml:space="preserve"> </w:t>
      </w:r>
      <w:r>
        <w:t xml:space="preserve">J Clin Med 2021;10(24):5867. — https://pubmed.ncbi.nlm.nih.gov/34867495/</w:t>
      </w:r>
    </w:p>
    <w:p>
      <w:pPr>
        <w:pStyle w:val="Compact"/>
        <w:numPr>
          <w:ilvl w:val="0"/>
          <w:numId w:val="1040"/>
        </w:numPr>
      </w:pPr>
      <w:r>
        <w:t xml:space="preserve">Treister-Goltzman Y, Peleg R.</w:t>
      </w:r>
      <w:r>
        <w:t xml:space="preserve"> </w:t>
      </w:r>
      <w:r>
        <w:rPr>
          <w:i/>
          <w:iCs/>
        </w:rPr>
        <w:t xml:space="preserve">Fibromyalgia and mortality: a systematic review and meta-analysis.</w:t>
      </w:r>
      <w:r>
        <w:t xml:space="preserve"> </w:t>
      </w:r>
      <w:r>
        <w:t xml:space="preserve">RMD Open 2023;9(3):e003005. — https://pubmed.ncbi.nlm.nih.gov/37429737/</w:t>
      </w:r>
    </w:p>
    <w:p>
      <w:pPr>
        <w:pStyle w:val="Compact"/>
        <w:numPr>
          <w:ilvl w:val="0"/>
          <w:numId w:val="1040"/>
        </w:numPr>
      </w:pPr>
      <w:r>
        <w:t xml:space="preserve">Hyder T, Marino CC, Ahmad S, et al. </w:t>
      </w:r>
      <w:r>
        <w:rPr>
          <w:i/>
          <w:iCs/>
        </w:rPr>
        <w:t xml:space="preserve">Aromatase inhibitor-associated musculoskeletal syndrome: understanding mechanisms and management.</w:t>
      </w:r>
      <w:r>
        <w:t xml:space="preserve"> </w:t>
      </w:r>
      <w:r>
        <w:t xml:space="preserve">Front Endocrinol 2021;12:713700. — https://pubmed.ncbi.nlm.nih.gov/34385978/</w:t>
      </w:r>
    </w:p>
    <w:p>
      <w:pPr>
        <w:pStyle w:val="Compact"/>
        <w:numPr>
          <w:ilvl w:val="0"/>
          <w:numId w:val="1040"/>
        </w:numPr>
      </w:pPr>
      <w:r>
        <w:t xml:space="preserve">2023 American Geriatrics Society Beers Criteria Update Expert Panel.</w:t>
      </w:r>
      <w:r>
        <w:t xml:space="preserve"> </w:t>
      </w:r>
      <w:r>
        <w:rPr>
          <w:i/>
          <w:iCs/>
        </w:rPr>
        <w:t xml:space="preserve">American Geriatrics Society 2023 updated AGS Beers Criteria for potentially inappropriate medication use in older adults.</w:t>
      </w:r>
      <w:r>
        <w:t xml:space="preserve"> </w:t>
      </w:r>
      <w:r>
        <w:t xml:space="preserve">J Am Geriatr Soc 2023;71(7):2052-2081. — https://pubmed.ncbi.nlm.nih.gov/37139824/</w:t>
      </w:r>
    </w:p>
    <w:p>
      <w:pPr>
        <w:pStyle w:val="Compact"/>
        <w:numPr>
          <w:ilvl w:val="0"/>
          <w:numId w:val="1040"/>
        </w:numPr>
      </w:pPr>
      <w:r>
        <w:t xml:space="preserve">Rushton A, Carlesso LC, Flynn T, et al. </w:t>
      </w:r>
      <w:r>
        <w:rPr>
          <w:i/>
          <w:iCs/>
        </w:rPr>
        <w:t xml:space="preserve">International framework for examination of the cervical region for potential of vascular pathologies of the neck prior to musculoskeletal intervention: International IFOMPT Cervical Framework.</w:t>
      </w:r>
      <w:r>
        <w:t xml:space="preserve"> </w:t>
      </w:r>
      <w:r>
        <w:t xml:space="preserve">J Orthop Sports Phys Ther 2023;53(1):7-22. — https://pubmed.ncbi.nlm.nih.gov/36099171/</w:t>
      </w:r>
    </w:p>
    <w:p>
      <w:pPr>
        <w:pStyle w:val="Compact"/>
        <w:numPr>
          <w:ilvl w:val="0"/>
          <w:numId w:val="1040"/>
        </w:numPr>
      </w:pPr>
      <w:r>
        <w:t xml:space="preserve">Paanalahti K, Holm LW, Nordin M, et al. </w:t>
      </w:r>
      <w:r>
        <w:rPr>
          <w:i/>
          <w:iCs/>
        </w:rPr>
        <w:t xml:space="preserve">Adverse events after manual therapy among patients seeking care for neck and/or back pain: a randomized controlled trial.</w:t>
      </w:r>
      <w:r>
        <w:t xml:space="preserve"> </w:t>
      </w:r>
      <w:r>
        <w:t xml:space="preserve">BMC Musculoskelet Disord 2014;15:77. — https://pubmed.ncbi.nlm.nih.gov/24618345/</w:t>
      </w:r>
    </w:p>
    <w:p>
      <w:pPr>
        <w:pStyle w:val="Compact"/>
        <w:numPr>
          <w:ilvl w:val="0"/>
          <w:numId w:val="1040"/>
        </w:numPr>
      </w:pPr>
      <w:r>
        <w:t xml:space="preserve">Busch AJ, Webber SC, Richards RS, et al. </w:t>
      </w:r>
      <w:r>
        <w:rPr>
          <w:i/>
          <w:iCs/>
        </w:rPr>
        <w:t xml:space="preserve">Resistance exercise training for fibromyalgia.</w:t>
      </w:r>
      <w:r>
        <w:t xml:space="preserve"> </w:t>
      </w:r>
      <w:r>
        <w:t xml:space="preserve">Cochrane Database Syst Rev 2013;12:CD010884. — https://pubmed.ncbi.nlm.nih.gov/24362925/</w:t>
      </w:r>
    </w:p>
    <w:p>
      <w:pPr>
        <w:pStyle w:val="Compact"/>
        <w:numPr>
          <w:ilvl w:val="0"/>
          <w:numId w:val="1040"/>
        </w:numPr>
      </w:pPr>
      <w:r>
        <w:t xml:space="preserve">Racine M, Jensen MP, Harth M, et al. </w:t>
      </w:r>
      <w:r>
        <w:rPr>
          <w:i/>
          <w:iCs/>
        </w:rPr>
        <w:t xml:space="preserve">Operant learning versus energy conservation activity pacing treatments in a sample of patients with fibromyalgia syndrome: a pilot randomized controlled trial.</w:t>
      </w:r>
      <w:r>
        <w:t xml:space="preserve"> </w:t>
      </w:r>
      <w:r>
        <w:t xml:space="preserve">J Pain 2019;20(4):420-439. — https://pubmed.ncbi.nlm.nih.gov/30326271/</w:t>
      </w:r>
    </w:p>
    <w:p>
      <w:pPr>
        <w:pStyle w:val="Compact"/>
        <w:numPr>
          <w:ilvl w:val="0"/>
          <w:numId w:val="1040"/>
        </w:numPr>
      </w:pPr>
      <w:r>
        <w:t xml:space="preserve">Zautra AJ, Fasman R, Davis MC, Craig AD.</w:t>
      </w:r>
      <w:r>
        <w:t xml:space="preserve"> </w:t>
      </w:r>
      <w:r>
        <w:rPr>
          <w:i/>
          <w:iCs/>
        </w:rPr>
        <w:t xml:space="preserve">The effects of slow breathing on affective responses to pain stimuli: an experimental study.</w:t>
      </w:r>
      <w:r>
        <w:t xml:space="preserve"> </w:t>
      </w:r>
      <w:r>
        <w:t xml:space="preserve">Pain 2010;149(1):12-18. — https://pubmed.ncbi.nlm.nih.gov/19875429/</w:t>
      </w:r>
    </w:p>
    <w:p>
      <w:pPr>
        <w:pStyle w:val="Compact"/>
        <w:numPr>
          <w:ilvl w:val="0"/>
          <w:numId w:val="1040"/>
        </w:numPr>
      </w:pPr>
      <w:r>
        <w:t xml:space="preserve">Carta MG, Testa G, Stocchino S, et al. </w:t>
      </w:r>
      <w:r>
        <w:rPr>
          <w:i/>
          <w:iCs/>
        </w:rPr>
        <w:t xml:space="preserve">The efficacy of heart rate variability biofeedback training on sleep disorders and impact of fibromyalgia: results of a phase II randomized controlled trial.</w:t>
      </w:r>
      <w:r>
        <w:t xml:space="preserve"> </w:t>
      </w:r>
      <w:r>
        <w:t xml:space="preserve">J Psychosom Res 2024;181:111673. — https://pubmed.ncbi.nlm.nih.gov/38652978/</w:t>
      </w:r>
    </w:p>
    <w:p>
      <w:pPr>
        <w:pStyle w:val="Compact"/>
        <w:numPr>
          <w:ilvl w:val="0"/>
          <w:numId w:val="1040"/>
        </w:numPr>
      </w:pPr>
      <w:r>
        <w:t xml:space="preserve">Wolfe F.</w:t>
      </w:r>
      <w:r>
        <w:t xml:space="preserve"> </w:t>
      </w:r>
      <w:r>
        <w:rPr>
          <w:i/>
          <w:iCs/>
        </w:rPr>
        <w:t xml:space="preserve">The relation between tender points and fibromyalgia symptom variables: evidence that fibromyalgia is not a discrete disorder in the clinic.</w:t>
      </w:r>
      <w:r>
        <w:t xml:space="preserve"> </w:t>
      </w:r>
      <w:r>
        <w:t xml:space="preserve">Ann Rheum Dis 1997;56(4):268-71. — https://pubmed.ncbi.nlm.nih.gov/9166001/</w:t>
      </w:r>
    </w:p>
    <w:p>
      <w:pPr>
        <w:pStyle w:val="FirstParagraph"/>
      </w:pPr>
      <w:r>
        <w:rPr>
          <w:b/>
          <w:bCs/>
        </w:rPr>
        <w:t xml:space="preserve">Fonti entrate con la revisione di secondo livello (v3).</w:t>
      </w:r>
    </w:p>
    <w:p>
      <w:pPr>
        <w:pStyle w:val="Compact"/>
        <w:numPr>
          <w:ilvl w:val="0"/>
          <w:numId w:val="1041"/>
        </w:numPr>
      </w:pPr>
      <w:r>
        <w:t xml:space="preserve">O’Brien AT, Deitos A, Triñanes Pego Y, Fregni F, Carrillo-de-la-Peña MT.</w:t>
      </w:r>
      <w:r>
        <w:t xml:space="preserve"> </w:t>
      </w:r>
      <w:r>
        <w:rPr>
          <w:i/>
          <w:iCs/>
        </w:rPr>
        <w:t xml:space="preserve">Defective endogenous pain modulation in fibromyalgia: a meta-analysis of temporal summation and conditioned pain modulation paradigms.</w:t>
      </w:r>
      <w:r>
        <w:t xml:space="preserve"> </w:t>
      </w:r>
      <w:r>
        <w:t xml:space="preserve">J Pain 2018;19(8):819-836. — https://pubmed.ncbi.nlm.nih.gov/29454976/</w:t>
      </w:r>
    </w:p>
    <w:p>
      <w:pPr>
        <w:pStyle w:val="Compact"/>
        <w:numPr>
          <w:ilvl w:val="0"/>
          <w:numId w:val="1041"/>
        </w:numPr>
      </w:pPr>
      <w:r>
        <w:t xml:space="preserve">Galosi E, Truini A, Di Stefano G.</w:t>
      </w:r>
      <w:r>
        <w:t xml:space="preserve"> </w:t>
      </w:r>
      <w:r>
        <w:rPr>
          <w:i/>
          <w:iCs/>
        </w:rPr>
        <w:t xml:space="preserve">A systematic review and meta-analysis of the prevalence of small fibre impairment in patients with fibromyalgia.</w:t>
      </w:r>
      <w:r>
        <w:t xml:space="preserve"> </w:t>
      </w:r>
      <w:r>
        <w:t xml:space="preserve">Diagnostics (Basel) 2022;12(5):1135. — https://pubmed.ncbi.nlm.nih.gov/35626288/</w:t>
      </w:r>
    </w:p>
    <w:p>
      <w:pPr>
        <w:pStyle w:val="Compact"/>
        <w:numPr>
          <w:ilvl w:val="0"/>
          <w:numId w:val="1041"/>
        </w:numPr>
      </w:pPr>
      <w:r>
        <w:t xml:space="preserve">Meijer LL, Baars W, Dijkerman HC, Ruis C, van der Smagt MJ.</w:t>
      </w:r>
      <w:r>
        <w:t xml:space="preserve"> </w:t>
      </w:r>
      <w:r>
        <w:rPr>
          <w:i/>
          <w:iCs/>
        </w:rPr>
        <w:t xml:space="preserve">Spatial factors influencing the pain-ameliorating effect of CT-optimal touch: a comparative study for modulating temporal summation of second pain.</w:t>
      </w:r>
      <w:r>
        <w:t xml:space="preserve"> </w:t>
      </w:r>
      <w:r>
        <w:t xml:space="preserve">Sci Rep 2024;14:2626. — https://pubmed.ncbi.nlm.nih.gov/38296996/</w:t>
      </w:r>
    </w:p>
    <w:p>
      <w:pPr>
        <w:pStyle w:val="Compact"/>
        <w:numPr>
          <w:ilvl w:val="0"/>
          <w:numId w:val="1041"/>
        </w:numPr>
      </w:pPr>
      <w:r>
        <w:t xml:space="preserve">Häuser W, Sarzi-Puttini P, Tölle TR, Wolfe F.</w:t>
      </w:r>
      <w:r>
        <w:t xml:space="preserve"> </w:t>
      </w:r>
      <w:r>
        <w:rPr>
          <w:i/>
          <w:iCs/>
        </w:rPr>
        <w:t xml:space="preserve">Placebo and nocebo responses in randomised controlled trials of drugs applying for approval for fibromyalgia syndrome treatment: systematic review and meta-analysis.</w:t>
      </w:r>
      <w:r>
        <w:t xml:space="preserve"> </w:t>
      </w:r>
      <w:r>
        <w:t xml:space="preserve">Clin Exp Rheumatol 2012;30(6 Suppl 74):78-87. — https://pubmed.ncbi.nlm.nih.gov/23137770/</w:t>
      </w:r>
    </w:p>
    <w:p>
      <w:pPr>
        <w:pStyle w:val="Compact"/>
        <w:numPr>
          <w:ilvl w:val="0"/>
          <w:numId w:val="1041"/>
        </w:numPr>
      </w:pPr>
      <w:r>
        <w:t xml:space="preserve">Mitsikostas DD, Chalarakis NG, Mantonakis LI, Delicha EM, Sfikakis PP.</w:t>
      </w:r>
      <w:r>
        <w:t xml:space="preserve"> </w:t>
      </w:r>
      <w:r>
        <w:rPr>
          <w:i/>
          <w:iCs/>
        </w:rPr>
        <w:t xml:space="preserve">Nocebo in fibromyalgia: meta-analysis of placebo-controlled clinical trials and implications for practice.</w:t>
      </w:r>
      <w:r>
        <w:t xml:space="preserve"> </w:t>
      </w:r>
      <w:r>
        <w:t xml:space="preserve">Eur J Neurol 2012;19(5):672-80. — https://pubmed.ncbi.nlm.nih.gov/21973313/</w:t>
      </w:r>
    </w:p>
    <w:p>
      <w:pPr>
        <w:pStyle w:val="Compact"/>
        <w:numPr>
          <w:ilvl w:val="0"/>
          <w:numId w:val="1041"/>
        </w:numPr>
      </w:pPr>
      <w:r>
        <w:t xml:space="preserve">Wewege MA, Jones MD.</w:t>
      </w:r>
      <w:r>
        <w:t xml:space="preserve"> </w:t>
      </w:r>
      <w:r>
        <w:rPr>
          <w:i/>
          <w:iCs/>
        </w:rPr>
        <w:t xml:space="preserve">Exercise-induced hypoalgesia in healthy individuals and people with chronic musculoskeletal pain: a systematic review and meta-analysis.</w:t>
      </w:r>
      <w:r>
        <w:t xml:space="preserve"> </w:t>
      </w:r>
      <w:r>
        <w:t xml:space="preserve">J Pain 2021;22(1):21-31. — https://pubmed.ncbi.nlm.nih.gov/32599154/</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66">
    <w:nsid w:val="0A994166"/>
    <w:multiLevelType w:val="multilevel"/>
    <w:lvl w:ilvl="0">
      <w:start w:val="66"/>
      <w:numFmt w:val="decimal"/>
      <w:lvlText w:val="%1."/>
      <w:lvlJc w:val="left"/>
      <w:pPr>
        <w:ind w:left="720" w:hanging="360"/>
      </w:pPr>
    </w:lvl>
    <w:lvl w:ilvl="1">
      <w:start w:val="66"/>
      <w:numFmt w:val="decimal"/>
      <w:lvlText w:val="%2."/>
      <w:lvlJc w:val="left"/>
      <w:pPr>
        <w:ind w:left="1440" w:hanging="360"/>
      </w:pPr>
    </w:lvl>
    <w:lvl w:ilvl="2">
      <w:start w:val="66"/>
      <w:numFmt w:val="decimal"/>
      <w:lvlText w:val="%3."/>
      <w:lvlJc w:val="left"/>
      <w:pPr>
        <w:ind w:left="2160" w:hanging="360"/>
      </w:pPr>
    </w:lvl>
    <w:lvl w:ilvl="3">
      <w:start w:val="66"/>
      <w:numFmt w:val="decimal"/>
      <w:lvlText w:val="%4."/>
      <w:lvlJc w:val="left"/>
      <w:pPr>
        <w:ind w:left="2880" w:hanging="360"/>
      </w:pPr>
    </w:lvl>
    <w:lvl w:ilvl="4">
      <w:start w:val="66"/>
      <w:numFmt w:val="decimal"/>
      <w:lvlText w:val="%5."/>
      <w:lvlJc w:val="left"/>
      <w:pPr>
        <w:ind w:left="3600" w:hanging="360"/>
      </w:pPr>
    </w:lvl>
    <w:lvl w:ilvl="5">
      <w:start w:val="66"/>
      <w:numFmt w:val="decimal"/>
      <w:lvlText w:val="%6."/>
      <w:lvlJc w:val="left"/>
      <w:pPr>
        <w:ind w:left="4320" w:hanging="360"/>
      </w:pPr>
    </w:lvl>
    <w:lvl w:ilvl="6">
      <w:start w:val="66"/>
      <w:numFmt w:val="decimal"/>
      <w:lvlText w:val="%7."/>
      <w:lvlJc w:val="left"/>
      <w:pPr>
        <w:ind w:left="5040" w:hanging="360"/>
      </w:pPr>
    </w:lvl>
    <w:lvl w:ilvl="7">
      <w:start w:val="66"/>
      <w:numFmt w:val="decimal"/>
      <w:lvlText w:val="%8."/>
      <w:lvlJc w:val="left"/>
      <w:pPr>
        <w:ind w:left="5760" w:hanging="360"/>
      </w:pPr>
    </w:lvl>
    <w:lvl w:ilvl="8">
      <w:start w:val="66"/>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41">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Fibromialgia</dc:title>
  <dc:creator>Mobilitas — Direzione Osteopatica</dc:creator>
  <dc:language>it-IT</dc:language>
  <cp:keywords/>
  <dcterms:created xsi:type="dcterms:W3CDTF">2026-09-02T13:27:37Z</dcterms:created>
  <dcterms:modified xsi:type="dcterms:W3CDTF">2026-09-02T13:27:37Z</dcterms:modified>
</cp:coreProperties>
</file>

<file path=docProps/custom.xml><?xml version="1.0" encoding="utf-8"?>
<Properties xmlns="http://schemas.openxmlformats.org/officeDocument/2006/custom-properties" xmlns:vt="http://schemas.openxmlformats.org/officeDocument/2006/docPropsVTypes"/>
</file>