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9" w:name="mappa-concettuale-fibromialgia"/>
    <w:p>
      <w:pPr>
        <w:pStyle w:val="Heading1"/>
      </w:pPr>
      <w:r>
        <w:t xml:space="preserve">Mappa concettuale — Fibromialgia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fibromialgia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Daniel J. Clauw (University of Michigan) ·</w:t>
      </w:r>
      <w:r>
        <w:t xml:space="preserve"> </w:t>
      </w:r>
      <w:r>
        <w:rPr>
          <w:b/>
          <w:bCs/>
        </w:rPr>
        <w:t xml:space="preserve">Ancora clinica sulla terapia manuale:</w:t>
      </w:r>
      <w:r>
        <w:t xml:space="preserve"> </w:t>
      </w:r>
      <w:r>
        <w:t xml:space="preserve">Adelaida María Castro-Sánchez (Universidad de Almería)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(revisione di lingua, 6º livello — versione finale)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1 settembre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Dolore diffuso su entrambi i lati, sopra e sotto la vita, da almeno tre mesi. Con stanchezza, sonno non ristoratore e nebbia cognitiva.</w:t>
      </w:r>
    </w:p>
    <w:p>
      <w:pPr>
        <w:pStyle w:val="BodyText"/>
      </w:pPr>
      <w:r>
        <w:t xml:space="preserve">Colpisce il 2,22% degli adulti in Italia, e il 15,2% di chi arriva in ambulatorio reumatologico. In studio è nove volte su dieci una donna, ma quello è il rapporto degli ambulatori e dei criteri del 1990: nella popolazione generale, con i criteri correnti, il divario quasi scompare.</w:t>
      </w:r>
      <w:r>
        <w:t xml:space="preserve"> </w:t>
      </w:r>
      <w:r>
        <w:rPr>
          <w:b/>
          <w:bCs/>
        </w:rPr>
        <w:t xml:space="preserve">Cercala anche negli uomini.</w:t>
      </w:r>
    </w:p>
    <w:p>
      <w:pPr>
        <w:pStyle w:val="BodyText"/>
      </w:pPr>
      <w:r>
        <w:t xml:space="preserve">Fluttua, con periodi migliori e riacutizzazioni.</w:t>
      </w:r>
      <w:r>
        <w:t xml:space="preserve"> </w:t>
      </w:r>
      <w:r>
        <w:rPr>
          <w:b/>
          <w:bCs/>
        </w:rPr>
        <w:t xml:space="preserve">Non progredisce verso un danno di tessuto, e una quota reale esce dai criteri o migliora da sola</w:t>
      </w:r>
      <w:r>
        <w:t xml:space="preserve"> </w:t>
      </w:r>
      <w:r>
        <w:t xml:space="preserve">— più alta nei quadri di comunità che in quelli specialistici. È il tasso di fondo contro cui leggerai il tuo marker.</w:t>
      </w:r>
    </w:p>
    <w:p>
      <w:r>
        <w:pict>
          <v:rect style="width:0;height:1.5pt" o:hralign="center" o:hrstd="t" o:hr="t"/>
        </w:pict>
      </w:r>
    </w:p>
    <w:bookmarkEnd w:id="9"/>
    <w:bookmarkStart w:id="10" w:name="la-sequenza-causale"/>
    <w:p>
      <w:pPr>
        <w:pStyle w:val="Heading2"/>
      </w:pPr>
      <w:r>
        <w:t xml:space="preserve">2 · La sequenza causale</w:t>
      </w:r>
    </w:p>
    <w:p>
      <w:pPr>
        <w:pStyle w:val="FirstParagraph"/>
      </w:pPr>
      <w:r>
        <w:rPr>
          <w:rStyle w:val="VerbatimChar"/>
        </w:rPr>
        <w:t xml:space="preserve">carico di vita, sonno frammentato, allerta → la modulazione discendente non abbassa il guadagno → il relè spinale somma di più e parte più in alto → stimoli normali producono dolore in sedi senza danno → il paziente ha male dappertutto e cambia sede</w:t>
      </w:r>
    </w:p>
    <w:p>
      <w:pPr>
        <w:pStyle w:val="BodyText"/>
      </w:pPr>
      <w:r>
        <w:t xml:space="preserve">Il terzo anello è</w:t>
      </w:r>
      <w:r>
        <w:t xml:space="preserve"> </w:t>
      </w:r>
      <w:r>
        <w:rPr>
          <w:b/>
          <w:bCs/>
        </w:rPr>
        <w:t xml:space="preserve">misurato</w:t>
      </w:r>
      <w:r>
        <w:t xml:space="preserve">, non dedotto: 23 studi, 648 pazienti, modulazione condizionata difettosa e sommazione temporale aumentata (O’Brien, 2018).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Guadagno alzato al centro</w:t>
            </w:r>
          </w:p>
        </w:tc>
        <w:tc>
          <w:tcPr/>
          <w:p>
            <w:pPr>
              <w:pStyle w:val="Compact"/>
            </w:pPr>
            <w:r>
              <w:t xml:space="preserve">Dolore sproporzionato alla pressione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Sonno che non rifà la taratura</w:t>
            </w:r>
          </w:p>
        </w:tc>
        <w:tc>
          <w:tcPr/>
          <w:p>
            <w:pPr>
              <w:pStyle w:val="Compact"/>
            </w:pPr>
            <w:r>
              <w:t xml:space="preserve">Peggio al risveglio; contano i risvegli, non le ore</w:t>
            </w:r>
          </w:p>
        </w:tc>
        <w:tc>
          <w:tcPr/>
          <w:p>
            <w:pPr>
              <w:pStyle w:val="Compact"/>
            </w:pPr>
            <w:r>
              <w:t xml:space="preserve">DIMOSTRATO / 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che non torna in stand-by</w:t>
            </w:r>
          </w:p>
        </w:tc>
        <w:tc>
          <w:tcPr/>
          <w:p>
            <w:pPr>
              <w:pStyle w:val="Compact"/>
            </w:pPr>
            <w:r>
              <w:t xml:space="preserve">Tessuti reattivi, meglio in vacanza, crolla in piedi ferma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Acceleratore e freno sul carico</w:t>
            </w:r>
          </w:p>
        </w:tc>
        <w:tc>
          <w:tcPr/>
          <w:p>
            <w:pPr>
              <w:pStyle w:val="Compact"/>
            </w:pPr>
            <w:r>
              <w:t xml:space="preserve">Riacutizza a 24-48 ore</w:t>
            </w:r>
          </w:p>
        </w:tc>
        <w:tc>
          <w:tcPr/>
          <w:p>
            <w:pPr>
              <w:pStyle w:val="Compact"/>
            </w:pPr>
            <w:r>
              <w:t xml:space="preserve">PROBABILE / RAGIONAMENTO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Ingressi periferici nell’amplificatore</w:t>
            </w:r>
          </w:p>
        </w:tc>
        <w:tc>
          <w:tcPr/>
          <w:p>
            <w:pPr>
              <w:pStyle w:val="Compact"/>
            </w:pPr>
            <w:r>
              <w:t xml:space="preserve">Un distretto ha un reperto suo</w:t>
            </w:r>
          </w:p>
        </w:tc>
        <w:tc>
          <w:tcPr/>
          <w:p>
            <w:pPr>
              <w:pStyle w:val="Compact"/>
            </w:pPr>
            <w:r>
              <w:t xml:space="preserve">IPOTESI</w:t>
            </w:r>
          </w:p>
        </w:tc>
      </w:tr>
    </w:tbl>
    <w:p>
      <w:pPr>
        <w:pStyle w:val="BodyText"/>
      </w:pPr>
      <w:r>
        <w:t xml:space="preserve">L’ultimo è il tuo, ed è il più debole. Questa proporzione va detta al paziente.</w:t>
      </w:r>
    </w:p>
    <w:p>
      <w:pPr>
        <w:pStyle w:val="BodyText"/>
      </w:pPr>
      <w:r>
        <w:t xml:space="preserve">La variabilità cardiaca è una</w:t>
      </w:r>
      <w:r>
        <w:t xml:space="preserve"> </w:t>
      </w:r>
      <w:r>
        <w:rPr>
          <w:b/>
          <w:bCs/>
        </w:rPr>
        <w:t xml:space="preserve">spia del regolatore, non una manopola</w:t>
      </w:r>
      <w:r>
        <w:t xml:space="preserve">: alzarla non è una strada per alzare la soglia del dolore.</w:t>
      </w:r>
    </w:p>
    <w:p>
      <w:pPr>
        <w:pStyle w:val="BodyText"/>
      </w:pPr>
      <w:r>
        <w:t xml:space="preserve">Circa</w:t>
      </w:r>
      <w:r>
        <w:t xml:space="preserve"> </w:t>
      </w:r>
      <w:r>
        <w:rPr>
          <w:b/>
          <w:bCs/>
        </w:rPr>
        <w:t xml:space="preserve">un paziente su due</w:t>
      </w:r>
      <w:r>
        <w:t xml:space="preserve"> </w:t>
      </w:r>
      <w:r>
        <w:t xml:space="preserve">ha un danno delle piccole fibre, somatico (49%) o autonomico (45%). È il substrato, e non è tuo da trattare (Galosi, 2022).</w:t>
      </w:r>
    </w:p>
    <w:p>
      <w:r>
        <w:pict>
          <v:rect style="width:0;height:1.5pt" o:hralign="center" o:hrstd="t" o:hr="t"/>
        </w:pict>
      </w:r>
    </w:p>
    <w:bookmarkEnd w:id="11"/>
    <w:bookmarkStart w:id="12" w:name="i-sottotipi-e-chi-comanda"/>
    <w:p>
      <w:pPr>
        <w:pStyle w:val="Heading2"/>
      </w:pPr>
      <w:r>
        <w:t xml:space="preserve">4 ·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Guidato dal sonno</w:t>
            </w:r>
          </w:p>
        </w:tc>
        <w:tc>
          <w:tcPr/>
          <w:p>
            <w:pPr>
              <w:pStyle w:val="Compact"/>
            </w:pPr>
            <w:r>
              <w:t xml:space="preserve">Peggio al risveglio</w:t>
            </w:r>
          </w:p>
        </w:tc>
        <w:tc>
          <w:tcPr/>
          <w:p>
            <w:pPr>
              <w:pStyle w:val="Compact"/>
            </w:pPr>
            <w:r>
              <w:t xml:space="preserve">Poco diretto, molto indiretto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Guidato dall’allerta</w:t>
            </w:r>
          </w:p>
        </w:tc>
        <w:tc>
          <w:tcPr/>
          <w:p>
            <w:pPr>
              <w:pStyle w:val="Compact"/>
            </w:pPr>
            <w:r>
              <w:t xml:space="preserve">Segue gli eventi di vita</w:t>
            </w:r>
          </w:p>
        </w:tc>
        <w:tc>
          <w:tcPr/>
          <w:p>
            <w:pPr>
              <w:pStyle w:val="Compact"/>
            </w:pPr>
            <w:r>
              <w:t xml:space="preserve">Abbastanza, e non sei l’unico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Guidato dal carico</w:t>
            </w:r>
          </w:p>
        </w:tc>
        <w:tc>
          <w:tcPr/>
          <w:p>
            <w:pPr>
              <w:pStyle w:val="Compact"/>
            </w:pPr>
            <w:r>
              <w:t xml:space="preserve">Paga a 24-48 ore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Guadagno di base alto</w:t>
            </w:r>
          </w:p>
        </w:tc>
        <w:tc>
          <w:tcPr/>
          <w:p>
            <w:pPr>
              <w:pStyle w:val="Compact"/>
            </w:pPr>
            <w:r>
              <w:t xml:space="preserve">Ipersensibile a rumori e luci</w:t>
            </w:r>
          </w:p>
        </w:tc>
        <w:tc>
          <w:tcPr/>
          <w:p>
            <w:pPr>
              <w:pStyle w:val="Compact"/>
            </w:pPr>
            <w:r>
              <w:t xml:space="preserve">Poco: la leva è educativa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generatore regionale</w:t>
            </w:r>
          </w:p>
        </w:tc>
        <w:tc>
          <w:tcPr/>
          <w:p>
            <w:pPr>
              <w:pStyle w:val="Compact"/>
            </w:pPr>
            <w:r>
              <w:t xml:space="preserve">Un distretto ha un reperto misurato</w:t>
            </w:r>
          </w:p>
        </w:tc>
        <w:tc>
          <w:tcPr/>
          <w:p>
            <w:pPr>
              <w:pStyle w:val="Compact"/>
            </w:pPr>
            <w:r>
              <w:t xml:space="preserve">Molto, su quella sede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Ipermobile</w:t>
            </w:r>
          </w:p>
        </w:tc>
        <w:tc>
          <w:tcPr/>
          <w:p>
            <w:pPr>
              <w:pStyle w:val="Compact"/>
            </w:pPr>
            <w:r>
              <w:t xml:space="preserve">Articolazioni che vanno oltre</w:t>
            </w:r>
          </w:p>
        </w:tc>
        <w:tc>
          <w:tcPr/>
          <w:p>
            <w:pPr>
              <w:pStyle w:val="Compact"/>
            </w:pPr>
            <w:r>
              <w:t xml:space="preserve">Molto da cambiare, poco con le mani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 è un sottotipo, è l’uscita del triage:</w:t>
      </w:r>
      <w:r>
        <w:t xml:space="preserve"> </w:t>
      </w:r>
      <w:r>
        <w:t xml:space="preserve">il quadro che non è fibromialgia. Bandiera rossa presente → invio.</w:t>
      </w:r>
    </w:p>
    <w:p>
      <w:pPr>
        <w:pStyle w:val="BodyText"/>
      </w:pPr>
      <w:r>
        <w:rPr>
          <w:b/>
          <w:bCs/>
        </w:rPr>
        <w:t xml:space="preserve">I pattern si sommano.</w:t>
      </w:r>
      <w:r>
        <w:t xml:space="preserve"> </w:t>
      </w:r>
      <w:r>
        <w:t xml:space="preserve">Con più piani accesi non scegli il più grande. Scegli quello su cui puoi vedere qualcosa muoversi entro la data di revisione. Sul più grande scrivi al curante.</w:t>
      </w:r>
    </w:p>
    <w:p>
      <w:pPr>
        <w:pStyle w:val="BodyText"/>
      </w:pPr>
      <w:r>
        <w:rPr>
          <w:b/>
          <w:bCs/>
        </w:rPr>
        <w:t xml:space="preserve">Nell’ipermobile la lettura si rovescia:</w:t>
      </w:r>
      <w:r>
        <w:t xml:space="preserve"> </w:t>
      </w:r>
      <w:r>
        <w:t xml:space="preserve">il distretto rigido è spesso l’unico che regge il carico, e si interroga prima di ridurlo. Il meccanismo che comanda è il ciclo acceleratore-freno, il bersaglio è il controllo del carico,</w:t>
      </w:r>
      <w:r>
        <w:t xml:space="preserve"> </w:t>
      </w:r>
      <w:r>
        <w:rPr>
          <w:b/>
          <w:bCs/>
        </w:rPr>
        <w:t xml:space="preserve">e non lo eroghi tu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il-ragionamento-clinico"/>
    <w:p>
      <w:pPr>
        <w:pStyle w:val="Heading2"/>
      </w:pPr>
      <w:r>
        <w:t xml:space="preserve">5 · Il ragionamento clinico</w:t>
      </w:r>
    </w:p>
    <w:p>
      <w:pPr>
        <w:pStyle w:val="FirstParagraph"/>
      </w:pPr>
      <w:r>
        <w:rPr>
          <w:b/>
          <w:bCs/>
        </w:rPr>
        <w:t xml:space="preserve">Passo 0, fuori conteggio, due domande.</w:t>
      </w:r>
      <w:r>
        <w:t xml:space="preserve"> </w:t>
      </w:r>
      <w:r>
        <w:rPr>
          <w:i/>
          <w:iCs/>
        </w:rPr>
        <w:t xml:space="preserve">«Oggi è una giornata come le altre?»</w:t>
      </w:r>
      <w:r>
        <w:t xml:space="preserve"> </w:t>
      </w:r>
      <w:r>
        <w:t xml:space="preserve">— in riacutizzazione il tetto crolla e la valutazione si rimanda. E</w:t>
      </w:r>
      <w:r>
        <w:t xml:space="preserve"> </w:t>
      </w:r>
      <w:r>
        <w:rPr>
          <w:i/>
          <w:iCs/>
        </w:rPr>
        <w:t xml:space="preserve">«quando ti sforzi, quanto passa prima che tu stia peggio, e quanto dura?»</w:t>
      </w:r>
    </w:p>
    <w:p>
      <w:pPr>
        <w:pStyle w:val="BodyText"/>
      </w:pPr>
      <w:r>
        <w:rPr>
          <w:b/>
          <w:bCs/>
        </w:rPr>
        <w:t xml:space="preserve">Ordine di interrogazione:</w:t>
      </w:r>
      <w:r>
        <w:t xml:space="preserve"> </w:t>
      </w:r>
      <w:r>
        <w:t xml:space="preserve">bandiere rosse → sonno contato → livello di attivazione → ritmo del carico → generatore regionale.</w:t>
      </w:r>
    </w:p>
    <w:p>
      <w:pPr>
        <w:pStyle w:val="BodyText"/>
      </w:pPr>
      <w:r>
        <w:rPr>
          <w:b/>
          <w:bCs/>
        </w:rPr>
        <w:t xml:space="preserve">La regola che lo rende utilizzabile:</w:t>
      </w:r>
      <w:r>
        <w:t xml:space="preserve"> </w:t>
      </w:r>
      <w:r>
        <w:t xml:space="preserve">il piano più alto che risulta disfunzionale comanda su quelli sotto. Il generatore regionale è bersaglio primario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se i tre piani sopra sono quieti.</w:t>
      </w:r>
    </w:p>
    <w:p>
      <w:pPr>
        <w:pStyle w:val="BodyText"/>
      </w:pPr>
      <w:r>
        <w:rPr>
          <w:b/>
          <w:bCs/>
        </w:rPr>
        <w:t xml:space="preserve">Interrogare e trattare seguono due ordini diversi.</w:t>
      </w:r>
      <w:r>
        <w:t xml:space="preserve"> </w:t>
      </w:r>
      <w:r>
        <w:t xml:space="preserve">Si interroga da monte. Si tratta dove puoi vedere qualcosa muoversi entro la data di revisione. E sul piano più alto si scrive al curante.</w:t>
      </w:r>
    </w:p>
    <w:p>
      <w:pPr>
        <w:pStyle w:val="BodyText"/>
      </w:pPr>
      <w:r>
        <w:rPr>
          <w:b/>
          <w:bCs/>
        </w:rPr>
        <w:t xml:space="preserve">Nel sonno, due domande che aprono canali non tuoi:</w:t>
      </w:r>
      <w:r>
        <w:t xml:space="preserve"> </w:t>
      </w:r>
      <w:r>
        <w:t xml:space="preserve">gambe senza riposo, e russare con pause di respiro. Non rispondono al trattamento dell’insonnia.</w:t>
      </w:r>
    </w:p>
    <w:p>
      <w:pPr>
        <w:pStyle w:val="BodyText"/>
      </w:pPr>
      <w:r>
        <w:rPr>
          <w:b/>
          <w:bCs/>
        </w:rPr>
        <w:t xml:space="preserve">Nell’attivazione, una domanda che va fatta:</w:t>
      </w:r>
      <w:r>
        <w:t xml:space="preserve"> </w:t>
      </w:r>
      <w:r>
        <w:rPr>
          <w:i/>
          <w:iCs/>
        </w:rPr>
        <w:t xml:space="preserve">«ti è mai capitato di pensare che non valga la pena andare avanti?»</w:t>
      </w:r>
      <w:r>
        <w:t xml:space="preserve"> </w:t>
      </w:r>
      <w:r>
        <w:t xml:space="preserve">Non si valuta e non si tratta: si porta alla riga della tabella.</w:t>
      </w:r>
    </w:p>
    <w:p>
      <w:pPr>
        <w:pStyle w:val="BodyText"/>
      </w:pPr>
      <w:r>
        <w:rPr>
          <w:b/>
          <w:bCs/>
        </w:rPr>
        <w:t xml:space="preserve">Il modificatore in anamnesi:</w:t>
      </w:r>
      <w:r>
        <w:t xml:space="preserve"> </w:t>
      </w:r>
      <w:r>
        <w:t xml:space="preserve">un trauma con una data. Distretto inerte e denso, escursione assente solo lì. Sposta la ricerca del generatore su quel distretto.</w:t>
      </w:r>
    </w:p>
    <w:p>
      <w:pPr>
        <w:pStyle w:val="BodyText"/>
      </w:pPr>
      <w:r>
        <w:rPr>
          <w:b/>
          <w:bCs/>
        </w:rPr>
        <w:t xml:space="preserve">La verifica ha due tempi:</w:t>
      </w:r>
      <w:r>
        <w:t xml:space="preserve"> </w:t>
      </w:r>
      <w:r>
        <w:t xml:space="preserve">il marker in stanza, e le quarantotto ore successive — annunciate prima, raccolte dopo.</w:t>
      </w:r>
    </w:p>
    <w:p>
      <w:pPr>
        <w:pStyle w:val="BodyText"/>
      </w:pPr>
      <w:r>
        <w:rPr>
          <w:b/>
          <w:bCs/>
        </w:rPr>
        <w:t xml:space="preserve">RAGIONAMENTO</w:t>
      </w:r>
      <w:r>
        <w:t xml:space="preserve"> </w:t>
      </w:r>
      <w:r>
        <w:rPr>
          <w:i/>
          <w:iCs/>
        </w:rPr>
        <w:t xml:space="preserve">(cornice clinica, non una prova)</w:t>
      </w:r>
    </w:p>
    <w:p>
      <w:r>
        <w:pict>
          <v:rect style="width:0;height:1.5pt" o:hralign="center" o:hrstd="t" o:hr="t"/>
        </w:pict>
      </w:r>
    </w:p>
    <w:bookmarkEnd w:id="13"/>
    <w:bookmarkStart w:id="14" w:name="X999d355fc1c68753584d362f0f02ef86806323c"/>
    <w:p>
      <w:pPr>
        <w:pStyle w:val="Heading2"/>
      </w:pPr>
      <w:r>
        <w:t xml:space="preserve">6 · I marker, con soglia e provenienza della soglia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Da dove viene la soglia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della sedia, 30 secondi</w:t>
            </w:r>
          </w:p>
        </w:tc>
        <w:tc>
          <w:tcPr/>
          <w:p>
            <w:pPr>
              <w:pStyle w:val="Compact"/>
            </w:pPr>
            <w:r>
              <w:t xml:space="preserve">3,5 alzate</w:t>
            </w:r>
          </w:p>
        </w:tc>
        <w:tc>
          <w:tcPr/>
          <w:p>
            <w:pPr>
              <w:pStyle w:val="Compact"/>
            </w:pPr>
            <w:r>
              <w:t xml:space="preserve">1,96 × deviazione standard delle differenze, su 100 donne con fibromialgia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Alzata e cammino, 8 piedi</w:t>
            </w:r>
          </w:p>
        </w:tc>
        <w:tc>
          <w:tcPr/>
          <w:p>
            <w:pPr>
              <w:pStyle w:val="Compact"/>
            </w:pPr>
            <w:r>
              <w:t xml:space="preserve">2,5 secondi</w:t>
            </w:r>
          </w:p>
        </w:tc>
        <w:tc>
          <w:tcPr/>
          <w:p>
            <w:pPr>
              <w:pStyle w:val="Compact"/>
            </w:pPr>
            <w:r>
              <w:t xml:space="preserve">Stessa fonte, stessa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Giorni di riacutizzazione dopo la seduta</w:t>
            </w:r>
          </w:p>
        </w:tc>
        <w:tc>
          <w:tcPr/>
          <w:p>
            <w:pPr>
              <w:pStyle w:val="Compact"/>
            </w:pPr>
            <w:r>
              <w:t xml:space="preserve">oltre 1 giorno cambia la dose</w:t>
            </w:r>
          </w:p>
        </w:tc>
        <w:tc>
          <w:tcPr/>
          <w:p>
            <w:pPr>
              <w:pStyle w:val="Compact"/>
            </w:pPr>
            <w:r>
              <w:t xml:space="preserve">Marker di sicurezza: il rimbalzo tardivo è documentato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Algometro su sito remoto</w:t>
            </w:r>
          </w:p>
        </w:tc>
        <w:tc>
          <w:tcPr/>
          <w:p>
            <w:pPr>
              <w:pStyle w:val="Compact"/>
            </w:pPr>
            <w:r>
              <w:t xml:space="preserve">1 kg/cm²</w:t>
            </w:r>
          </w:p>
        </w:tc>
        <w:tc>
          <w:tcPr/>
          <w:p>
            <w:pPr>
              <w:pStyle w:val="Compact"/>
            </w:pPr>
            <w:r>
              <w:t xml:space="preserve">Errore dello strumento raddoppiato, non da studio su questi pazienti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conteggio dei giorni si legge contro un fondo alto.</w:t>
      </w:r>
      <w:r>
        <w:t xml:space="preserve"> </w:t>
      </w:r>
      <w:r>
        <w:t xml:space="preserve">Con un trattamento</w:t>
      </w:r>
      <w:r>
        <w:t xml:space="preserve"> </w:t>
      </w:r>
      <w:r>
        <w:rPr>
          <w:b/>
          <w:bCs/>
        </w:rPr>
        <w:t xml:space="preserve">inerte</w:t>
      </w:r>
      <w:r>
        <w:t xml:space="preserve">, in questi pazienti, due terzi riferiscono un evento avverso e uno su dieci interrompe (Mitsikostas, 2012). Serve a</w:t>
      </w:r>
      <w:r>
        <w:t xml:space="preserve"> </w:t>
      </w:r>
      <w:r>
        <w:rPr>
          <w:b/>
          <w:bCs/>
        </w:rPr>
        <w:t xml:space="preserve">dosare</w:t>
      </w:r>
      <w:r>
        <w:t xml:space="preserve">, non a stabilire che sei stato tu. E i cinque segnali che lo rompono restano invariati.</w:t>
      </w:r>
    </w:p>
    <w:p>
      <w:pPr>
        <w:pStyle w:val="BodyText"/>
      </w:pPr>
      <w:r>
        <w:rPr>
          <w:b/>
          <w:bCs/>
        </w:rPr>
        <w:t xml:space="preserve">La coppia che decide</w:t>
      </w:r>
      <w:r>
        <w:t xml:space="preserve"> </w:t>
      </w:r>
      <w:r>
        <w:t xml:space="preserve">è il test funzionale più il conteggio dei giorni.</w:t>
      </w:r>
    </w:p>
    <w:p>
      <w:pPr>
        <w:pStyle w:val="BodyText"/>
      </w:pPr>
      <w:r>
        <w:rPr>
          <w:b/>
          <w:bCs/>
        </w:rPr>
        <w:t xml:space="preserve">Se entro la data dichiarata il marker non si muove</w:t>
      </w:r>
      <w:r>
        <w:t xml:space="preserve">, l’ipotesi era sbagliata: si cambia bersaglio dichiarandolo, con un nuovo marker e una nuova data.</w:t>
      </w:r>
    </w:p>
    <w:p>
      <w:pPr>
        <w:pStyle w:val="BodyText"/>
      </w:pPr>
      <w:r>
        <w:rPr>
          <w:b/>
          <w:bCs/>
        </w:rPr>
        <w:t xml:space="preserve">L’algometro non discrimina</w:t>
      </w:r>
      <w:r>
        <w:t xml:space="preserve"> </w:t>
      </w:r>
      <w:r>
        <w:t xml:space="preserve">fra effetto sul generatore e ipoalgesia da contatto. Va riletto subito dopo il gesto e a fine seduta: un rialzo che sopravvive alla seduta successiva non è quel meccanismo.</w:t>
      </w:r>
    </w:p>
    <w:p>
      <w:pPr>
        <w:pStyle w:val="BodyText"/>
      </w:pPr>
      <w:r>
        <w:t xml:space="preserve">La dolorabilità palpata e la conta dei punti dolorosi non sono marker, e non fondano il mandato.</w:t>
      </w:r>
    </w:p>
    <w:p>
      <w:pPr>
        <w:pStyle w:val="BodyText"/>
      </w:pPr>
      <w:r>
        <w:t xml:space="preserve">Il questionario di impatto è una</w:t>
      </w:r>
      <w:r>
        <w:t xml:space="preserve"> </w:t>
      </w:r>
      <w:r>
        <w:rPr>
          <w:b/>
          <w:bCs/>
        </w:rPr>
        <w:t xml:space="preserve">misura di esito</w:t>
      </w:r>
      <w:r>
        <w:t xml:space="preserve">, non un marker. La soglia è una variazione del</w:t>
      </w:r>
      <w:r>
        <w:t xml:space="preserve"> </w:t>
      </w:r>
      <w:r>
        <w:rPr>
          <w:b/>
          <w:bCs/>
        </w:rPr>
        <w:t xml:space="preserve">14% del punteggio del paziente</w:t>
      </w:r>
      <w:r>
        <w:t xml:space="preserve">, cioè circa</w:t>
      </w:r>
      <w:r>
        <w:t xml:space="preserve"> </w:t>
      </w:r>
      <w:r>
        <w:rPr>
          <w:b/>
          <w:bCs/>
        </w:rPr>
        <w:t xml:space="preserve">otto-nove punti</w:t>
      </w:r>
      <w:r>
        <w:t xml:space="preserve"> </w:t>
      </w:r>
      <w:r>
        <w:t xml:space="preserve">su un basale di sessanta. È derivata sul FIQ e applicata al FIQR, ed è una soglia dentro il paziente e non fra gruppi.</w:t>
      </w:r>
    </w:p>
    <w:p>
      <w:r>
        <w:pict>
          <v:rect style="width:0;height:1.5pt" o:hralign="center" o:hrstd="t" o:hr="t"/>
        </w:pict>
      </w:r>
    </w:p>
    <w:bookmarkEnd w:id="14"/>
    <w:bookmarkStart w:id="15" w:name="le-bandiere-rosse"/>
    <w:p>
      <w:pPr>
        <w:pStyle w:val="Heading2"/>
      </w:pPr>
      <w:r>
        <w:t xml:space="preserve">7 · Le bandiere rosse</w:t>
      </w:r>
    </w:p>
    <w:p>
      <w:pPr>
        <w:pStyle w:val="FirstParagraph"/>
      </w:pPr>
      <w:r>
        <w:rPr>
          <w:b/>
          <w:bCs/>
        </w:rPr>
        <w:t xml:space="preserve">112 o pronto soccorso — la seduta finisce qui, nessuna mano addosso</w:t>
      </w:r>
      <w:r>
        <w:t xml:space="preserve"> </w:t>
      </w:r>
      <w:r>
        <w:t xml:space="preserve">- Cefalea temporale nuova, dolore alla masticazione o disturbo visivo sopra i 50 anni → sospetta arterite a cellule giganti</w:t>
      </w:r>
      <w:r>
        <w:t xml:space="preserve"> </w:t>
      </w:r>
      <w:r>
        <w:t xml:space="preserve">- Deficit sensitivo con livello, disturbi sfinterici, deficit motorio focale</w:t>
      </w:r>
      <w:r>
        <w:t xml:space="preserve"> </w:t>
      </w:r>
      <w:r>
        <w:t xml:space="preserve">- Ideazione suicidaria con intento, piano o mezzi → chiami tu, davanti a lui, oggi</w:t>
      </w:r>
    </w:p>
    <w:p>
      <w:pPr>
        <w:pStyle w:val="BodyText"/>
      </w:pPr>
      <w:r>
        <w:rPr>
          <w:b/>
          <w:bCs/>
        </w:rPr>
        <w:t xml:space="preserve">Urgente</w:t>
      </w:r>
      <w:r>
        <w:t xml:space="preserve"> </w:t>
      </w:r>
      <w:r>
        <w:t xml:space="preserve">- Dolore muscolare dopo l’inizio di una statina (pronto soccorso se urine scure)</w:t>
      </w:r>
      <w:r>
        <w:t xml:space="preserve"> </w:t>
      </w:r>
      <w:r>
        <w:t xml:space="preserve">- Debolezza prossimale vera e progressiva → curante per CPK, poi reumatologo</w:t>
      </w:r>
      <w:r>
        <w:t xml:space="preserve"> </w:t>
      </w:r>
      <w:r>
        <w:t xml:space="preserve">- Febbre, sudorazioni notturne, calo di peso; dolore notturno con storia oncologica</w:t>
      </w:r>
      <w:r>
        <w:t xml:space="preserve"> </w:t>
      </w:r>
      <w:r>
        <w:t xml:space="preserve">- Dolore diffuso nuovo dopo i 50 anni con i cingoli coinvolti → sospetta polimialgia</w:t>
      </w:r>
    </w:p>
    <w:p>
      <w:pPr>
        <w:pStyle w:val="BodyText"/>
      </w:pPr>
      <w:r>
        <w:rPr>
          <w:b/>
          <w:bCs/>
        </w:rPr>
        <w:t xml:space="preserve">Invio, non attendere</w:t>
      </w:r>
      <w:r>
        <w:t xml:space="preserve"> </w:t>
      </w:r>
      <w:r>
        <w:t xml:space="preserve">- Articolazioni gonfie o calde, rigidità oltre l’ora, indici infiammatori alterati; secchezza oculare e orale, Raynaud, fotosensibilità, rash, ulcere orali → reumatologo</w:t>
      </w:r>
      <w:r>
        <w:t xml:space="preserve"> </w:t>
      </w:r>
      <w:r>
        <w:t xml:space="preserve">- Dolore osseo con dolorabilità su sterno e tibia e andatura anserina; ipotiroidismo mai ricontrollato → curante</w:t>
      </w:r>
      <w:r>
        <w:t xml:space="preserve"> </w:t>
      </w:r>
      <w:r>
        <w:t xml:space="preserve">- Dolore diffuso comparso entro sei mesi dall’inizio di un inibitore dell’aromatasi → oncologo</w:t>
      </w:r>
      <w:r>
        <w:t xml:space="preserve"> </w:t>
      </w:r>
      <w:r>
        <w:t xml:space="preserve">- Pensiero di morte passivo, senza intento né piano → curante con nota scritta, e salute mentale</w:t>
      </w:r>
    </w:p>
    <w:p>
      <w:pPr>
        <w:pStyle w:val="BodyText"/>
      </w:pPr>
      <w:r>
        <w:rPr>
          <w:b/>
          <w:bCs/>
        </w:rPr>
        <w:t xml:space="preserve">Regime d’uso: rete, non filtro.</w:t>
      </w:r>
      <w:r>
        <w:t xml:space="preserve"> </w:t>
      </w:r>
      <w:r>
        <w:t xml:space="preserve">Una riga presente ti fa fermare; tutte assenti non escludono niente. In cartella scrivi di averla passata in rassegna. Finché una bandiera è aperta si rinvia anche il carico progressivo.</w:t>
      </w:r>
    </w:p>
    <w:p>
      <w:r>
        <w:pict>
          <v:rect style="width:0;height:1.5pt" o:hralign="center" o:hrstd="t" o:hr="t"/>
        </w:pict>
      </w:r>
    </w:p>
    <w:bookmarkEnd w:id="15"/>
    <w:bookmarkStart w:id="16" w:name="cosa-fa-il-paziente-da-solo"/>
    <w:p>
      <w:pPr>
        <w:pStyle w:val="Heading2"/>
      </w:pPr>
      <w:r>
        <w:t xml:space="preserve">8 · Cosa fa il paziente da solo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Cosa hanno misurato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Esercizio aerobico o in acqua</w:t>
            </w:r>
          </w:p>
        </w:tc>
        <w:tc>
          <w:tcPr/>
          <w:p>
            <w:pPr>
              <w:pStyle w:val="Compact"/>
            </w:pPr>
            <w:r>
              <w:t xml:space="preserve">dolore: 11 punti su 100 in meno · qualità di vita: 8 punti in più</w:t>
            </w:r>
          </w:p>
        </w:tc>
        <w:tc>
          <w:tcPr/>
          <w:p>
            <w:pPr>
              <w:pStyle w:val="Compact"/>
            </w:pPr>
            <w:r>
              <w:t xml:space="preserve">DIMOSTRATO / 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Rinforzo a intensità moderata-alta</w:t>
            </w:r>
          </w:p>
        </w:tc>
        <w:tc>
          <w:tcPr/>
          <w:p>
            <w:pPr>
              <w:pStyle w:val="Compact"/>
            </w:pPr>
            <w:r>
              <w:t xml:space="preserve">impatto: 16,75 punti in meno · nessun evento avverso grave</w:t>
            </w:r>
          </w:p>
        </w:tc>
        <w:tc>
          <w:tcPr/>
          <w:p>
            <w:pPr>
              <w:pStyle w:val="Compact"/>
            </w:pPr>
            <w:r>
              <w:t xml:space="preserve">PROBABILE (prove di bassa qualità)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 chi contro aerobico</w:t>
            </w:r>
          </w:p>
        </w:tc>
        <w:tc>
          <w:tcPr/>
          <w:p>
            <w:pPr>
              <w:pStyle w:val="Compact"/>
            </w:pPr>
            <w:r>
              <w:t xml:space="preserve">5,5 punti di vantaggio nel confronto principale</w:t>
            </w:r>
          </w:p>
        </w:tc>
        <w:tc>
          <w:tcPr/>
          <w:p>
            <w:pPr>
              <w:pStyle w:val="Compact"/>
            </w:pPr>
            <w:r>
              <w:t xml:space="preserve">PROBABILE — un solo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Dosare l’attività</w:t>
            </w:r>
          </w:p>
        </w:tc>
        <w:tc>
          <w:tcPr/>
          <w:p>
            <w:pPr>
              <w:pStyle w:val="Compact"/>
            </w:pPr>
            <w:r>
              <w:t xml:space="preserve">niente su dolore e stanchezza · meglio sonno e funzione</w:t>
            </w:r>
          </w:p>
        </w:tc>
        <w:tc>
          <w:tcPr/>
          <w:p>
            <w:pPr>
              <w:pStyle w:val="Compact"/>
            </w:pPr>
            <w:r>
              <w:t xml:space="preserve">RAGIONAMENTO / 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Trattamento cognitivo-comportamentale dell’insonnia</w:t>
            </w:r>
          </w:p>
        </w:tc>
        <w:tc>
          <w:tcPr/>
          <w:p>
            <w:pPr>
              <w:pStyle w:val="Compact"/>
            </w:pPr>
            <w:r>
              <w:t xml:space="preserve">veglia notturna ridotta di quasi metà contro un quinto</w:t>
            </w:r>
          </w:p>
        </w:tc>
        <w:tc>
          <w:tcPr/>
          <w:p>
            <w:pPr>
              <w:pStyle w:val="Compact"/>
            </w:pPr>
            <w:r>
              <w:t xml:space="preserve">PROBABILE — lo eroga un’altra professione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Educazione su come funziona il dolore</w:t>
            </w:r>
          </w:p>
        </w:tc>
        <w:tc>
          <w:tcPr/>
          <w:p>
            <w:pPr>
              <w:pStyle w:val="Compact"/>
            </w:pPr>
            <w:r>
              <w:t xml:space="preserve">dolore: 0,5 punti su 10 in meno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t xml:space="preserve">Che l’esercizio agisca</w:t>
      </w:r>
      <w:r>
        <w:t xml:space="preserve"> </w:t>
      </w:r>
      <w:r>
        <w:rPr>
          <w:b/>
          <w:bCs/>
        </w:rPr>
        <w:t xml:space="preserve">alzando la soglia per via discendente</w:t>
      </w:r>
      <w:r>
        <w:t xml:space="preserve"> </w:t>
      </w:r>
      <w:r>
        <w:t xml:space="preserve">non è dimostrato nei pazienti con dolore cronico (Wewege e Jones, 2021): smentito il meccanismo, non l’esito.</w:t>
      </w:r>
    </w:p>
    <w:p>
      <w:pPr>
        <w:pStyle w:val="BodyText"/>
      </w:pPr>
      <w:r>
        <w:t xml:space="preserve">Il guadagno appartiene alla ripetizione, non alla singola volta. Che chi smette torni al punto di partenza</w:t>
      </w:r>
      <w:r>
        <w:t xml:space="preserve"> </w:t>
      </w:r>
      <w:r>
        <w:rPr>
          <w:b/>
          <w:bCs/>
        </w:rPr>
        <w:t xml:space="preserve">non è stato misurato</w:t>
      </w:r>
      <w:r>
        <w:t xml:space="preserve">: è un’attesa clinica.</w:t>
      </w:r>
    </w:p>
    <w:p>
      <w:pPr>
        <w:pStyle w:val="BodyText"/>
      </w:pPr>
      <w:r>
        <w:t xml:space="preserve">Negli studi si ritira circa un paziente su cinque, e</w:t>
      </w:r>
      <w:r>
        <w:t xml:space="preserve"> </w:t>
      </w:r>
      <w:r>
        <w:rPr>
          <w:b/>
          <w:bCs/>
        </w:rPr>
        <w:t xml:space="preserve">non più che nei controlli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la-frase-per-il-paziente"/>
    <w:p>
      <w:pPr>
        <w:pStyle w:val="Heading2"/>
      </w:pPr>
      <w:r>
        <w:t xml:space="preserve">9 · La frase per il paziente</w:t>
      </w:r>
    </w:p>
    <w:p>
      <w:pPr>
        <w:pStyle w:val="FirstParagraph"/>
      </w:pPr>
      <w:r>
        <w:rPr>
          <w:i/>
          <w:iCs/>
        </w:rPr>
        <w:t xml:space="preserve">«Il suo dolore è vero e lo hanno misurato: io non curo la fibromialgia e non abbasso quel volume, tratto le zone che trovo io per togliere qualche ingresso da lì dentro — e prima di iniziare scegliamo insieme una cosa da misurare.»</w:t>
      </w:r>
    </w:p>
    <w:p>
      <w:pPr>
        <w:pStyle w:val="BodyText"/>
      </w:pPr>
      <w:r>
        <w:rPr>
          <w:b/>
          <w:bCs/>
        </w:rPr>
        <w:t xml:space="preserve">La riga che viene prima di questa frase:</w:t>
      </w:r>
      <w:r>
        <w:t xml:space="preserve"> </w:t>
      </w:r>
      <w:r>
        <w:t xml:space="preserve">lo studio negativo si dice all’inizio, non alla fine. Lo script per esteso è nel Capitolo 13.</w:t>
      </w:r>
    </w:p>
    <w:p>
      <w:r>
        <w:pict>
          <v:rect style="width:0;height:1.5pt" o:hralign="center" o:hrstd="t" o:hr="t"/>
        </w:pict>
      </w:r>
    </w:p>
    <w:bookmarkEnd w:id="17"/>
    <w:bookmarkStart w:id="18" w:name="perché-ci-sei-tu"/>
    <w:p>
      <w:pPr>
        <w:pStyle w:val="Heading2"/>
      </w:pPr>
      <w:r>
        <w:t xml:space="preserve">Perché ci sei tu</w:t>
      </w:r>
    </w:p>
    <w:p>
      <w:pPr>
        <w:pStyle w:val="FirstParagraph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Le linee guida europee sono state costruite valutando 107 revisioni sistematiche, e l’esercizio è</w:t>
      </w:r>
      <w:r>
        <w:t xml:space="preserve"> </w:t>
      </w:r>
      <w:r>
        <w:rPr>
          <w:b/>
          <w:bCs/>
        </w:rPr>
        <w:t xml:space="preserve">l’unica raccomandazione forte</w:t>
      </w:r>
      <w:r>
        <w:t xml:space="preserve">: tutto il resto, farmaci compresi, è «debolmente a favore». E sul trattamento osteopatico l’unico studio randomizzato con finto trattamento, su 101 pazienti, non trova differenza. Questo ti autorizza a essere la persona che mette il movimento graduato al centro, che separa il generatore regionale dal quadro diffuso, e che misura invece di promettere. Non ti autorizza a presentare la tua seduta come una terapia della fibromialgia.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BlockText"/>
      </w:pPr>
      <w:r>
        <w:rPr>
          <w:b/>
          <w:bCs/>
        </w:rPr>
        <w:t xml:space="preserve">Deviazioni dichiarate su questa Mappa:</w:t>
      </w:r>
      <w:r>
        <w:t xml:space="preserve"> </w:t>
      </w:r>
      <w:r>
        <w:t xml:space="preserve">blocchi aggiunti oltre i sei fissi — il ragionamento clinico (D-018), i marker con provenienza della soglia (D-107) e cosa fa il paziente da solo (D-011, Capitolo 12 attivo).</w:t>
      </w:r>
    </w:p>
    <w:p>
      <w:pPr>
        <w:pStyle w:val="BlockText"/>
      </w:pPr>
      <w:r>
        <w:rPr>
          <w:b/>
          <w:bCs/>
        </w:rPr>
        <w:t xml:space="preserve">La regola del ponte, che vale su tutta la Bibbia:</w:t>
      </w:r>
      <w:r>
        <w:t xml:space="preserve"> </w:t>
      </w:r>
      <w:r>
        <w:t xml:space="preserve">una fonte misurata su un’altra popolazione alza l’etichetta del</w:t>
      </w:r>
      <w:r>
        <w:t xml:space="preserve"> </w:t>
      </w:r>
      <w:r>
        <w:rPr>
          <w:b/>
          <w:bCs/>
        </w:rPr>
        <w:t xml:space="preserve">meccanismo</w:t>
      </w:r>
      <w:r>
        <w:t xml:space="preserve">, mai quella della</w:t>
      </w:r>
      <w:r>
        <w:t xml:space="preserve"> </w:t>
      </w:r>
      <w:r>
        <w:rPr>
          <w:b/>
          <w:bCs/>
        </w:rPr>
        <w:t xml:space="preserve">leva</w:t>
      </w:r>
      <w:r>
        <w:t xml:space="preserve"> </w:t>
      </w:r>
      <w:r>
        <w:t xml:space="preserve">su questa condizione, e porta sempre con sé la frase che dichiara il salto.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2026-09-02T13:27:37Z</dcterms:created>
  <dcterms:modified xsi:type="dcterms:W3CDTF">2026-09-02T13:27:37Z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