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Problemi Digestivi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2" w:name="la-bibbia-dei-problemi-digestivi"/>
    <w:p>
      <w:pPr>
        <w:pStyle w:val="Heading1"/>
      </w:pPr>
      <w:r>
        <w:t xml:space="preserve">La Bibbia dei Problemi Digestivi</w:t>
      </w:r>
    </w:p>
    <w:p>
      <w:pPr>
        <w:pStyle w:val="FirstParagraph"/>
      </w:pPr>
      <w:r>
        <w:rPr>
          <w:b/>
          <w:bCs/>
        </w:rPr>
        <w:t xml:space="preserve">Condizione:</w:t>
      </w:r>
      <w:r>
        <w:t xml:space="preserve"> </w:t>
      </w:r>
      <w:r>
        <w:t xml:space="preserve">problemi digestivi funzionali — dispepsia funzionale (pesantezza, sazietà precoce, nausea, dolore e bruciore epigastrico), gonfiore e distensione addominale, con la sovrapposizione intestinale che li accompagna quasi sempre</w:t>
      </w:r>
      <w:r>
        <w:t xml:space="preserve"> </w:t>
      </w:r>
      <w:r>
        <w:rPr>
          <w:b/>
          <w:bCs/>
        </w:rPr>
        <w:t xml:space="preserve">Ancora clinica:</w:t>
      </w:r>
      <w:r>
        <w:t xml:space="preserve"> </w:t>
      </w:r>
      <w:r>
        <w:t xml:space="preserve">Jan Tack, Translational Research Center for Gastrointestinal Disorders (TARGID), KU Leuven — chi ha misurato col barostato cosa fa lo stomaco quando arriva il pasto, e ha separato in sottotipi un sintomo che sembrava uno solo</w:t>
      </w:r>
      <w:r>
        <w:t xml:space="preserve"> </w:t>
      </w:r>
      <w:r>
        <w:rPr>
          <w:b/>
          <w:bCs/>
        </w:rPr>
        <w:t xml:space="preserve">Ancora fisiologica e meccanica:</w:t>
      </w:r>
      <w:r>
        <w:t xml:space="preserve"> </w:t>
      </w:r>
      <w:r>
        <w:t xml:space="preserve">Fernando Azpiroz, Digestive System Research Unit, Hospital Universitari Vall d’Hebron, Barcellona — chi ha dimostrato che la pancia che si gonfia è un comportamento di muscoli scheletrici, e che quel comportamento si può correggere</w:t>
      </w:r>
      <w:r>
        <w:t xml:space="preserve"> </w:t>
      </w:r>
      <w:r>
        <w:rPr>
          <w:b/>
          <w:bCs/>
        </w:rPr>
        <w:t xml:space="preserve">Versione:</w:t>
      </w:r>
      <w:r>
        <w:t xml:space="preserve"> </w:t>
      </w:r>
      <w:r>
        <w:t xml:space="preserve">v7 finale ·</w:t>
      </w:r>
      <w:r>
        <w:t xml:space="preserve"> </w:t>
      </w:r>
      <w:r>
        <w:rPr>
          <w:b/>
          <w:bCs/>
        </w:rPr>
        <w:t xml:space="preserve">Data:</w:t>
      </w:r>
      <w:r>
        <w:t xml:space="preserve"> </w:t>
      </w:r>
      <w:r>
        <w:t xml:space="preserve">27 agosto 2026</w:t>
      </w:r>
      <w:r>
        <w:t xml:space="preserve"> </w:t>
      </w:r>
      <w:r>
        <w:rPr>
          <w:b/>
          <w:bCs/>
        </w:rPr>
        <w:t xml:space="preserve">Nota di lunghezza:</w:t>
      </w:r>
      <w:r>
        <w:t xml:space="preserve"> </w:t>
      </w:r>
      <w:r>
        <w:t xml:space="preserve">il documento supera il tetto di 13.000 parole. La ragione principale è di struttura: i cinque meccanismi vengono attraversati in cinque capitoli diversi — fisiopatologia, sottotipi, modelli, leve, strumenti — e togliere uno dei cinque passaggi smonterebbe l’architettura. Il resto è ampiezza dichiarata: etichette spezzate, triage a due strati, marker con la provenienza della soglia, una frase-ponte su ogni salto (registro delle deviazioni, D-019).</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sui disturbi digestivi funzionali per decidere cosa fare in stanza; il come si fa sta nella Procedura.</w:t>
      </w:r>
    </w:p>
    <w:p>
      <w:pPr>
        <w:pStyle w:val="FirstParagraph"/>
      </w:pPr>
      <w:r>
        <w:rPr>
          <w:b/>
          <w:bCs/>
        </w:rPr>
        <w:t xml:space="preserve">A chi parla.</w:t>
      </w:r>
      <w:r>
        <w:t xml:space="preserve"> </w:t>
      </w:r>
      <w:r>
        <w:t xml:space="preserve">All’osteopata del team. Do per scontata l’anatomia dell’addome e del torace: qui trovi cosa fa ciascuna struttura</w:t>
      </w:r>
      <w:r>
        <w:t xml:space="preserve"> </w:t>
      </w:r>
      <w:r>
        <w:rPr>
          <w:i/>
          <w:iCs/>
        </w:rPr>
        <w:t xml:space="preserve">in questa condizione</w:t>
      </w:r>
      <w:r>
        <w:t xml:space="preserve">.</w:t>
      </w:r>
    </w:p>
    <w:p>
      <w:pPr>
        <w:pStyle w:val="BodyText"/>
      </w:pPr>
      <w:r>
        <w:rPr>
          <w:b/>
          <w:bCs/>
        </w:rPr>
        <w:t xml:space="preserve">Cosa c’è qui.</w:t>
      </w:r>
      <w:r>
        <w:t xml:space="preserve"> </w:t>
      </w:r>
      <w:r>
        <w:t xml:space="preserve">Che cos’è la dispepsia funzionale. Perché una pancia si gonfia senza che sia entrato niente. Quali meccanismi tengono acceso il quadro, e come si riconoscono i sottotipi. Dove finisce il nostro campo, e quanto sono solide le leve.</w:t>
      </w:r>
    </w:p>
    <w:p>
      <w:pPr>
        <w:pStyle w:val="BodyText"/>
      </w:pPr>
      <w:r>
        <w:rPr>
          <w:b/>
          <w:bCs/>
        </w:rPr>
        <w:t xml:space="preserve">Cosa non c’è.</w:t>
      </w:r>
      <w:r>
        <w:t xml:space="preserve"> </w:t>
      </w:r>
      <w:r>
        <w:t xml:space="preserve">Tecniche, dosi, sequenza e piano delle sedute. Tutto questo sta nella Procedura.</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Le trovi qui perché le incontrerai trenta volte.</w:t>
      </w:r>
    </w:p>
    <w:p>
      <w:pPr>
        <w:pStyle w:val="Compact"/>
        <w:numPr>
          <w:ilvl w:val="0"/>
          <w:numId w:val="1001"/>
        </w:numPr>
      </w:pPr>
      <w:r>
        <w:rPr>
          <w:b/>
          <w:bCs/>
        </w:rPr>
        <w:t xml:space="preserve">L’etichetta non si declina.</w:t>
      </w:r>
      <w:r>
        <w:t xml:space="preserve"> </w:t>
      </w:r>
      <w:r>
        <w:t xml:space="preserve">Non esistono un «probabile debole» e un «probabile forte». Quando qualcuno ha misurato una cosa e non l’ha trovata, l’etichetta resta quella che è, e</w:t>
      </w:r>
      <w:r>
        <w:t xml:space="preserve"> </w:t>
      </w:r>
      <w:r>
        <w:rPr>
          <w:b/>
          <w:bCs/>
        </w:rPr>
        <w:t xml:space="preserve">la prova contraria si scrive nella frase</w:t>
      </w:r>
      <w:r>
        <w:t xml:space="preserve">, nominata e citata. Vale anche al rovescio: un risultato positivo dentro una fonte citata per il suo risultato negativo si scrive lo stesso.</w:t>
      </w:r>
    </w:p>
    <w:p>
      <w:pPr>
        <w:pStyle w:val="Compact"/>
        <w:numPr>
          <w:ilvl w:val="0"/>
          <w:numId w:val="1001"/>
        </w:numPr>
      </w:pPr>
      <w:r>
        <w:rPr>
          <w:b/>
          <w:bCs/>
        </w:rPr>
        <w:t xml:space="preserve">L’etichetta si spezza</w:t>
      </w:r>
      <w:r>
        <w:t xml:space="preserve"> </w:t>
      </w:r>
      <w:r>
        <w:t xml:space="preserve">quando un meccanismo è fatto di pezzi con forza diversa. Su questa condizione succede</w:t>
      </w:r>
      <w:r>
        <w:t xml:space="preserve"> </w:t>
      </w:r>
      <w:r>
        <w:rPr>
          <w:b/>
          <w:bCs/>
        </w:rPr>
        <w:t xml:space="preserve">tre volte su cinque</w:t>
      </w:r>
      <w:r>
        <w:t xml:space="preserve">, e sempre per la stessa ragione: il fenomeno è misurato bene nell’uomo, l’effetto della mano su quel fenomeno non è misurato affatto. Un’etichetta per pezzo, dentro lo stesso box, ciascuna con la sua glossa.</w:t>
      </w:r>
    </w:p>
    <w:p>
      <w:pPr>
        <w:pStyle w:val="Compact"/>
        <w:numPr>
          <w:ilvl w:val="0"/>
          <w:numId w:val="1001"/>
        </w:numPr>
      </w:pPr>
      <w:r>
        <w:rPr>
          <w:b/>
          <w:bCs/>
        </w:rPr>
        <w:t xml:space="preserve">DIMOSTRATO comprende anche le coorti ampie con relazione dose-risposta e la misura sperimentale diretta nell’uomo</w:t>
      </w:r>
      <w:r>
        <w:t xml:space="preserve">, non solo gli studi randomizzati. Quando è così, la frase lo dice.</w:t>
      </w:r>
    </w:p>
    <w:p>
      <w:pPr>
        <w:pStyle w:val="FirstParagraph"/>
      </w:pPr>
      <w:r>
        <w:t xml:space="preserve">Le parole del metodo — marker, reperto disfunzionale, disfunzione somatica, compenso, catena, sistema dominante — hanno una definizione fissa. Si riporta e non si riformula. Ogni definizione compare per esteso nel punto in cui quella parola regge una regola di condotta, e tutte stanno nel Glossario. Su questa condizione</w:t>
      </w:r>
      <w:r>
        <w:t xml:space="preserve"> </w:t>
      </w:r>
      <w:r>
        <w:rPr>
          <w:b/>
          <w:bCs/>
        </w:rPr>
        <w:t xml:space="preserve">lesione primaria</w:t>
      </w:r>
      <w:r>
        <w:t xml:space="preserve"> </w:t>
      </w:r>
      <w:r>
        <w:t xml:space="preserve">non compare: nessuno dei cinque meccanismi è ricostruibile come innesco degli altri, e una parola che non serve non entra.</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Quattro passi, in quest’ordine.</w:t>
      </w:r>
    </w:p>
    <w:p>
      <w:pPr>
        <w:pStyle w:val="Compact"/>
        <w:numPr>
          <w:ilvl w:val="0"/>
          <w:numId w:val="1002"/>
        </w:numPr>
      </w:pPr>
      <w:r>
        <w:rPr>
          <w:b/>
          <w:bCs/>
        </w:rPr>
        <w:t xml:space="preserve">Prima lettura di fila e senza appunti. Poi una seconda passata con un paziente vero in testa.</w:t>
      </w:r>
      <w:r>
        <w:t xml:space="preserve"> </w:t>
      </w:r>
      <w:r>
        <w:t xml:space="preserve">Nella seconda rileggi solo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meccanismi e da cosa si riconosce ciascuno. Quello che non sai dire, non l’hai imparato.</w:t>
      </w:r>
    </w:p>
    <w:p>
      <w:pPr>
        <w:pStyle w:val="Compact"/>
        <w:numPr>
          <w:ilvl w:val="0"/>
          <w:numId w:val="1002"/>
        </w:numPr>
      </w:pPr>
      <w:r>
        <w:rPr>
          <w:b/>
          <w:bCs/>
        </w:rPr>
        <w:t xml:space="preserve">Poi solo la Mappa, due minuti prima del paziente, e di nuovo a sei mesi.</w:t>
      </w:r>
      <w:r>
        <w:t xml:space="preserve"> </w:t>
      </w:r>
      <w:r>
        <w:t xml:space="preserve">Serve a rientrare nel documento, non a impararlo. Se a sei mesi un blocco non ti riaccende il capitolo, quello è il capitolo da rileggere.</w:t>
      </w:r>
    </w:p>
    <w:p>
      <w:pPr>
        <w:pStyle w:val="Compact"/>
        <w:numPr>
          <w:ilvl w:val="0"/>
          <w:numId w:val="1002"/>
        </w:numPr>
      </w:pPr>
      <w:r>
        <w:rPr>
          <w:b/>
          <w:bCs/>
        </w:rPr>
        <w:t xml:space="preserve">Dopo i primi tre pazienti, rileggi «Dove finisce il nostro campo» e «Cosa dice la scienza».</w:t>
      </w:r>
      <w:r>
        <w:t xml:space="preserve"> </w:t>
      </w:r>
      <w:r>
        <w:t xml:space="preserve">Sono i due capitoli che dicono una cosa diversa quando hai avuto tre pance davanti. Il primo è il più lungo del documento. Il secondo contiene tre fonti che vanno contro il nostro razionale.</w:t>
      </w:r>
    </w:p>
    <w:p>
      <w:pPr>
        <w:pStyle w:val="FirstParagraph"/>
      </w:pPr>
      <w:r>
        <w:rPr>
          <w:b/>
          <w:bCs/>
        </w:rPr>
        <w:t xml:space="preserve">Le tre cose da ricordare, più una</w:t>
      </w:r>
    </w:p>
    <w:p>
      <w:pPr>
        <w:pStyle w:val="Compact"/>
        <w:numPr>
          <w:ilvl w:val="0"/>
          <w:numId w:val="1003"/>
        </w:numPr>
      </w:pPr>
      <w:r>
        <w:t xml:space="preserve">Il sintomo che il paziente chiama «gonfiore» ha almeno due origini diverse, e una è muscolare. Distinguerle è la prima decisione del ciclo.</w:t>
      </w:r>
    </w:p>
    <w:p>
      <w:pPr>
        <w:pStyle w:val="Compact"/>
        <w:numPr>
          <w:ilvl w:val="0"/>
          <w:numId w:val="1003"/>
        </w:numPr>
      </w:pPr>
      <w:r>
        <w:t xml:space="preserve">Gli esami negativi non sono la fine del percorso diagnostico: sono il punto da cui parte la tua spiegazione.</w:t>
      </w:r>
    </w:p>
    <w:p>
      <w:pPr>
        <w:pStyle w:val="Compact"/>
        <w:numPr>
          <w:ilvl w:val="0"/>
          <w:numId w:val="1003"/>
        </w:numPr>
      </w:pPr>
      <w:r>
        <w:t xml:space="preserve">Il documento che ti dice cosa fare con le mani è un altro. Questo ti dice perché.</w:t>
      </w:r>
    </w:p>
    <w:p>
      <w:pPr>
        <w:pStyle w:val="Compact"/>
        <w:numPr>
          <w:ilvl w:val="0"/>
          <w:numId w:val="1003"/>
        </w:numPr>
      </w:pPr>
      <w:r>
        <w:rPr>
          <w:b/>
          <w:bCs/>
        </w:rPr>
        <w:t xml:space="preserve">Perché ci sei tu.</w:t>
      </w:r>
      <w:r>
        <w:t xml:space="preserve"> </w:t>
      </w:r>
      <w:r>
        <w:t xml:space="preserve">In uno studio randomizzato controllato con placebo, i pazienti che hanno imparato a governare diaframma e parete addominale hanno ridotto la distensione. Nel gruppo placebo non è cambiato niente (Barba,</w:t>
      </w:r>
      <w:r>
        <w:t xml:space="preserve"> </w:t>
      </w:r>
      <w:r>
        <w:rPr>
          <w:i/>
          <w:iCs/>
        </w:rPr>
        <w:t xml:space="preserve">Gastroenterology</w:t>
      </w:r>
      <w:r>
        <w:t xml:space="preserve"> </w:t>
      </w:r>
      <w:r>
        <w:t xml:space="preserve">2024, PMID 38467383; i numeri stanno in «Cosa può fare il paziente da solo»). Questo ti autorizza a mettere il respiro e la parete addominale al centro del ciclo. Non ti autorizza a chiamarlo trattamento della dispepsia, né a promettere che valga per il gonfiore che il paziente sente ma non si vede.</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eliminato mezza dispensa, ha una cartella piena di esami normali, e la sensazione che il problema alla fine sia lui.</w:t>
      </w:r>
    </w:p>
    <w:bookmarkStart w:id="12" w:name="come-lo-racconta-lui"/>
    <w:p>
      <w:pPr>
        <w:pStyle w:val="Heading3"/>
      </w:pPr>
      <w:r>
        <w:t xml:space="preserve">Come lo racconta lui</w:t>
      </w:r>
    </w:p>
    <w:p>
      <w:pPr>
        <w:pStyle w:val="FirstParagraph"/>
      </w:pPr>
      <w:r>
        <w:t xml:space="preserve">Non dice «ho una sindrome da distress postprandiale». Dice:</w:t>
      </w:r>
    </w:p>
    <w:p>
      <w:pPr>
        <w:pStyle w:val="Compact"/>
        <w:numPr>
          <w:ilvl w:val="0"/>
          <w:numId w:val="1004"/>
        </w:numPr>
      </w:pPr>
      <w:r>
        <w:rPr>
          <w:i/>
          <w:iCs/>
        </w:rPr>
        <w:t xml:space="preserve">«Mangio e dopo tre ore è ancora tutto lì.»</w:t>
      </w:r>
      <w:r>
        <w:t xml:space="preserve"> </w:t>
      </w:r>
      <w:r>
        <w:t xml:space="preserve">Un macigno che non scende.</w:t>
      </w:r>
    </w:p>
    <w:p>
      <w:pPr>
        <w:pStyle w:val="Compact"/>
        <w:numPr>
          <w:ilvl w:val="0"/>
          <w:numId w:val="1004"/>
        </w:numPr>
      </w:pPr>
      <w:r>
        <w:rPr>
          <w:i/>
          <w:iCs/>
        </w:rPr>
        <w:t xml:space="preserve">«Mi riempio con due bocconi.»</w:t>
      </w:r>
      <w:r>
        <w:t xml:space="preserve"> </w:t>
      </w:r>
      <w:r>
        <w:t xml:space="preserve">Si siede affamato e dopo poco non ne vuole più. Un’ora dopo ha di nuovo fame: è la cosa che lo confonde di più.</w:t>
      </w:r>
    </w:p>
    <w:p>
      <w:pPr>
        <w:pStyle w:val="Compact"/>
        <w:numPr>
          <w:ilvl w:val="0"/>
          <w:numId w:val="1004"/>
        </w:numPr>
      </w:pPr>
      <w:r>
        <w:rPr>
          <w:i/>
          <w:iCs/>
        </w:rPr>
        <w:t xml:space="preserve">«La sera la pancia non è la stessa del mattino.»</w:t>
      </w:r>
      <w:r>
        <w:t xml:space="preserve"> </w:t>
      </w:r>
      <w:r>
        <w:t xml:space="preserve">Cambia taglia nell’arco della giornata, e si guarda di profilo allo specchio.</w:t>
      </w:r>
    </w:p>
    <w:p>
      <w:pPr>
        <w:pStyle w:val="Compact"/>
        <w:numPr>
          <w:ilvl w:val="0"/>
          <w:numId w:val="1004"/>
        </w:numPr>
      </w:pPr>
      <w:r>
        <w:rPr>
          <w:i/>
          <w:iCs/>
        </w:rPr>
        <w:t xml:space="preserve">«Non c’è una regola.»</w:t>
      </w:r>
      <w:r>
        <w:t xml:space="preserve"> </w:t>
      </w:r>
      <w:r>
        <w:t xml:space="preserve">La stessa cosa che oggi va bene, la settimana dopo lo distrugge. Lo fa impazzire più del sintomo.</w:t>
      </w:r>
    </w:p>
    <w:p>
      <w:pPr>
        <w:pStyle w:val="Compact"/>
        <w:numPr>
          <w:ilvl w:val="0"/>
          <w:numId w:val="1004"/>
        </w:numPr>
      </w:pPr>
      <w:r>
        <w:rPr>
          <w:i/>
          <w:iCs/>
        </w:rPr>
        <w:t xml:space="preserve">«Ho tolto glutine, lattosio, lievito, i FODMAP.»</w:t>
      </w:r>
      <w:r>
        <w:t xml:space="preserve"> </w:t>
      </w:r>
      <w:r>
        <w:t xml:space="preserve">Mezzo mondo eliminato, e non è cambiato quasi niente.</w:t>
      </w:r>
    </w:p>
    <w:p>
      <w:pPr>
        <w:pStyle w:val="Compact"/>
        <w:numPr>
          <w:ilvl w:val="0"/>
          <w:numId w:val="1004"/>
        </w:numPr>
      </w:pPr>
      <w:r>
        <w:rPr>
          <w:i/>
          <w:iCs/>
        </w:rPr>
        <w:t xml:space="preserve">«Gli esami sono tutti a posto.»</w:t>
      </w:r>
      <w:r>
        <w:t xml:space="preserve"> </w:t>
      </w:r>
      <w:r>
        <w:t xml:space="preserve">Tutto negativo. Dovrebbe essere sollevato, e invece è lì con lo stesso problema e nessuna risposta.</w:t>
      </w:r>
    </w:p>
    <w:p>
      <w:pPr>
        <w:pStyle w:val="Compact"/>
        <w:numPr>
          <w:ilvl w:val="0"/>
          <w:numId w:val="1004"/>
        </w:numPr>
      </w:pPr>
      <w:r>
        <w:rPr>
          <w:i/>
          <w:iCs/>
        </w:rPr>
        <w:t xml:space="preserve">«Dopo pranzo sono inutilizzabile.»</w:t>
      </w:r>
      <w:r>
        <w:t xml:space="preserve"> </w:t>
      </w:r>
      <w:r>
        <w:t xml:space="preserve">Sonnolenza e testa annebbiata che azzerano il pomeriggio.</w:t>
      </w:r>
    </w:p>
    <w:p>
      <w:pPr>
        <w:pStyle w:val="Compact"/>
        <w:numPr>
          <w:ilvl w:val="0"/>
          <w:numId w:val="1004"/>
        </w:numPr>
      </w:pPr>
      <w:r>
        <w:rPr>
          <w:i/>
          <w:iCs/>
        </w:rPr>
        <w:t xml:space="preserve">«Mi hanno detto che è stress.»</w:t>
      </w:r>
      <w:r>
        <w:t xml:space="preserve"> </w:t>
      </w:r>
      <w:r>
        <w:t xml:space="preserve">La spiegazione che arriva quando non ce ne sono altre.</w:t>
      </w:r>
    </w:p>
    <w:p>
      <w:pPr>
        <w:pStyle w:val="FirstParagraph"/>
      </w:pPr>
      <w:r>
        <w:t xml:space="preserve">E, più piano:</w:t>
      </w:r>
      <w:r>
        <w:t xml:space="preserve"> </w:t>
      </w:r>
      <w:r>
        <w:rPr>
          <w:i/>
          <w:iCs/>
        </w:rPr>
        <w:t xml:space="preserve">«Ormai ci ho fatto l’abitudine.»</w:t>
      </w:r>
      <w:r>
        <w:t xml:space="preserve"> </w:t>
      </w:r>
      <w:r>
        <w:t xml:space="preserve">Ha organizzato la vita attorno a questa cosa e la chiama normale. Non lo è.</w:t>
      </w:r>
    </w:p>
    <w:p>
      <w:pPr>
        <w:pStyle w:val="BodyText"/>
      </w:pPr>
      <w:r>
        <w:t xml:space="preserve">C’è una parte che non ti dirà se non gliela chiedi: il cassetto degli integratori. Dieci scatole aperte a metà, ognuna che ha funzionato due settimane. È un’informazione clinica, non un aneddoto. Il quadro fluttua da solo, e ogni cosa nuova cade dentro la fluttuazione.</w:t>
      </w:r>
    </w:p>
    <w:p>
      <w:pPr>
        <w:pStyle w:val="BodyText"/>
      </w:pPr>
      <w:r>
        <w:rPr>
          <w:b/>
          <w:bCs/>
        </w:rPr>
        <w:t xml:space="preserve">E c’è chi non racconta niente di tutto questo.</w:t>
      </w:r>
      <w:r>
        <w:t xml:space="preserve"> </w:t>
      </w:r>
      <w:r>
        <w:t xml:space="preserve">Ne arrivano altri tre. L’ultrasettantenne in politerapia, che dice solo «ho lo stomaco pesante». Il diabetico da vent’anni con pienezza e vomito, che non ha una dispepsia funzionale finché non l’ha detto un medico. La donna in gravidanza con dolore alla bocca dello stomaco. Su tutti e tre comanda «Dove finisce il nostro campo», e viene prima di questo.</w:t>
      </w:r>
    </w:p>
    <w:bookmarkEnd w:id="12"/>
    <w:bookmarkStart w:id="13" w:name="cosa-ha-già-fatto"/>
    <w:p>
      <w:pPr>
        <w:pStyle w:val="Heading3"/>
      </w:pPr>
      <w:r>
        <w:t xml:space="preserve">Cosa ha già fatto</w:t>
      </w:r>
    </w:p>
    <w:p>
      <w:pPr>
        <w:pStyle w:val="FirstParagraph"/>
      </w:pPr>
      <w:r>
        <w:rPr>
          <w:b/>
          <w:bCs/>
        </w:rPr>
        <w:t xml:space="preserve">Gastroscopia</w:t>
      </w:r>
      <w:r>
        <w:t xml:space="preserve">, negativa o con un referto di «gastrite» che non spiega niente.</w:t>
      </w:r>
      <w:r>
        <w:t xml:space="preserve"> </w:t>
      </w:r>
      <w:r>
        <w:rPr>
          <w:b/>
          <w:bCs/>
        </w:rPr>
        <w:t xml:space="preserve">Ecografia</w:t>
      </w:r>
      <w:r>
        <w:t xml:space="preserve">, negativa.</w:t>
      </w:r>
      <w:r>
        <w:t xml:space="preserve"> </w:t>
      </w:r>
      <w:r>
        <w:rPr>
          <w:b/>
          <w:bCs/>
        </w:rPr>
        <w:t xml:space="preserve">Breath test</w:t>
      </w:r>
      <w:r>
        <w:t xml:space="preserve"> </w:t>
      </w:r>
      <w:r>
        <w:t xml:space="preserve">per lattosio, glucosio e Helicobacter.</w:t>
      </w:r>
      <w:r>
        <w:t xml:space="preserve"> </w:t>
      </w:r>
      <w:r>
        <w:rPr>
          <w:b/>
          <w:bCs/>
        </w:rPr>
        <w:t xml:space="preserve">Colonscopia</w:t>
      </w:r>
      <w:r>
        <w:t xml:space="preserve">, se l’intestino è coinvolto.</w:t>
      </w:r>
      <w:r>
        <w:t xml:space="preserve"> </w:t>
      </w:r>
      <w:r>
        <w:rPr>
          <w:b/>
          <w:bCs/>
        </w:rPr>
        <w:t xml:space="preserve">Inibitori di pompa protonica</w:t>
      </w:r>
      <w:r>
        <w:t xml:space="preserve">, prescritti anche senza reflusso conclamato.</w:t>
      </w:r>
      <w:r>
        <w:t xml:space="preserve"> </w:t>
      </w:r>
      <w:r>
        <w:rPr>
          <w:b/>
          <w:bCs/>
        </w:rPr>
        <w:t xml:space="preserve">Procinetici</w:t>
      </w:r>
      <w:r>
        <w:t xml:space="preserve">,</w:t>
      </w:r>
      <w:r>
        <w:t xml:space="preserve"> </w:t>
      </w:r>
      <w:r>
        <w:rPr>
          <w:b/>
          <w:bCs/>
        </w:rPr>
        <w:t xml:space="preserve">antispastici</w:t>
      </w:r>
      <w:r>
        <w:t xml:space="preserve"> </w:t>
      </w:r>
      <w:r>
        <w:t xml:space="preserve">ed</w:t>
      </w:r>
      <w:r>
        <w:t xml:space="preserve"> </w:t>
      </w:r>
      <w:r>
        <w:rPr>
          <w:b/>
          <w:bCs/>
        </w:rPr>
        <w:t xml:space="preserve">enzimi</w:t>
      </w:r>
      <w:r>
        <w:t xml:space="preserve"> </w:t>
      </w:r>
      <w:r>
        <w:t xml:space="preserve">da banco.</w:t>
      </w:r>
    </w:p>
    <w:p>
      <w:pPr>
        <w:pStyle w:val="BodyText"/>
      </w:pPr>
      <w:r>
        <w:t xml:space="preserve">E la</w:t>
      </w:r>
      <w:r>
        <w:t xml:space="preserve"> </w:t>
      </w:r>
      <w:r>
        <w:rPr>
          <w:b/>
          <w:bCs/>
        </w:rPr>
        <w:t xml:space="preserve">visita gastroenterologica</w:t>
      </w:r>
      <w:r>
        <w:t xml:space="preserve">, che è il passaggio giusto e necessario. Quando tutto è nella norma, quella visita si chiude con una frase che il paziente traduce in «non ho niente».</w:t>
      </w:r>
    </w:p>
    <w:bookmarkEnd w:id="13"/>
    <w:bookmarkStart w:id="14" w:name="cosa-nessuno-ha-guardato"/>
    <w:p>
      <w:pPr>
        <w:pStyle w:val="Heading3"/>
      </w:pPr>
      <w:r>
        <w:t xml:space="preserve">Cosa nessuno ha guardato</w:t>
      </w:r>
    </w:p>
    <w:p>
      <w:pPr>
        <w:pStyle w:val="FirstParagraph"/>
      </w:pPr>
      <w:r>
        <w:t xml:space="preserve">Cinque cose, e stanno tutte nei primi dieci minuti di valutazione.</w:t>
      </w:r>
    </w:p>
    <w:p>
      <w:pPr>
        <w:pStyle w:val="Compact"/>
        <w:numPr>
          <w:ilvl w:val="0"/>
          <w:numId w:val="1005"/>
        </w:numPr>
      </w:pPr>
      <w:r>
        <w:rPr>
          <w:b/>
          <w:bCs/>
        </w:rPr>
        <w:t xml:space="preserve">La pancia dopo un pasto vero</w:t>
      </w:r>
      <w:r>
        <w:t xml:space="preserve">, col metro da sarto prima e dopo. È il marker 1 di «Come ragiono davanti a questo paziente»: senza numero non c’è né confronto né prova.</w:t>
      </w:r>
    </w:p>
    <w:p>
      <w:pPr>
        <w:pStyle w:val="Compact"/>
        <w:numPr>
          <w:ilvl w:val="0"/>
          <w:numId w:val="1005"/>
        </w:numPr>
      </w:pPr>
      <w:r>
        <w:rPr>
          <w:b/>
          <w:bCs/>
        </w:rPr>
        <w:t xml:space="preserve">Come si muove il torace quando respira.</w:t>
      </w:r>
      <w:r>
        <w:t xml:space="preserve"> </w:t>
      </w:r>
      <w:r>
        <w:t xml:space="preserve">Nessuno ha guardato se durante l’episodio le costole si allargano e la pancia sporge insieme. È il reperto che separa due gonfiori diversi.</w:t>
      </w:r>
    </w:p>
    <w:p>
      <w:pPr>
        <w:pStyle w:val="Compact"/>
        <w:numPr>
          <w:ilvl w:val="0"/>
          <w:numId w:val="1005"/>
        </w:numPr>
      </w:pPr>
      <w:r>
        <w:rPr>
          <w:b/>
          <w:bCs/>
        </w:rPr>
        <w:t xml:space="preserve">Quanto beve prima di sentirsi pieno.</w:t>
      </w:r>
      <w:r>
        <w:t xml:space="preserve"> </w:t>
      </w:r>
      <w:r>
        <w:t xml:space="preserve">È il marker 2, e nessuno l’ha mai messo sulla sazietà precoce.</w:t>
      </w:r>
    </w:p>
    <w:p>
      <w:pPr>
        <w:pStyle w:val="Compact"/>
        <w:numPr>
          <w:ilvl w:val="0"/>
          <w:numId w:val="1005"/>
        </w:numPr>
      </w:pPr>
      <w:r>
        <w:rPr>
          <w:b/>
          <w:bCs/>
        </w:rPr>
        <w:t xml:space="preserve">Cosa prende, oltre a quello che gli hanno dato per lo stomaco.</w:t>
      </w:r>
      <w:r>
        <w:t xml:space="preserve"> </w:t>
      </w:r>
      <w:r>
        <w:t xml:space="preserve">È il passo 0 della Road Map, e viene prima di ogni ragionamento clinico.</w:t>
      </w:r>
    </w:p>
    <w:p>
      <w:pPr>
        <w:pStyle w:val="Compact"/>
        <w:numPr>
          <w:ilvl w:val="0"/>
          <w:numId w:val="1005"/>
        </w:numPr>
      </w:pPr>
      <w:r>
        <w:rPr>
          <w:b/>
          <w:bCs/>
        </w:rPr>
        <w:t xml:space="preserve">In che fase del ciclo è, quando è una donna in età fertile.</w:t>
      </w:r>
      <w:r>
        <w:t xml:space="preserve"> </w:t>
      </w:r>
      <w:r>
        <w:t xml:space="preserve">La misura principale è una circonferenza: se il confronto fra due sedute cade in fasi diverse, il numero non confronta niente. E per una parte delle pazienti</w:t>
      </w:r>
      <w:r>
        <w:t xml:space="preserve"> </w:t>
      </w:r>
      <w:r>
        <w:rPr>
          <w:i/>
          <w:iCs/>
        </w:rPr>
        <w:t xml:space="preserve">«non c’è una regola»</w:t>
      </w:r>
      <w:r>
        <w:t xml:space="preserve"> </w:t>
      </w:r>
      <w:r>
        <w:t xml:space="preserve">una regola ce l’ha, ed è il calendario.</w:t>
      </w:r>
    </w:p>
    <w:bookmarkEnd w:id="14"/>
    <w:bookmarkStart w:id="15" w:name="le-tre-domande-che-ti-farà"/>
    <w:p>
      <w:pPr>
        <w:pStyle w:val="Heading3"/>
      </w:pPr>
      <w:r>
        <w:t xml:space="preserve">Le tre domande che ti farà</w:t>
      </w:r>
    </w:p>
    <w:p>
      <w:pPr>
        <w:pStyle w:val="Compact"/>
        <w:numPr>
          <w:ilvl w:val="0"/>
          <w:numId w:val="1006"/>
        </w:numPr>
      </w:pPr>
      <w:r>
        <w:rPr>
          <w:i/>
          <w:iCs/>
        </w:rPr>
        <w:t xml:space="preserve">«Cosa c’entrano le mani con la digestione?»</w:t>
      </w:r>
      <w:r>
        <w:t xml:space="preserve"> </w:t>
      </w:r>
      <w:r>
        <w:t xml:space="preserve">— la risposta sta in «Perché le mani possono cambiare qualcosa», e passa dal contenitore, non dal contenuto.</w:t>
      </w:r>
    </w:p>
    <w:p>
      <w:pPr>
        <w:pStyle w:val="Compact"/>
        <w:numPr>
          <w:ilvl w:val="0"/>
          <w:numId w:val="1006"/>
        </w:numPr>
      </w:pPr>
      <w:r>
        <w:rPr>
          <w:i/>
          <w:iCs/>
        </w:rPr>
        <w:t xml:space="preserve">«Se gli esami sono a posto, cos’ho?»</w:t>
      </w:r>
      <w:r>
        <w:t xml:space="preserve"> </w:t>
      </w:r>
      <w:r>
        <w:t xml:space="preserve">— la risposta sta in «Che cos’è davvero», e non è</w:t>
      </w:r>
      <w:r>
        <w:t xml:space="preserve"> </w:t>
      </w:r>
      <w:r>
        <w:t xml:space="preserve">“niente”</w:t>
      </w:r>
      <w:r>
        <w:t xml:space="preserve">.</w:t>
      </w:r>
    </w:p>
    <w:p>
      <w:pPr>
        <w:pStyle w:val="Compact"/>
        <w:numPr>
          <w:ilvl w:val="0"/>
          <w:numId w:val="1006"/>
        </w:numPr>
      </w:pPr>
      <w:r>
        <w:rPr>
          <w:i/>
          <w:iCs/>
        </w:rPr>
        <w:t xml:space="preserve">«È vero che è tutto stress?»</w:t>
      </w:r>
      <w:r>
        <w:t xml:space="preserve"> </w:t>
      </w:r>
      <w:r>
        <w:t xml:space="preserve">— la risposta sta in «Cosa si rompe», quarto meccanismo, e non è né sì né no.</w:t>
      </w:r>
    </w:p>
    <w:p>
      <w:pPr>
        <w:pStyle w:val="FirstParagraph"/>
      </w:pPr>
      <w:r>
        <w:rPr>
          <w:b/>
          <w:bCs/>
        </w:rPr>
        <w:t xml:space="preserve">Le tre cose da ricordare, più una</w:t>
      </w:r>
    </w:p>
    <w:p>
      <w:pPr>
        <w:pStyle w:val="Compact"/>
        <w:numPr>
          <w:ilvl w:val="0"/>
          <w:numId w:val="1007"/>
        </w:numPr>
      </w:pPr>
      <w:r>
        <w:rPr>
          <w:i/>
          <w:iCs/>
        </w:rPr>
        <w:t xml:space="preserve">«Non c’è una regola»</w:t>
      </w:r>
      <w:r>
        <w:t xml:space="preserve"> </w:t>
      </w:r>
      <w:r>
        <w:t xml:space="preserve">non è confusione del paziente: è una soglia che si sposta. Trattala come un dato, e verifica prima che la regola non sia il calendario.</w:t>
      </w:r>
    </w:p>
    <w:p>
      <w:pPr>
        <w:pStyle w:val="Compact"/>
        <w:numPr>
          <w:ilvl w:val="0"/>
          <w:numId w:val="1007"/>
        </w:numPr>
      </w:pPr>
      <w:r>
        <w:t xml:space="preserve">Il cassetto degli integratori misura la fluttuazione spontanea del quadro. Chiedigli quanto durava ogni volta l’effetto.</w:t>
      </w:r>
    </w:p>
    <w:p>
      <w:pPr>
        <w:pStyle w:val="Compact"/>
        <w:numPr>
          <w:ilvl w:val="0"/>
          <w:numId w:val="1007"/>
        </w:numPr>
      </w:pPr>
      <w:r>
        <w:t xml:space="preserve">Chiedi sempre cosa prende per altro: il filtro farmacologico viene prima di qualunque ipotesi meccanica.</w:t>
      </w:r>
    </w:p>
    <w:p>
      <w:pPr>
        <w:pStyle w:val="Compact"/>
        <w:numPr>
          <w:ilvl w:val="0"/>
          <w:numId w:val="1007"/>
        </w:numPr>
      </w:pPr>
      <w:r>
        <w:rPr>
          <w:b/>
          <w:bCs/>
        </w:rPr>
        <w:t xml:space="preserve">Perché ci sei tu.</w:t>
      </w:r>
      <w:r>
        <w:t xml:space="preserve"> </w:t>
      </w:r>
      <w:r>
        <w:t xml:space="preserve">L’inibitore di pompa protonica funziona nella dispepsia funzionale, e il suo vantaggio sul placebo è piccolo. Su 6.172 partecipanti in 18 studi randomizzati bisogna trattarne undici perché una persona in più migliori rispetto al placebo (numero necessario da trattare 11; Pinto-Sanchez,</w:t>
      </w:r>
      <w:r>
        <w:t xml:space="preserve"> </w:t>
      </w:r>
      <w:r>
        <w:rPr>
          <w:i/>
          <w:iCs/>
        </w:rPr>
        <w:t xml:space="preserve">Cochrane</w:t>
      </w:r>
      <w:r>
        <w:t xml:space="preserve"> </w:t>
      </w:r>
      <w:r>
        <w:t xml:space="preserve">2017, PMID 29161458).</w:t>
      </w:r>
      <w:r>
        <w:t xml:space="preserve"> </w:t>
      </w:r>
      <w:r>
        <w:rPr>
          <w:b/>
          <w:bCs/>
        </w:rPr>
        <w:t xml:space="preserve">Per te:</w:t>
      </w:r>
      <w:r>
        <w:t xml:space="preserve"> </w:t>
      </w:r>
      <w:r>
        <w:t xml:space="preserve">il fallimento parziale che il paziente ti racconta è la norma di questa condizione, non un suo difetto. Questo ti autorizza a non stupirti. Non ti autorizza a commentare la terapia, né a dire al paziente che «sta facendo poco»: quella è una frase che fa sospendere farmaci, e la terapia la decide il prescrittore.</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è un disturbo del funzionamento, non della struttura — e «funzionale» non vuol dire immaginario, vuol dire che il guasto sta in come le parti lavorano insieme e non in come sono fatte.</w:t>
      </w:r>
    </w:p>
    <w:bookmarkStart w:id="17" w:name="la-definizione"/>
    <w:p>
      <w:pPr>
        <w:pStyle w:val="Heading3"/>
      </w:pPr>
      <w:r>
        <w:t xml:space="preserve">La definizione</w:t>
      </w:r>
    </w:p>
    <w:p>
      <w:pPr>
        <w:pStyle w:val="FirstParagraph"/>
      </w:pPr>
      <w:r>
        <w:t xml:space="preserve">I criteri internazionali di riferimento sono quelli di Roma IV. Classificano questi quadri come</w:t>
      </w:r>
      <w:r>
        <w:t xml:space="preserve"> </w:t>
      </w:r>
      <w:r>
        <w:rPr>
          <w:b/>
          <w:bCs/>
        </w:rPr>
        <w:t xml:space="preserve">disturbi dell’interazione intestino-cervello</w:t>
      </w:r>
      <w:r>
        <w:t xml:space="preserve"> </w:t>
      </w:r>
      <w:r>
        <w:t xml:space="preserve">(Stanghellini,</w:t>
      </w:r>
      <w:r>
        <w:t xml:space="preserve"> </w:t>
      </w:r>
      <w:r>
        <w:rPr>
          <w:i/>
          <w:iCs/>
        </w:rPr>
        <w:t xml:space="preserve">Gastroenterology</w:t>
      </w:r>
      <w:r>
        <w:t xml:space="preserve"> </w:t>
      </w:r>
      <w:r>
        <w:t xml:space="preserve">2016, PMID 27147122). Due etichette contano per noi.</w:t>
      </w:r>
    </w:p>
    <w:p>
      <w:pPr>
        <w:pStyle w:val="BodyText"/>
      </w:pPr>
      <w:r>
        <w:rPr>
          <w:b/>
          <w:bCs/>
        </w:rPr>
        <w:t xml:space="preserve">Dispepsia funzionale.</w:t>
      </w:r>
      <w:r>
        <w:t xml:space="preserve"> </w:t>
      </w:r>
      <w:r>
        <w:t xml:space="preserve">Sono sintomi della regione gastroduodenale, presenti da almeno tre mesi con esordio da almeno sei, senza una causa strutturale che li spieghi. Le sindromi sono due e possono coesistere.</w:t>
      </w:r>
    </w:p>
    <w:p>
      <w:pPr>
        <w:pStyle w:val="Compact"/>
        <w:numPr>
          <w:ilvl w:val="0"/>
          <w:numId w:val="1008"/>
        </w:numPr>
      </w:pPr>
      <w:r>
        <w:rPr>
          <w:b/>
          <w:bCs/>
        </w:rPr>
        <w:t xml:space="preserve">Sindrome da distress postprandiale</w:t>
      </w:r>
      <w:r>
        <w:t xml:space="preserve"> </w:t>
      </w:r>
      <w:r>
        <w:t xml:space="preserve">— pienezza dopo il pasto e sazietà precoce. È il sottotipo legato al pasto, ed è il più frequente.</w:t>
      </w:r>
    </w:p>
    <w:p>
      <w:pPr>
        <w:pStyle w:val="Compact"/>
        <w:numPr>
          <w:ilvl w:val="0"/>
          <w:numId w:val="1008"/>
        </w:numPr>
      </w:pPr>
      <w:r>
        <w:rPr>
          <w:b/>
          <w:bCs/>
        </w:rPr>
        <w:t xml:space="preserve">Sindrome del dolore epigastrico</w:t>
      </w:r>
      <w:r>
        <w:t xml:space="preserve"> </w:t>
      </w:r>
      <w:r>
        <w:t xml:space="preserve">— dolore o bruciore alla bocca dello stomaco, non necessariamente legato al pasto.</w:t>
      </w:r>
    </w:p>
    <w:p>
      <w:pPr>
        <w:pStyle w:val="FirstParagraph"/>
      </w:pPr>
      <w:r>
        <w:rPr>
          <w:b/>
          <w:bCs/>
        </w:rPr>
        <w:t xml:space="preserve">Gonfiore e distensione addominale funzionali.</w:t>
      </w:r>
      <w:r>
        <w:t xml:space="preserve"> </w:t>
      </w:r>
      <w:r>
        <w:t xml:space="preserve">Roma IV li tiene distinti, ed è la distinzione più utile del capitolo. Il</w:t>
      </w:r>
      <w:r>
        <w:t xml:space="preserve"> </w:t>
      </w:r>
      <w:r>
        <w:rPr>
          <w:b/>
          <w:bCs/>
        </w:rPr>
        <w:t xml:space="preserve">gonfiore</w:t>
      </w:r>
      <w:r>
        <w:t xml:space="preserve"> </w:t>
      </w:r>
      <w:r>
        <w:t xml:space="preserve">è una sensazione. La</w:t>
      </w:r>
      <w:r>
        <w:t xml:space="preserve"> </w:t>
      </w:r>
      <w:r>
        <w:rPr>
          <w:b/>
          <w:bCs/>
        </w:rPr>
        <w:t xml:space="preserve">distensione</w:t>
      </w:r>
      <w:r>
        <w:t xml:space="preserve"> </w:t>
      </w:r>
      <w:r>
        <w:t xml:space="preserve">è un aumento misurabile della circonferenza. Meccanismi diversi, e risposte diverse al nostro lavoro.</w:t>
      </w:r>
    </w:p>
    <w:bookmarkEnd w:id="17"/>
    <w:bookmarkStart w:id="18" w:name="quanto-è-diffusa"/>
    <w:p>
      <w:pPr>
        <w:pStyle w:val="Heading3"/>
      </w:pPr>
      <w:r>
        <w:t xml:space="preserve">Quanto è diffusa</w:t>
      </w:r>
    </w:p>
    <w:p>
      <w:pPr>
        <w:pStyle w:val="FirstParagraph"/>
      </w:pPr>
      <w:r>
        <w:rPr>
          <w:b/>
          <w:bCs/>
        </w:rPr>
        <w:t xml:space="preserve">Otto persone su cento nel mondo hanno una dispepsia funzionale.</w:t>
      </w:r>
      <w:r>
        <w:t xml:space="preserve"> </w:t>
      </w:r>
      <w:r>
        <w:t xml:space="preserve">Il dato viene da 44 studi di popolazione e 256.915 partecipanti: prevalenza aggregata 8,4%, che scende a 6,8% con i criteri più stretti di Roma IV. Nelle donne è più alta che negli uomini (9,0% contro 7,0%) (Lee,</w:t>
      </w:r>
      <w:r>
        <w:t xml:space="preserve"> </w:t>
      </w:r>
      <w:r>
        <w:rPr>
          <w:i/>
          <w:iCs/>
        </w:rPr>
        <w:t xml:space="preserve">Sci Rep</w:t>
      </w:r>
      <w:r>
        <w:t xml:space="preserve"> </w:t>
      </w:r>
      <w:r>
        <w:t xml:space="preserve">2024, PMID 38378941).</w:t>
      </w:r>
    </w:p>
    <w:p>
      <w:pPr>
        <w:pStyle w:val="BodyText"/>
      </w:pPr>
      <w:r>
        <w:rPr>
          <w:b/>
          <w:bCs/>
        </w:rPr>
        <w:t xml:space="preserve">Per te:</w:t>
      </w:r>
      <w:r>
        <w:t xml:space="preserve"> </w:t>
      </w:r>
      <w:r>
        <w:t xml:space="preserve">quella differenza fra le due soglie è la ragione per cui un paziente può avere il quadro pieno e non rientrare in nessuna casella. Quando ti dice che il gastroenterologo «non ha trovato una diagnosi», spesso vuol dire che i suoi sintomi stanno appena sotto una soglia di conteggio.</w:t>
      </w:r>
    </w:p>
    <w:p>
      <w:pPr>
        <w:pStyle w:val="BodyText"/>
      </w:pPr>
      <w:r>
        <w:t xml:space="preserve">Il numero che conta di più in stanza è un altro:</w:t>
      </w:r>
      <w:r>
        <w:t xml:space="preserve"> </w:t>
      </w:r>
      <w:r>
        <w:rPr>
          <w:b/>
          <w:bCs/>
        </w:rPr>
        <w:t xml:space="preserve">circa otto dispepsie su dieci sono funzionali</w:t>
      </w:r>
      <w:r>
        <w:t xml:space="preserve">, e il quadro tocca fino al 16% delle persone altrimenti sane (Ford,</w:t>
      </w:r>
      <w:r>
        <w:t xml:space="preserve"> </w:t>
      </w:r>
      <w:r>
        <w:rPr>
          <w:i/>
          <w:iCs/>
        </w:rPr>
        <w:t xml:space="preserve">Lancet</w:t>
      </w:r>
      <w:r>
        <w:t xml:space="preserve"> </w:t>
      </w:r>
      <w:r>
        <w:t xml:space="preserve">2020, PMID 33049222 — seminario di sintesi su fonti primarie). L’8,4% è chi soddisfa i criteri diagnostici; il 16% è chi riferisce sintomi senza applicarli.</w:t>
      </w:r>
      <w:r>
        <w:t xml:space="preserve"> </w:t>
      </w:r>
      <w:r>
        <w:rPr>
          <w:b/>
          <w:bCs/>
        </w:rPr>
        <w:t xml:space="preserve">Per te:</w:t>
      </w:r>
      <w:r>
        <w:t xml:space="preserve"> </w:t>
      </w:r>
      <w:r>
        <w:t xml:space="preserve">il paziente con la gastroscopia negativa in mano è il caso più comune di tutti, e il fatto che nessuno gliel’abbia detto è metà del suo problema.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la prevalenza — 44 studi e 256.915 partecipanti (Lee, 2024, PMID 38378941).</w:t>
      </w:r>
      <w:r>
        <w:t xml:space="preserve"> </w:t>
      </w:r>
      <w:r>
        <w:rPr>
          <w:b/>
          <w:bCs/>
        </w:rPr>
        <w:t xml:space="preserve">PROBABILE</w:t>
      </w:r>
      <w:r>
        <w:t xml:space="preserve"> </w:t>
      </w:r>
      <w:r>
        <w:rPr>
          <w:i/>
          <w:iCs/>
        </w:rPr>
        <w:t xml:space="preserve">(razionale forte, prove parziali)</w:t>
      </w:r>
      <w:r>
        <w:t xml:space="preserve"> </w:t>
      </w:r>
      <w:r>
        <w:t xml:space="preserve">la storia naturale come è descritta qui sotto: il dato longitudinale viene da un solo campione di popolazione e non è specifico della dispepsia.</w:t>
      </w:r>
    </w:p>
    <w:bookmarkEnd w:id="18"/>
    <w:bookmarkStart w:id="19" w:name="come-evolve-se-non-fai-nulla"/>
    <w:p>
      <w:pPr>
        <w:pStyle w:val="Heading3"/>
      </w:pPr>
      <w:r>
        <w:t xml:space="preserve">Come evolve se non fai nulla</w:t>
      </w:r>
    </w:p>
    <w:p>
      <w:pPr>
        <w:pStyle w:val="FirstParagraph"/>
      </w:pPr>
      <w:r>
        <w:t xml:space="preserve">Fluttua, e in molti pazienti resta.</w:t>
      </w:r>
    </w:p>
    <w:p>
      <w:pPr>
        <w:pStyle w:val="BodyText"/>
      </w:pPr>
      <w:r>
        <w:t xml:space="preserve">Lo studio islandese ha ri-interrogato lo stesso campione a dieci anni. Il</w:t>
      </w:r>
      <w:r>
        <w:t xml:space="preserve"> </w:t>
      </w:r>
      <w:r>
        <w:rPr>
          <w:b/>
          <w:bCs/>
        </w:rPr>
        <w:t xml:space="preserve">52% non aveva più sintomi</w:t>
      </w:r>
      <w:r>
        <w:t xml:space="preserve">, e un ulteriore 38% ne aveva di</w:t>
      </w:r>
      <w:r>
        <w:t xml:space="preserve"> </w:t>
      </w:r>
      <w:r>
        <w:rPr>
          <w:i/>
          <w:iCs/>
        </w:rPr>
        <w:t xml:space="preserve">diversi</w:t>
      </w:r>
      <w:r>
        <w:t xml:space="preserve">: era passato a un altro disturbo funzionale invece di guarire (Olafsdottir,</w:t>
      </w:r>
      <w:r>
        <w:t xml:space="preserve"> </w:t>
      </w:r>
      <w:r>
        <w:rPr>
          <w:i/>
          <w:iCs/>
        </w:rPr>
        <w:t xml:space="preserve">Dig Liver Dis</w:t>
      </w:r>
      <w:r>
        <w:t xml:space="preserve"> </w:t>
      </w:r>
      <w:r>
        <w:t xml:space="preserve">2012, PMID 22137573). Quel 52% però è la quota su</w:t>
      </w:r>
      <w:r>
        <w:t xml:space="preserve"> </w:t>
      </w:r>
      <w:r>
        <w:rPr>
          <w:b/>
          <w:bCs/>
        </w:rPr>
        <w:t xml:space="preserve">tutti</w:t>
      </w:r>
      <w:r>
        <w:t xml:space="preserve"> </w:t>
      </w:r>
      <w:r>
        <w:t xml:space="preserve">i disturbi funzionali del campione, non sui soli dispeptici.</w:t>
      </w:r>
    </w:p>
    <w:p>
      <w:pPr>
        <w:pStyle w:val="BodyText"/>
      </w:pPr>
      <w:r>
        <w:t xml:space="preserve">Ford, sulla sola dispepsia funzionale, scrive l’opposto: nella maggior parte dei pazienti la condizione è</w:t>
      </w:r>
      <w:r>
        <w:t xml:space="preserve"> </w:t>
      </w:r>
      <w:r>
        <w:rPr>
          <w:b/>
          <w:bCs/>
        </w:rPr>
        <w:t xml:space="preserve">cronica</w:t>
      </w:r>
      <w:r>
        <w:t xml:space="preserve">, con sintomi che fluttuano (Ford, 2020, PMID 33049222).</w:t>
      </w:r>
    </w:p>
    <w:p>
      <w:pPr>
        <w:pStyle w:val="BodyText"/>
      </w:pPr>
      <w:r>
        <w:rPr>
          <w:b/>
          <w:bCs/>
        </w:rPr>
        <w:t xml:space="preserve">Per te:</w:t>
      </w:r>
      <w:r>
        <w:t xml:space="preserve"> </w:t>
      </w:r>
      <w:r>
        <w:t xml:space="preserve">tieni le due frasi insieme. Una quota consistente migliora nel tempo senza di te, e nessuno sa in anticipo chi. È il motivo per cui un marker scelto</w:t>
      </w:r>
      <w:r>
        <w:t xml:space="preserve"> </w:t>
      </w:r>
      <w:r>
        <w:rPr>
          <w:b/>
          <w:bCs/>
        </w:rPr>
        <w:t xml:space="preserve">prima</w:t>
      </w:r>
      <w:r>
        <w:t xml:space="preserve"> </w:t>
      </w:r>
      <w:r>
        <w:t xml:space="preserve">di trattare non è una formalità: è l’unica cosa che separa il tuo effetto dalla settimana buona.</w:t>
      </w:r>
    </w:p>
    <w:bookmarkEnd w:id="19"/>
    <w:bookmarkStart w:id="20" w:name="Xd2828f9c2d635da0f9c93f072f0a1dfdbfc20ae"/>
    <w:p>
      <w:pPr>
        <w:pStyle w:val="Heading3"/>
      </w:pPr>
      <w:r>
        <w:t xml:space="preserve">Cosa dicono le etichette diagnostiche che porta</w:t>
      </w:r>
    </w:p>
    <w:p>
      <w:pPr>
        <w:pStyle w:val="FirstParagraph"/>
      </w:pPr>
      <w:r>
        <w:t xml:space="preserve">La diagnosi è atto medico. Qui si spiega come si legge un referto, non come si formula.</w:t>
      </w:r>
    </w:p>
    <w:p>
      <w:pPr>
        <w:pStyle w:val="Compact"/>
        <w:numPr>
          <w:ilvl w:val="0"/>
          <w:numId w:val="1009"/>
        </w:numPr>
      </w:pPr>
      <w:r>
        <w:rPr>
          <w:b/>
          <w:bCs/>
        </w:rPr>
        <w:t xml:space="preserve">«Gastrite»</w:t>
      </w:r>
      <w:r>
        <w:t xml:space="preserve"> </w:t>
      </w:r>
      <w:r>
        <w:t xml:space="preserve">su un referto endoscopico. Descrive un aspetto della mucosa e correla male con i sintomi: la mucosa arrossata può stare in chi non ha disturbi, la mucosa perfetta in chi sta malissimo.</w:t>
      </w:r>
    </w:p>
    <w:p>
      <w:pPr>
        <w:pStyle w:val="Compact"/>
        <w:numPr>
          <w:ilvl w:val="0"/>
          <w:numId w:val="1009"/>
        </w:numPr>
      </w:pPr>
      <w:r>
        <w:rPr>
          <w:b/>
          <w:bCs/>
        </w:rPr>
        <w:t xml:space="preserve">«Negativo»</w:t>
      </w:r>
      <w:r>
        <w:t xml:space="preserve"> </w:t>
      </w:r>
      <w:r>
        <w:t xml:space="preserve">su gastroscopia ed ecografia. È il criterio che</w:t>
      </w:r>
      <w:r>
        <w:t xml:space="preserve"> </w:t>
      </w:r>
      <w:r>
        <w:rPr>
          <w:i/>
          <w:iCs/>
        </w:rPr>
        <w:t xml:space="preserve">permette</w:t>
      </w:r>
      <w:r>
        <w:t xml:space="preserve"> </w:t>
      </w:r>
      <w:r>
        <w:t xml:space="preserve">la diagnosi di dispepsia funzionale, non la sua assenza. Va detto al paziente in questi termini.</w:t>
      </w:r>
    </w:p>
    <w:p>
      <w:pPr>
        <w:pStyle w:val="Compact"/>
        <w:numPr>
          <w:ilvl w:val="0"/>
          <w:numId w:val="1009"/>
        </w:numPr>
      </w:pPr>
      <w:r>
        <w:rPr>
          <w:b/>
          <w:bCs/>
        </w:rPr>
        <w:t xml:space="preserve">«Intolleranza»</w:t>
      </w:r>
      <w:r>
        <w:t xml:space="preserve"> </w:t>
      </w:r>
      <w:r>
        <w:t xml:space="preserve">da un test non validato. Poco dirimente, e spesso all’origine di eliminazioni che hanno ristretto la dieta senza cambiare i sintomi.</w:t>
      </w:r>
    </w:p>
    <w:p>
      <w:pPr>
        <w:pStyle w:val="Compact"/>
        <w:numPr>
          <w:ilvl w:val="0"/>
          <w:numId w:val="1009"/>
        </w:numPr>
      </w:pPr>
      <w:r>
        <w:rPr>
          <w:b/>
          <w:bCs/>
        </w:rPr>
        <w:t xml:space="preserve">«Helicobacter negativo»</w:t>
      </w:r>
      <w:r>
        <w:t xml:space="preserve"> </w:t>
      </w:r>
      <w:r>
        <w:t xml:space="preserve">ottenuto sotto inibitore di pompa. Non è un test negativo: è un test non valutabile, perché il farmaco negativizza sia il breath test sia l’antigene fecale.</w:t>
      </w:r>
    </w:p>
    <w:p>
      <w:pPr>
        <w:pStyle w:val="Compact"/>
        <w:numPr>
          <w:ilvl w:val="0"/>
          <w:numId w:val="1009"/>
        </w:numPr>
      </w:pPr>
      <w:r>
        <w:rPr>
          <w:b/>
          <w:bCs/>
        </w:rPr>
        <w:t xml:space="preserve">«Colon irritabile»</w:t>
      </w:r>
      <w:r>
        <w:t xml:space="preserve"> </w:t>
      </w:r>
      <w:r>
        <w:t xml:space="preserve">accanto alla dispepsia. La sovrapposizione è la regola. La meta-analisi copre 38 studi su 17.993 pazienti con dispepsia funzionale. Con i criteri Roma III-IV insieme, la prevalenza di intestino irritabile è del</w:t>
      </w:r>
      <w:r>
        <w:t xml:space="preserve"> </w:t>
      </w:r>
      <w:r>
        <w:rPr>
          <w:b/>
          <w:bCs/>
        </w:rPr>
        <w:t xml:space="preserve">37,5%</w:t>
      </w:r>
      <w:r>
        <w:t xml:space="preserve">. Con i soli criteri Roma IV sale al</w:t>
      </w:r>
      <w:r>
        <w:t xml:space="preserve"> </w:t>
      </w:r>
      <w:r>
        <w:rPr>
          <w:b/>
          <w:bCs/>
        </w:rPr>
        <w:t xml:space="preserve">50,4%</w:t>
      </w:r>
      <w:r>
        <w:t xml:space="preserve"> </w:t>
      </w:r>
      <w:r>
        <w:t xml:space="preserve">(Andreev,</w:t>
      </w:r>
      <w:r>
        <w:t xml:space="preserve"> </w:t>
      </w:r>
      <w:r>
        <w:rPr>
          <w:i/>
          <w:iCs/>
        </w:rPr>
        <w:t xml:space="preserve">Ter Arkh</w:t>
      </w:r>
      <w:r>
        <w:t xml:space="preserve"> </w:t>
      </w:r>
      <w:r>
        <w:t xml:space="preserve">2022, PMID 36286762). Più di uno su tre, e con i criteri più recenti uno su due.</w:t>
      </w:r>
    </w:p>
    <w:bookmarkEnd w:id="20"/>
    <w:bookmarkStart w:id="21" w:name="cosa-non-è"/>
    <w:p>
      <w:pPr>
        <w:pStyle w:val="Heading3"/>
      </w:pPr>
      <w:r>
        <w:t xml:space="preserve">Cosa non è</w:t>
      </w:r>
    </w:p>
    <w:p>
      <w:pPr>
        <w:pStyle w:val="Compact"/>
        <w:numPr>
          <w:ilvl w:val="0"/>
          <w:numId w:val="1010"/>
        </w:numPr>
      </w:pPr>
      <w:r>
        <w:rPr>
          <w:b/>
          <w:bCs/>
        </w:rPr>
        <w:t xml:space="preserve">Non è gastroparesi.</w:t>
      </w:r>
      <w:r>
        <w:t xml:space="preserve"> </w:t>
      </w:r>
      <w:r>
        <w:t xml:space="preserve">La gastroparesi è la presenza di sintomi</w:t>
      </w:r>
      <w:r>
        <w:t xml:space="preserve"> </w:t>
      </w:r>
      <w:r>
        <w:rPr>
          <w:i/>
          <w:iCs/>
        </w:rPr>
        <w:t xml:space="preserve">insieme</w:t>
      </w:r>
      <w:r>
        <w:t xml:space="preserve"> </w:t>
      </w:r>
      <w:r>
        <w:t xml:space="preserve">a uno svuotamento rallentato documentato, senza ostruzione meccanica: il consenso europeo richiede endoscopia e test di svuotamento (Schol,</w:t>
      </w:r>
      <w:r>
        <w:t xml:space="preserve"> </w:t>
      </w:r>
      <w:r>
        <w:rPr>
          <w:i/>
          <w:iCs/>
        </w:rPr>
        <w:t xml:space="preserve">Neurogastroenterol Motil</w:t>
      </w:r>
      <w:r>
        <w:t xml:space="preserve"> </w:t>
      </w:r>
      <w:r>
        <w:t xml:space="preserve">2021, PMID 34399024). Il confine è mobile, e il test non ce l’hai.</w:t>
      </w:r>
      <w:r>
        <w:t xml:space="preserve"> </w:t>
      </w:r>
      <w:r>
        <w:rPr>
          <w:b/>
          <w:bCs/>
        </w:rPr>
        <w:t xml:space="preserve">E nel diabetico di lunga data la pienezza postprandiale con vomito non è dispepsia funzionale finché un medico non ha escluso la gastroparesi diabetica</w:t>
      </w:r>
      <w:r>
        <w:t xml:space="preserve">, la sua causa secondaria più comune.</w:t>
      </w:r>
    </w:p>
    <w:p>
      <w:pPr>
        <w:pStyle w:val="Compact"/>
        <w:numPr>
          <w:ilvl w:val="0"/>
          <w:numId w:val="1010"/>
        </w:numPr>
      </w:pPr>
      <w:r>
        <w:rPr>
          <w:b/>
          <w:bCs/>
        </w:rPr>
        <w:t xml:space="preserve">Non è un disturbo dell’eruttazione né una ruminazione.</w:t>
      </w:r>
      <w:r>
        <w:t xml:space="preserve"> </w:t>
      </w:r>
      <w:r>
        <w:t xml:space="preserve">Due domande li separano in dieci secondi.</w:t>
      </w:r>
      <w:r>
        <w:t xml:space="preserve"> </w:t>
      </w:r>
      <w:r>
        <w:rPr>
          <w:i/>
          <w:iCs/>
        </w:rPr>
        <w:t xml:space="preserve">«Ti torna su il boccone senza sforzo e senza sapore acido, nella mezz’ora dopo il pasto?»</w:t>
      </w:r>
      <w:r>
        <w:t xml:space="preserve"> </w:t>
      </w:r>
      <w:r>
        <w:t xml:space="preserve">— è ruminazione.</w:t>
      </w:r>
      <w:r>
        <w:t xml:space="preserve"> </w:t>
      </w:r>
      <w:r>
        <w:rPr>
          <w:i/>
          <w:iCs/>
        </w:rPr>
        <w:t xml:space="preserve">«Le eruttazioni arrivano a raffica e non ti danno sollievo?»</w:t>
      </w:r>
      <w:r>
        <w:t xml:space="preserve"> </w:t>
      </w:r>
      <w:r>
        <w:t xml:space="preserve">— è eruttazione sovragastrica, aria che entra e riesce senza mai arrivare allo stomaco. Vedi «Non è una condizione sola».</w:t>
      </w:r>
    </w:p>
    <w:p>
      <w:pPr>
        <w:pStyle w:val="Compact"/>
        <w:numPr>
          <w:ilvl w:val="0"/>
          <w:numId w:val="1010"/>
        </w:numPr>
      </w:pPr>
      <w:r>
        <w:rPr>
          <w:b/>
          <w:bCs/>
        </w:rPr>
        <w:t xml:space="preserve">Non è celiachia, ulcera, infezione da Helicobacter, calcolosi, neoplasia.</w:t>
      </w:r>
      <w:r>
        <w:t xml:space="preserve"> </w:t>
      </w:r>
      <w:r>
        <w:t xml:space="preserve">Sono le cose che il percorso medico esclude, ed è il motivo per cui quel percorso viene prima. L’Helicobacter merita una riga a parte: non è solo una cosa da escludere, è l’unico fattore di rischio</w:t>
      </w:r>
      <w:r>
        <w:t xml:space="preserve"> </w:t>
      </w:r>
      <w:r>
        <w:rPr>
          <w:b/>
          <w:bCs/>
        </w:rPr>
        <w:t xml:space="preserve">curabile</w:t>
      </w:r>
      <w:r>
        <w:t xml:space="preserve"> </w:t>
      </w:r>
      <w:r>
        <w:t xml:space="preserve">di questo quadro, e va cercato prima dell’inibitore di pompa (Moayyedi,</w:t>
      </w:r>
      <w:r>
        <w:t xml:space="preserve"> </w:t>
      </w:r>
      <w:r>
        <w:rPr>
          <w:i/>
          <w:iCs/>
        </w:rPr>
        <w:t xml:space="preserve">Am J Gastroenterol</w:t>
      </w:r>
      <w:r>
        <w:t xml:space="preserve"> </w:t>
      </w:r>
      <w:r>
        <w:t xml:space="preserve">2017, PMID 28631728).</w:t>
      </w:r>
    </w:p>
    <w:p>
      <w:pPr>
        <w:pStyle w:val="Compact"/>
        <w:numPr>
          <w:ilvl w:val="0"/>
          <w:numId w:val="1010"/>
        </w:numPr>
      </w:pPr>
      <w:r>
        <w:rPr>
          <w:b/>
          <w:bCs/>
        </w:rPr>
        <w:t xml:space="preserve">Non è un disturbo psichiatrico.</w:t>
      </w:r>
      <w:r>
        <w:t xml:space="preserve"> </w:t>
      </w:r>
      <w:r>
        <w:t xml:space="preserve">L’ansia pesa e va nominata, ma non è la diagnosi.</w:t>
      </w:r>
    </w:p>
    <w:p>
      <w:pPr>
        <w:pStyle w:val="BlockText"/>
      </w:pPr>
      <w:r>
        <w:rPr>
          <w:b/>
          <w:bCs/>
        </w:rPr>
        <w:t xml:space="preserve">Attenzione.</w:t>
      </w:r>
      <w:r>
        <w:t xml:space="preserve"> </w:t>
      </w:r>
      <w:r>
        <w:t xml:space="preserve">Un sintomo che cambia carattere — sede, intensità, andamento — torna al triage dall’inizio, anche con la diagnosi già fatta. La regola sta per esteso in «Dove finisce il nostro campo».</w:t>
      </w:r>
    </w:p>
    <w:p>
      <w:pPr>
        <w:pStyle w:val="FirstParagraph"/>
      </w:pPr>
      <w:r>
        <w:rPr>
          <w:b/>
          <w:bCs/>
        </w:rPr>
        <w:t xml:space="preserve">Le tre cose da ricordare, più una</w:t>
      </w:r>
    </w:p>
    <w:p>
      <w:pPr>
        <w:pStyle w:val="Compact"/>
        <w:numPr>
          <w:ilvl w:val="0"/>
          <w:numId w:val="1011"/>
        </w:numPr>
      </w:pPr>
      <w:r>
        <w:t xml:space="preserve">Gonfiore percepito e distensione misurabile sono due cose diverse, e su questa distinzione poggia tutta la Bibbia. Il metro da sarto le separa in trenta secondi.</w:t>
      </w:r>
    </w:p>
    <w:p>
      <w:pPr>
        <w:pStyle w:val="Compact"/>
        <w:numPr>
          <w:ilvl w:val="0"/>
          <w:numId w:val="1011"/>
        </w:numPr>
      </w:pPr>
      <w:r>
        <w:t xml:space="preserve">«Funzionale» significa che il guasto è nel funzionamento. Dirlo con queste parole al paziente cambia la seduta.</w:t>
      </w:r>
    </w:p>
    <w:p>
      <w:pPr>
        <w:pStyle w:val="Compact"/>
        <w:numPr>
          <w:ilvl w:val="0"/>
          <w:numId w:val="1011"/>
        </w:numPr>
      </w:pPr>
      <w:r>
        <w:t xml:space="preserve">La sovrapposizione con l’intestino irritabile riguarda più di un paziente su tre: chiedi sempre dell’alvo, anche quando il motivo della visita è lo stomaco.</w:t>
      </w:r>
    </w:p>
    <w:p>
      <w:pPr>
        <w:pStyle w:val="Compact"/>
        <w:numPr>
          <w:ilvl w:val="0"/>
          <w:numId w:val="1011"/>
        </w:numPr>
      </w:pPr>
      <w:r>
        <w:rPr>
          <w:b/>
          <w:bCs/>
        </w:rPr>
        <w:t xml:space="preserve">Perché ci sei tu.</w:t>
      </w:r>
      <w:r>
        <w:t xml:space="preserve"> </w:t>
      </w:r>
      <w:r>
        <w:t xml:space="preserve">Su questa condizione una quota importante di pazienti, a dieci anni di distanza, non ha più sintomi senza che nessuno abbia fatto niente di specifico. Un’altra quota li ha semplicemente cambiati (Olafsdottir, 2012, PMID 22137573).</w:t>
      </w:r>
      <w:r>
        <w:t xml:space="preserve"> </w:t>
      </w:r>
      <w:r>
        <w:rPr>
          <w:b/>
          <w:bCs/>
        </w:rPr>
        <w:t xml:space="preserve">Per te:</w:t>
      </w:r>
      <w:r>
        <w:t xml:space="preserve"> </w:t>
      </w:r>
      <w:r>
        <w:t xml:space="preserve">una parte dei miglioramenti che vedrai non sarà tua. Questo ti autorizza a scegliere il marker prima di toccare e a rivalutarlo con la stessa misura. Non ti autorizza a leggere un miglioramento come prova che avevi ragione.</w:t>
      </w:r>
    </w:p>
    <w:p>
      <w:r>
        <w:pict>
          <v:rect style="width:0;height:1.5pt" o:hralign="center" o:hrstd="t" o:hr="t"/>
        </w:pict>
      </w:r>
    </w:p>
    <w:bookmarkEnd w:id="21"/>
    <w:bookmarkEnd w:id="22"/>
    <w:bookmarkStart w:id="29" w:name="capitolo-3-le-strutture-in-gioco"/>
    <w:p>
      <w:pPr>
        <w:pStyle w:val="Heading2"/>
      </w:pPr>
      <w:r>
        <w:t xml:space="preserve">Capitolo 3 — Le strutture in gioco</w:t>
      </w:r>
    </w:p>
    <w:p>
      <w:pPr>
        <w:pStyle w:val="BlockText"/>
      </w:pPr>
      <w:r>
        <w:rPr>
          <w:b/>
          <w:bCs/>
        </w:rPr>
        <w:t xml:space="preserve">In una riga:</w:t>
      </w:r>
      <w:r>
        <w:t xml:space="preserve"> </w:t>
      </w:r>
      <w:r>
        <w:t xml:space="preserve">in questa condizione il contenitore conta quanto il contenuto, e il contenitore è fatto di muscoli scheletrici che sai già toccare.</w:t>
      </w:r>
    </w:p>
    <w:p>
      <w:pPr>
        <w:pStyle w:val="FirstParagraph"/>
      </w:pPr>
      <w:r>
        <w:t xml:space="preserve">Sei strutture, con un solo criterio di inclusione: se non compare in un meccanismo di «Cosa si rompe», non entra.</w:t>
      </w:r>
    </w:p>
    <w:bookmarkStart w:id="23" w:name="il-diaframma"/>
    <w:p>
      <w:pPr>
        <w:pStyle w:val="Heading3"/>
      </w:pPr>
      <w:r>
        <w:t xml:space="preserve">Il diaframma</w:t>
      </w:r>
    </w:p>
    <w:p>
      <w:pPr>
        <w:pStyle w:val="FirstParagraph"/>
      </w:pPr>
      <w:r>
        <w:rPr>
          <w:b/>
          <w:bCs/>
        </w:rPr>
        <w:t xml:space="preserve">Cos’è.</w:t>
      </w:r>
      <w:r>
        <w:t xml:space="preserve"> </w:t>
      </w:r>
      <w:r>
        <w:t xml:space="preserve">Il muscolo che separa torace e addome. Ha una porzione costale sulle ultime coste e una porzione crurale, che avvolge la giunzione esofago-gastrica e si ancora ai corpi di L1-L3.</w:t>
      </w:r>
    </w:p>
    <w:p>
      <w:pPr>
        <w:pStyle w:val="BodyText"/>
      </w:pPr>
      <w:r>
        <w:rPr>
          <w:b/>
          <w:bCs/>
        </w:rPr>
        <w:t xml:space="preserve">Cosa fa.</w:t>
      </w:r>
      <w:r>
        <w:t xml:space="preserve"> </w:t>
      </w:r>
      <w:r>
        <w:t xml:space="preserve">Scende in inspirazione e risale in espirazione, dodici-sedici volte al minuto. È una pompa che lavora ventimila volte al giorno sul contenuto dell’addome.</w:t>
      </w:r>
    </w:p>
    <w:p>
      <w:pPr>
        <w:pStyle w:val="BodyText"/>
      </w:pPr>
      <w:r>
        <w:rPr>
          <w:b/>
          <w:bCs/>
        </w:rPr>
        <w:t xml:space="preserve">Perché conta qui.</w:t>
      </w:r>
      <w:r>
        <w:t xml:space="preserve"> </w:t>
      </w:r>
      <w:r>
        <w:t xml:space="preserve">Perché nella distensione funzionale fa l’opposto: si contrae e scende invece di rilasciarsi e risalire. Le misure stanno nel primo meccanismo.</w:t>
      </w:r>
    </w:p>
    <w:bookmarkEnd w:id="23"/>
    <w:bookmarkStart w:id="24" w:name="la-parete-addominale-anteriore"/>
    <w:p>
      <w:pPr>
        <w:pStyle w:val="Heading3"/>
      </w:pPr>
      <w:r>
        <w:t xml:space="preserve">La parete addominale anteriore</w:t>
      </w:r>
    </w:p>
    <w:p>
      <w:pPr>
        <w:pStyle w:val="FirstParagraph"/>
      </w:pPr>
      <w:r>
        <w:rPr>
          <w:b/>
          <w:bCs/>
        </w:rPr>
        <w:t xml:space="preserve">Cos’è.</w:t>
      </w:r>
      <w:r>
        <w:t xml:space="preserve"> </w:t>
      </w:r>
      <w:r>
        <w:t xml:space="preserve">I quattro strati — retto, obliqui, trasverso — che chiudono l’addome davanti.</w:t>
      </w:r>
    </w:p>
    <w:p>
      <w:pPr>
        <w:pStyle w:val="BodyText"/>
      </w:pPr>
      <w:r>
        <w:rPr>
          <w:b/>
          <w:bCs/>
        </w:rPr>
        <w:t xml:space="preserve">Cosa fa.</w:t>
      </w:r>
      <w:r>
        <w:t xml:space="preserve"> </w:t>
      </w:r>
      <w:r>
        <w:t xml:space="preserve">Contiene. Quando il volume interno aumenta si contrae, e il contenuto si redistribuisce verso l’alto sotto le coste invece di sporgere in avanti. È l’accomodazione addominale, un riflesso posturale.</w:t>
      </w:r>
    </w:p>
    <w:p>
      <w:pPr>
        <w:pStyle w:val="BodyText"/>
      </w:pPr>
      <w:r>
        <w:rPr>
          <w:b/>
          <w:bCs/>
        </w:rPr>
        <w:t xml:space="preserve">Perché conta qui.</w:t>
      </w:r>
      <w:r>
        <w:t xml:space="preserve"> </w:t>
      </w:r>
      <w:r>
        <w:t xml:space="preserve">Perché durante l’episodio fa anche lei l’opposto: si rilascia, e la pancia sporge (Barba,</w:t>
      </w:r>
      <w:r>
        <w:t xml:space="preserve"> </w:t>
      </w:r>
      <w:r>
        <w:rPr>
          <w:i/>
          <w:iCs/>
        </w:rPr>
        <w:t xml:space="preserve">Gastroenterology</w:t>
      </w:r>
      <w:r>
        <w:t xml:space="preserve"> </w:t>
      </w:r>
      <w:r>
        <w:t xml:space="preserve">2015, PMID 25500424).</w:t>
      </w:r>
    </w:p>
    <w:bookmarkEnd w:id="24"/>
    <w:bookmarkStart w:id="25" w:name="gli-intercostali"/>
    <w:p>
      <w:pPr>
        <w:pStyle w:val="Heading3"/>
      </w:pPr>
      <w:r>
        <w:t xml:space="preserve">Gli intercostali</w:t>
      </w:r>
    </w:p>
    <w:p>
      <w:pPr>
        <w:pStyle w:val="FirstParagraph"/>
      </w:pPr>
      <w:r>
        <w:rPr>
          <w:b/>
          <w:bCs/>
        </w:rPr>
        <w:t xml:space="preserve">Cos’è.</w:t>
      </w:r>
      <w:r>
        <w:t xml:space="preserve"> </w:t>
      </w:r>
      <w:r>
        <w:t xml:space="preserve">I muscoli fra le coste, quelli che allargano e restringono la gabbia.</w:t>
      </w:r>
    </w:p>
    <w:p>
      <w:pPr>
        <w:pStyle w:val="BodyText"/>
      </w:pPr>
      <w:r>
        <w:rPr>
          <w:b/>
          <w:bCs/>
        </w:rPr>
        <w:t xml:space="preserve">Cosa fa.</w:t>
      </w:r>
      <w:r>
        <w:t xml:space="preserve"> </w:t>
      </w:r>
      <w:r>
        <w:t xml:space="preserve">Modulano il volume toracico insieme al diaframma.</w:t>
      </w:r>
    </w:p>
    <w:p>
      <w:pPr>
        <w:pStyle w:val="BodyText"/>
      </w:pPr>
      <w:r>
        <w:rPr>
          <w:b/>
          <w:bCs/>
        </w:rPr>
        <w:t xml:space="preserve">Perché conta qui.</w:t>
      </w:r>
      <w:r>
        <w:t xml:space="preserve"> </w:t>
      </w:r>
      <w:r>
        <w:t xml:space="preserve">Durante l’episodio si contraggono: il torace si allarga e il volume polmonare aumenta di mezzo litro. Nell’intervento che funziona la loro attività scende (Barba,</w:t>
      </w:r>
      <w:r>
        <w:t xml:space="preserve"> </w:t>
      </w:r>
      <w:r>
        <w:rPr>
          <w:i/>
          <w:iCs/>
        </w:rPr>
        <w:t xml:space="preserve">Clin Gastroenterol Hepatol</w:t>
      </w:r>
      <w:r>
        <w:t xml:space="preserve"> </w:t>
      </w:r>
      <w:r>
        <w:t xml:space="preserve">2017, PMID 28705783).</w:t>
      </w:r>
    </w:p>
    <w:bookmarkEnd w:id="25"/>
    <w:bookmarkStart w:id="26" w:name="il-fondo-gastrico"/>
    <w:p>
      <w:pPr>
        <w:pStyle w:val="Heading3"/>
      </w:pPr>
      <w:r>
        <w:t xml:space="preserve">Il fondo gastrico</w:t>
      </w:r>
    </w:p>
    <w:p>
      <w:pPr>
        <w:pStyle w:val="FirstParagraph"/>
      </w:pPr>
      <w:r>
        <w:rPr>
          <w:b/>
          <w:bCs/>
        </w:rPr>
        <w:t xml:space="preserve">Cos’è.</w:t>
      </w:r>
      <w:r>
        <w:t xml:space="preserve"> </w:t>
      </w:r>
      <w:r>
        <w:t xml:space="preserve">La parte alta e larga dello stomaco, sotto la cupola diaframmatica sinistra.</w:t>
      </w:r>
    </w:p>
    <w:p>
      <w:pPr>
        <w:pStyle w:val="BodyText"/>
      </w:pPr>
      <w:r>
        <w:rPr>
          <w:b/>
          <w:bCs/>
        </w:rPr>
        <w:t xml:space="preserve">Cosa fa.</w:t>
      </w:r>
      <w:r>
        <w:t xml:space="preserve"> </w:t>
      </w:r>
      <w:r>
        <w:t xml:space="preserve">Si rilascia quando arriva il cibo, per un riflesso vago-vagale mediato da ossido nitrico e VIP. Così il volume aumenta senza che la pressione salga. È un rilasciamento</w:t>
      </w:r>
      <w:r>
        <w:t xml:space="preserve"> </w:t>
      </w:r>
      <w:r>
        <w:rPr>
          <w:b/>
          <w:bCs/>
        </w:rPr>
        <w:t xml:space="preserve">attivo</w:t>
      </w:r>
      <w:r>
        <w:t xml:space="preserve">, e lo senti solo quando non funziona.</w:t>
      </w:r>
    </w:p>
    <w:p>
      <w:pPr>
        <w:pStyle w:val="BodyText"/>
      </w:pPr>
      <w:r>
        <w:rPr>
          <w:b/>
          <w:bCs/>
        </w:rPr>
        <w:t xml:space="preserve">Perché conta qui.</w:t>
      </w:r>
      <w:r>
        <w:t xml:space="preserve"> </w:t>
      </w:r>
      <w:r>
        <w:t xml:space="preserve">Nel 40% dei pazienti con dispepsia funzionale non si rilascia abbastanza, ed è quello il difetto associato alla sazietà precoce (Tack,</w:t>
      </w:r>
      <w:r>
        <w:t xml:space="preserve"> </w:t>
      </w:r>
      <w:r>
        <w:rPr>
          <w:i/>
          <w:iCs/>
        </w:rPr>
        <w:t xml:space="preserve">Gastroenterology</w:t>
      </w:r>
      <w:r>
        <w:t xml:space="preserve"> </w:t>
      </w:r>
      <w:r>
        <w:t xml:space="preserve">1998, PMID 9834261).</w:t>
      </w:r>
    </w:p>
    <w:bookmarkEnd w:id="26"/>
    <w:bookmarkStart w:id="27" w:name="lantro-il-piloro-e-il-duodeno"/>
    <w:p>
      <w:pPr>
        <w:pStyle w:val="Heading3"/>
      </w:pPr>
      <w:r>
        <w:t xml:space="preserve">L’antro, il piloro e il duodeno</w:t>
      </w:r>
    </w:p>
    <w:p>
      <w:pPr>
        <w:pStyle w:val="FirstParagraph"/>
      </w:pPr>
      <w:r>
        <w:rPr>
          <w:b/>
          <w:bCs/>
        </w:rPr>
        <w:t xml:space="preserve">Cos’è.</w:t>
      </w:r>
      <w:r>
        <w:t xml:space="preserve"> </w:t>
      </w:r>
      <w:r>
        <w:t xml:space="preserve">La parte bassa dello stomaco che macina, la valvola che dosa, il tratto di intestino che riceve.</w:t>
      </w:r>
    </w:p>
    <w:p>
      <w:pPr>
        <w:pStyle w:val="BodyText"/>
      </w:pPr>
      <w:r>
        <w:rPr>
          <w:b/>
          <w:bCs/>
        </w:rPr>
        <w:t xml:space="preserve">Cosa fa.</w:t>
      </w:r>
      <w:r>
        <w:t xml:space="preserve"> </w:t>
      </w:r>
      <w:r>
        <w:t xml:space="preserve">L’antro tritura. Il piloro lascia passare piccole quantità alla volta. Il duodeno misura le calorie in arrivo e frena a monte: più grasso arriva, più rallenta lo stomaco.</w:t>
      </w:r>
    </w:p>
    <w:p>
      <w:pPr>
        <w:pStyle w:val="BodyText"/>
      </w:pPr>
      <w:r>
        <w:rPr>
          <w:b/>
          <w:bCs/>
        </w:rPr>
        <w:t xml:space="preserve">Perché conta qui.</w:t>
      </w:r>
      <w:r>
        <w:t xml:space="preserve"> </w:t>
      </w:r>
      <w:r>
        <w:t xml:space="preserve">Perché il sensore è il duodeno, non lo stomaco. Il freno è mediato dalla colecistochinina, un messaggero rilasciato dalla mucosa. Se si perfonde il duodeno con lipidi, nei pazienti la risposta di quel messaggero è diversa da quella dei sani (van Boxel,</w:t>
      </w:r>
      <w:r>
        <w:t xml:space="preserve"> </w:t>
      </w:r>
      <w:r>
        <w:rPr>
          <w:i/>
          <w:iCs/>
        </w:rPr>
        <w:t xml:space="preserve">Eur J Gastroenterol Hepatol</w:t>
      </w:r>
      <w:r>
        <w:t xml:space="preserve"> </w:t>
      </w:r>
      <w:r>
        <w:t xml:space="preserve">2014, PMID 24252886). Ed è lì che si misura la barriera alterata del quinto meccanismo.</w:t>
      </w:r>
    </w:p>
    <w:bookmarkEnd w:id="27"/>
    <w:bookmarkStart w:id="28" w:name="le-vie-nervose-t5-t9-e-c3-c5"/>
    <w:p>
      <w:pPr>
        <w:pStyle w:val="Heading3"/>
      </w:pPr>
      <w:r>
        <w:t xml:space="preserve">Le vie nervose: T5-T9 e C3-C5</w:t>
      </w:r>
    </w:p>
    <w:p>
      <w:pPr>
        <w:pStyle w:val="FirstParagraph"/>
      </w:pPr>
      <w:r>
        <w:rPr>
          <w:b/>
          <w:bCs/>
        </w:rPr>
        <w:t xml:space="preserve">Cos’è.</w:t>
      </w:r>
      <w:r>
        <w:t xml:space="preserve"> </w:t>
      </w:r>
      <w:r>
        <w:t xml:space="preserve">Due strade che partono da questa regione e arrivano in due posti diversi.</w:t>
      </w:r>
    </w:p>
    <w:p>
      <w:pPr>
        <w:pStyle w:val="BodyText"/>
      </w:pPr>
      <w:r>
        <w:rPr>
          <w:b/>
          <w:bCs/>
        </w:rPr>
        <w:t xml:space="preserve">Cosa fa.</w:t>
      </w:r>
      <w:r>
        <w:t xml:space="preserve"> </w:t>
      </w:r>
      <w:r>
        <w:t xml:space="preserve">Le afferenze spinali di stomaco ed esofago distale viaggiano con il</w:t>
      </w:r>
      <w:r>
        <w:t xml:space="preserve"> </w:t>
      </w:r>
      <w:r>
        <w:rPr>
          <w:b/>
          <w:bCs/>
        </w:rPr>
        <w:t xml:space="preserve">grande nervo splancnico, T5-T9</w:t>
      </w:r>
      <w:r>
        <w:t xml:space="preserve">: la zona di riferimento è dorsale media ed epigastrica. Il</w:t>
      </w:r>
      <w:r>
        <w:t xml:space="preserve"> </w:t>
      </w:r>
      <w:r>
        <w:rPr>
          <w:b/>
          <w:bCs/>
        </w:rPr>
        <w:t xml:space="preserve">nervo frenico, C3-C5</w:t>
      </w:r>
      <w:r>
        <w:t xml:space="preserve">, innerva il diaframma: porta a spalla e collo l’irritazione del peritoneo diaframmatico, ed è il braccio</w:t>
      </w:r>
      <w:r>
        <w:t xml:space="preserve"> </w:t>
      </w:r>
      <w:r>
        <w:rPr>
          <w:b/>
          <w:bCs/>
        </w:rPr>
        <w:t xml:space="preserve">efferente</w:t>
      </w:r>
      <w:r>
        <w:t xml:space="preserve"> </w:t>
      </w:r>
      <w:r>
        <w:t xml:space="preserve">della manovra sbagliata del primo meccanismo.</w:t>
      </w:r>
    </w:p>
    <w:p>
      <w:pPr>
        <w:pStyle w:val="BodyText"/>
      </w:pPr>
      <w:r>
        <w:rPr>
          <w:b/>
          <w:bCs/>
        </w:rPr>
        <w:t xml:space="preserve">Perché conta qui — ed è la chicca del capitolo.</w:t>
      </w:r>
      <w:r>
        <w:t xml:space="preserve"> </w:t>
      </w:r>
      <w:r>
        <w:t xml:space="preserve">Le due vie vengono confuse continuamente. Lo stomaco proietta su</w:t>
      </w:r>
      <w:r>
        <w:t xml:space="preserve"> </w:t>
      </w:r>
      <w:r>
        <w:rPr>
          <w:b/>
          <w:bCs/>
        </w:rPr>
        <w:t xml:space="preserve">T5-T9</w:t>
      </w:r>
      <w:r>
        <w:t xml:space="preserve">: chi cerca la zona riflessa gastrica in cervicale bassa cerca in un segmento che non la riceve, come chi si mette in fila allo sportello sbagliato. Il collegamento collo-diaframma esiste, è frenico, ed è una via</w:t>
      </w:r>
      <w:r>
        <w:t xml:space="preserve"> </w:t>
      </w:r>
      <w:r>
        <w:rPr>
          <w:b/>
          <w:bCs/>
        </w:rPr>
        <w:t xml:space="preserve">diaframmatica</w:t>
      </w:r>
      <w:r>
        <w:t xml:space="preserve">, non gastrica.</w:t>
      </w:r>
    </w:p>
    <w:p>
      <w:pPr>
        <w:pStyle w:val="BodyText"/>
      </w:pPr>
      <w:r>
        <w:t xml:space="preserve">E le due strade non portano le stesse sensazioni. Le afferenze</w:t>
      </w:r>
      <w:r>
        <w:t xml:space="preserve"> </w:t>
      </w:r>
      <w:r>
        <w:rPr>
          <w:b/>
          <w:bCs/>
        </w:rPr>
        <w:t xml:space="preserve">vagali</w:t>
      </w:r>
      <w:r>
        <w:t xml:space="preserve"> </w:t>
      </w:r>
      <w:r>
        <w:t xml:space="preserve">portano il non doloroso: pienezza, sazietà, nausea. È il canale della sindrome da distress postprandiale. Il dolore viscerale viaggia sulle afferenze</w:t>
      </w:r>
      <w:r>
        <w:t xml:space="preserve"> </w:t>
      </w:r>
      <w:r>
        <w:rPr>
          <w:b/>
          <w:bCs/>
        </w:rPr>
        <w:t xml:space="preserve">spinali splancniche T5-T9</w:t>
      </w:r>
      <w:r>
        <w:t xml:space="preserve">, ed è il canale del dolore epigastrico. Due strade, due aspettative diverse su cosa può muovere una mano.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l’anatomia funzionale delle afferenze vagali viene da studi di tracciamento nel ratto e nel gatto (Berthoud e Neuhuber,</w:t>
      </w:r>
      <w:r>
        <w:t xml:space="preserve"> </w:t>
      </w:r>
      <w:r>
        <w:rPr>
          <w:i/>
          <w:iCs/>
        </w:rPr>
        <w:t xml:space="preserve">Auton Neurosci</w:t>
      </w:r>
      <w:r>
        <w:t xml:space="preserve"> </w:t>
      </w:r>
      <w:r>
        <w:t xml:space="preserve">2000, PMID 11189015): il salto è di</w:t>
      </w:r>
      <w:r>
        <w:t xml:space="preserve"> </w:t>
      </w:r>
      <w:r>
        <w:rPr>
          <w:b/>
          <w:bCs/>
        </w:rPr>
        <w:t xml:space="preserve">specie</w:t>
      </w:r>
      <w:r>
        <w:t xml:space="preserve">. Nel vago sottodiaframmatico le afferenti sono circa due terzi del totale; la quota vicina all’80% riguarda il vago cervicale. E il conteggio delle fibre non predice cosa si sposta: la metà efferente di quel vago è il motore dell’accomodazione gastrica.</w:t>
      </w:r>
    </w:p>
    <w:p>
      <w:pPr>
        <w:pStyle w:val="BlockText"/>
      </w:pPr>
      <w:r>
        <w:rPr>
          <w:b/>
          <w:bCs/>
        </w:rPr>
        <w:t xml:space="preserve">Attenzione — la zona dove questa teoria manda le mani.</w:t>
      </w:r>
      <w:r>
        <w:t xml:space="preserve"> </w:t>
      </w:r>
      <w:r>
        <w:t xml:space="preserve">Questo capitolo toglie le mani dalla cervicale e le manda sul dorso medio, ed è la scelta giusta sul piano fisiologico. Sappi cosa c’è lì: il rachide dorsale ha un profilo di eventi avversi raro ma documentato — 21 eventi dorsali unici su 19 studi, fra cui pneumotorace, fratture, lesioni midollari e quattro decessi (Heneghan,</w:t>
      </w:r>
      <w:r>
        <w:t xml:space="preserve"> </w:t>
      </w:r>
      <w:r>
        <w:rPr>
          <w:i/>
          <w:iCs/>
        </w:rPr>
        <w:t xml:space="preserve">J Man Manip Ther</w:t>
      </w:r>
      <w:r>
        <w:t xml:space="preserve"> </w:t>
      </w:r>
      <w:r>
        <w:t xml:space="preserve">2020, PMID 32148185). Quel profilo è indipendente dalla condizione digestiva. E sapere che la zona riflessa sta lì</w:t>
      </w:r>
      <w:r>
        <w:t xml:space="preserve"> </w:t>
      </w:r>
      <w:r>
        <w:rPr>
          <w:b/>
          <w:bCs/>
        </w:rPr>
        <w:t xml:space="preserve">non autorizza nessuna scelta di tecnica</w:t>
      </w:r>
      <w:r>
        <w:t xml:space="preserve">: quella decisione sta nella Procedura.</w:t>
      </w:r>
    </w:p>
    <w:p>
      <w:pPr>
        <w:pStyle w:val="FirstParagraph"/>
      </w:pPr>
      <w:r>
        <w:rPr>
          <w:b/>
          <w:bCs/>
        </w:rPr>
        <w:t xml:space="preserve">Le tre cose da ricordare, più una</w:t>
      </w:r>
    </w:p>
    <w:p>
      <w:pPr>
        <w:pStyle w:val="Compact"/>
        <w:numPr>
          <w:ilvl w:val="0"/>
          <w:numId w:val="1012"/>
        </w:numPr>
      </w:pPr>
      <w:r>
        <w:t xml:space="preserve">Tre dei sei attori — diaframma, parete addominale, intercostali — sono muscoli scheletrici. Il contenitore è nel tuo dominio anche quando il contenuto non lo è.</w:t>
      </w:r>
    </w:p>
    <w:p>
      <w:pPr>
        <w:pStyle w:val="Compact"/>
        <w:numPr>
          <w:ilvl w:val="0"/>
          <w:numId w:val="1012"/>
        </w:numPr>
      </w:pPr>
      <w:r>
        <w:t xml:space="preserve">Lo stomaco proietta su T5-T9. La cervicale bassa non c’entra, e cercarla lì costa una seduta.</w:t>
      </w:r>
    </w:p>
    <w:p>
      <w:pPr>
        <w:pStyle w:val="Compact"/>
        <w:numPr>
          <w:ilvl w:val="0"/>
          <w:numId w:val="1012"/>
        </w:numPr>
      </w:pPr>
      <w:r>
        <w:t xml:space="preserve">Il sensore del pasto è il duodeno, non lo stomaco. È il motivo per cui il grasso pesa più della quantità.</w:t>
      </w:r>
    </w:p>
    <w:p>
      <w:pPr>
        <w:pStyle w:val="Compact"/>
        <w:numPr>
          <w:ilvl w:val="0"/>
          <w:numId w:val="1012"/>
        </w:numPr>
      </w:pPr>
      <w:r>
        <w:rPr>
          <w:b/>
          <w:bCs/>
        </w:rPr>
        <w:t xml:space="preserve">Perché ci sei tu.</w:t>
      </w:r>
      <w:r>
        <w:t xml:space="preserve"> </w:t>
      </w:r>
      <w:r>
        <w:t xml:space="preserve">Durante un episodio reale di pancia gonfia, diaframma e parete si muovono in modo misurabile, con tomografia computerizzata ed elettromiografia: i numeri stanno nel primo meccanismo di «Cosa si rompe» (Barba, 2015, PMID 25500424).</w:t>
      </w:r>
      <w:r>
        <w:t xml:space="preserve"> </w:t>
      </w:r>
      <w:r>
        <w:rPr>
          <w:b/>
          <w:bCs/>
        </w:rPr>
        <w:t xml:space="preserve">Per te:</w:t>
      </w:r>
      <w:r>
        <w:t xml:space="preserve"> </w:t>
      </w:r>
      <w:r>
        <w:t xml:space="preserve">una struttura muscolo-scheletrica sta dentro la fisiopatologia di questo sintomo, con misura diretta nell’uomo. Questo ti autorizza a considerare diaframma e parete un bersaglio legittimo. Non ti autorizza a dire che stai trattando lo stomaco.</w:t>
      </w:r>
    </w:p>
    <w:p>
      <w:r>
        <w:pict>
          <v:rect style="width:0;height:1.5pt" o:hralign="center" o:hrstd="t" o:hr="t"/>
        </w:pict>
      </w:r>
    </w:p>
    <w:bookmarkEnd w:id="28"/>
    <w:bookmarkEnd w:id="29"/>
    <w:bookmarkStart w:id="30"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digerire è un lavoro di coordinazione fra un contenitore che cambia forma, una valvola che dosa e un sensore che frena — e nessuno dei tre lo devi sentire.</w:t>
      </w:r>
    </w:p>
    <w:p>
      <w:pPr>
        <w:pStyle w:val="FirstParagraph"/>
      </w:pPr>
      <w:r>
        <w:t xml:space="preserve">La sequenza normale, dal pensiero del pasto alla fine della digestione.</w:t>
      </w:r>
    </w:p>
    <w:p>
      <w:pPr>
        <w:pStyle w:val="Compact"/>
        <w:numPr>
          <w:ilvl w:val="0"/>
          <w:numId w:val="1013"/>
        </w:numPr>
      </w:pPr>
      <w:r>
        <w:rPr>
          <w:b/>
          <w:bCs/>
        </w:rPr>
        <w:t xml:space="preserve">Prima ancora di mangiare, lo stomaco si prepara.</w:t>
      </w:r>
      <w:r>
        <w:t xml:space="preserve"> </w:t>
      </w:r>
      <w:r>
        <w:t xml:space="preserve">La vista e l’odore del cibo attivano per via vagale la fase cefalica: aumenta la secrezione e il fondo comincia a rilasciarsi. Chi mangia in piedi, in fretta o davanti a uno schermo salta quella fase, e arriva al boccone con lo stomaco non preparato.</w:t>
      </w:r>
    </w:p>
    <w:p>
      <w:pPr>
        <w:pStyle w:val="Compact"/>
        <w:numPr>
          <w:ilvl w:val="0"/>
          <w:numId w:val="1013"/>
        </w:numPr>
      </w:pPr>
      <w:r>
        <w:rPr>
          <w:b/>
          <w:bCs/>
        </w:rPr>
        <w:t xml:space="preserve">Il pasto arriva e il fondo si allarga.</w:t>
      </w:r>
      <w:r>
        <w:t xml:space="preserve"> </w:t>
      </w:r>
      <w:r>
        <w:t xml:space="preserve">È l’accomodazione gastrica: il volume dentro lo stomaco aumenta di centinaia di millilitri</w:t>
      </w:r>
      <w:r>
        <w:t xml:space="preserve"> </w:t>
      </w:r>
      <w:r>
        <w:rPr>
          <w:b/>
          <w:bCs/>
        </w:rPr>
        <w:t xml:space="preserve">senza che la pressione salga</w:t>
      </w:r>
      <w:r>
        <w:t xml:space="preserve">. È il motivo per cui puoi mangiare un piatto intero senza sentire niente.</w:t>
      </w:r>
    </w:p>
    <w:p>
      <w:pPr>
        <w:pStyle w:val="Compact"/>
        <w:numPr>
          <w:ilvl w:val="0"/>
          <w:numId w:val="1013"/>
        </w:numPr>
      </w:pPr>
      <w:r>
        <w:rPr>
          <w:b/>
          <w:bCs/>
        </w:rPr>
        <w:t xml:space="preserve">L’antro macina e il piloro dosa</w:t>
      </w:r>
      <w:r>
        <w:t xml:space="preserve">, qualche millilitro alla volta.</w:t>
      </w:r>
    </w:p>
    <w:p>
      <w:pPr>
        <w:pStyle w:val="Compact"/>
        <w:numPr>
          <w:ilvl w:val="0"/>
          <w:numId w:val="1013"/>
        </w:numPr>
      </w:pPr>
      <w:r>
        <w:rPr>
          <w:b/>
          <w:bCs/>
        </w:rPr>
        <w:t xml:space="preserve">Il duodeno misura le calorie in arrivo e frena lo stomaco a monte.</w:t>
      </w:r>
      <w:r>
        <w:t xml:space="preserve"> </w:t>
      </w:r>
      <w:r>
        <w:t xml:space="preserve">Un pasto grasso passa più lentamente di uno magro, ed è normale.</w:t>
      </w:r>
    </w:p>
    <w:p>
      <w:pPr>
        <w:pStyle w:val="Compact"/>
        <w:numPr>
          <w:ilvl w:val="0"/>
          <w:numId w:val="1013"/>
        </w:numPr>
      </w:pPr>
      <w:r>
        <w:rPr>
          <w:b/>
          <w:bCs/>
        </w:rPr>
        <w:t xml:space="preserve">Il diaframma fa la pompa</w:t>
      </w:r>
      <w:r>
        <w:t xml:space="preserve">, dodici-sedici volte al minuto, e a ogni ciclo la pressione dentro l’addome cambia.</w:t>
      </w:r>
    </w:p>
    <w:p>
      <w:pPr>
        <w:pStyle w:val="Compact"/>
        <w:numPr>
          <w:ilvl w:val="0"/>
          <w:numId w:val="1013"/>
        </w:numPr>
      </w:pPr>
      <w:r>
        <w:rPr>
          <w:b/>
          <w:bCs/>
        </w:rPr>
        <w:t xml:space="preserve">La parete si adatta al volume:</w:t>
      </w:r>
      <w:r>
        <w:t xml:space="preserve"> </w:t>
      </w:r>
      <w:r>
        <w:t xml:space="preserve">si contrae e lo redistribuisce verso l’alto, dentro la gabbia toracica. La pancia non sporge.</w:t>
      </w:r>
    </w:p>
    <w:p>
      <w:pPr>
        <w:pStyle w:val="Compact"/>
        <w:numPr>
          <w:ilvl w:val="0"/>
          <w:numId w:val="1013"/>
        </w:numPr>
      </w:pPr>
      <w:r>
        <w:rPr>
          <w:b/>
          <w:bCs/>
        </w:rPr>
        <w:t xml:space="preserve">Tutto questo arriva al cervello, e non lo senti.</w:t>
      </w:r>
      <w:r>
        <w:t xml:space="preserve"> </w:t>
      </w:r>
      <w:r>
        <w:t xml:space="preserve">Le afferenze vagali portano al tronco encefalico la distensione, la composizione chimica e la temperatura di quello che è entrato. Il segnale c’è ed è continuo, e resta sotto la soglia della coscienza.</w:t>
      </w:r>
    </w:p>
    <w:p>
      <w:pPr>
        <w:pStyle w:val="FirstParagraph"/>
      </w:pPr>
      <w:r>
        <w:t xml:space="preserve">Il punto 7 è quello che va tenuto.</w:t>
      </w:r>
      <w:r>
        <w:t xml:space="preserve"> </w:t>
      </w:r>
      <w:r>
        <w:rPr>
          <w:b/>
          <w:bCs/>
        </w:rPr>
        <w:t xml:space="preserve">Un sistema digerente sano non è silenzioso: è un sistema il cui rumore resta sotto soglia.</w:t>
      </w:r>
      <w:r>
        <w:t xml:space="preserve"> </w:t>
      </w:r>
      <w:r>
        <w:t xml:space="preserve">È la lavastoviglie che gira in cucina: fa rumore tutta la sera, e nessuno ci fa caso. Questo è il sistema che funziona; ora vediamo dove si rompe.</w:t>
      </w:r>
    </w:p>
    <w:p>
      <w:pPr>
        <w:pStyle w:val="BodyText"/>
      </w:pPr>
      <w:r>
        <w:rPr>
          <w:b/>
          <w:bCs/>
        </w:rPr>
        <w:t xml:space="preserve">Le tre cose da ricordare, più una</w:t>
      </w:r>
    </w:p>
    <w:p>
      <w:pPr>
        <w:pStyle w:val="Compact"/>
        <w:numPr>
          <w:ilvl w:val="0"/>
          <w:numId w:val="1014"/>
        </w:numPr>
      </w:pPr>
      <w:r>
        <w:t xml:space="preserve">L’accomodazione è la ragione per cui mangiare non fa male. Quando manca, il sintomo è la sazietà precoce e non il dolore.</w:t>
      </w:r>
    </w:p>
    <w:p>
      <w:pPr>
        <w:pStyle w:val="Compact"/>
        <w:numPr>
          <w:ilvl w:val="0"/>
          <w:numId w:val="1014"/>
        </w:numPr>
      </w:pPr>
      <w:r>
        <w:t xml:space="preserve">Il freno del pasto lo mette il duodeno in base alle calorie, non lo stomaco in base al volume. Il grasso rallenta, ed è fisiologia.</w:t>
      </w:r>
    </w:p>
    <w:p>
      <w:pPr>
        <w:pStyle w:val="Compact"/>
        <w:numPr>
          <w:ilvl w:val="0"/>
          <w:numId w:val="1014"/>
        </w:numPr>
      </w:pPr>
      <w:r>
        <w:t xml:space="preserve">La parete addominale, in condizioni normali, spinge il volume verso l’alto. Quando fa il contrario, la pancia si vede.</w:t>
      </w:r>
    </w:p>
    <w:p>
      <w:pPr>
        <w:pStyle w:val="Compact"/>
        <w:numPr>
          <w:ilvl w:val="0"/>
          <w:numId w:val="1014"/>
        </w:numPr>
      </w:pPr>
      <w:r>
        <w:rPr>
          <w:b/>
          <w:bCs/>
        </w:rPr>
        <w:t xml:space="preserve">Perché ci sei tu.</w:t>
      </w:r>
      <w:r>
        <w:t xml:space="preserve"> </w:t>
      </w:r>
      <w:r>
        <w:t xml:space="preserve">Il respiro lento volontario amplifica l’oscillazione respiratoria del battito cardiaco, per risonanza con il barocettore attorno a sei atti al minuto: su 223 studi la variabilità della frequenza cardiaca sale durante l’esercizio e nei minuti successivi (Laborde,</w:t>
      </w:r>
      <w:r>
        <w:t xml:space="preserve"> </w:t>
      </w:r>
      <w:r>
        <w:rPr>
          <w:i/>
          <w:iCs/>
        </w:rPr>
        <w:t xml:space="preserve">Neurosci Biobehav Rev</w:t>
      </w:r>
      <w:r>
        <w:t xml:space="preserve"> </w:t>
      </w:r>
      <w:r>
        <w:t xml:space="preserve">2022, PMID 35623448). Ci sono due salti. Di</w:t>
      </w:r>
      <w:r>
        <w:t xml:space="preserve"> </w:t>
      </w:r>
      <w:r>
        <w:rPr>
          <w:b/>
          <w:bCs/>
        </w:rPr>
        <w:t xml:space="preserve">popolazione</w:t>
      </w:r>
      <w:r>
        <w:t xml:space="preserve">, perché sono volontari e non pazienti con questa condizione. E di</w:t>
      </w:r>
      <w:r>
        <w:t xml:space="preserve"> </w:t>
      </w:r>
      <w:r>
        <w:rPr>
          <w:b/>
          <w:bCs/>
        </w:rPr>
        <w:t xml:space="preserve">organo</w:t>
      </w:r>
      <w:r>
        <w:t xml:space="preserve">, perché è una misura cardiaca e non dice niente sul vago dello stomaco.</w:t>
      </w:r>
      <w:r>
        <w:t xml:space="preserve"> </w:t>
      </w:r>
      <w:r>
        <w:rPr>
          <w:b/>
          <w:bCs/>
        </w:rPr>
        <w:t xml:space="preserve">Per te:</w:t>
      </w:r>
      <w:r>
        <w:t xml:space="preserve"> </w:t>
      </w:r>
      <w:r>
        <w:t xml:space="preserve">hai uno strumento che agisce sullo stato del sistema, e sai insegnarlo. Questo ti autorizza a metterlo dentro il ciclo. Non ti autorizza a dire che così normalizzi la digestione, né che alzi «il tono vagale».</w:t>
      </w:r>
    </w:p>
    <w:p>
      <w:r>
        <w:pict>
          <v:rect style="width:0;height:1.5pt" o:hralign="center" o:hrstd="t" o:hr="t"/>
        </w:pict>
      </w:r>
    </w:p>
    <w:bookmarkEnd w:id="30"/>
    <w:bookmarkStart w:id="36"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guasti diversi producono lo stesso racconto, e solo uno dei cinque è fatto di muscoli che puoi toccare.</w:t>
      </w:r>
    </w:p>
    <w:p>
      <w:pPr>
        <w:pStyle w:val="FirstParagraph"/>
      </w:pPr>
      <w:r>
        <w:t xml:space="preserve">Cinque meccanismi, ordinati</w:t>
      </w:r>
      <w:r>
        <w:t xml:space="preserve"> </w:t>
      </w:r>
      <w:r>
        <w:rPr>
          <w:b/>
          <w:bCs/>
        </w:rPr>
        <w:t xml:space="preserve">dal più solido al meno solido</w:t>
      </w:r>
      <w:r>
        <w:t xml:space="preserve">. Su tre dei cinque l’etichetta si spezza, sempre per la stessa ragione: il fenomeno è misurato bene nell’uomo, l’effetto di una mano su quel fenomeno non è misurato affatto.</w:t>
      </w:r>
    </w:p>
    <w:p>
      <w:pPr>
        <w:pStyle w:val="BodyText"/>
      </w:pPr>
      <w:r>
        <w:rPr>
          <w:b/>
          <w:bCs/>
        </w:rPr>
        <w:t xml:space="preserve">La storia che li lega è una sola: il sintomo compare quando il rumore del sistema passa la soglia.</w:t>
      </w:r>
      <w:r>
        <w:t xml:space="preserve"> </w:t>
      </w:r>
      <w:r>
        <w:t xml:space="preserve">Il rumore cresce nel secondo, nel terzo e nel quinto meccanismo. La soglia scende nel quarto. E il primo è la risposta motoria sbagliata a quel rumore, l’unica fatta di muscoli.</w:t>
      </w:r>
    </w:p>
    <w:p>
      <w:r>
        <w:pict>
          <v:rect style="width:0;height:1.5pt" o:hralign="center" o:hrstd="t" o:hr="t"/>
        </w:pict>
      </w:r>
    </w:p>
    <w:bookmarkStart w:id="31" w:name="Xded4f9dd7df774df34ef2a75c34db9ab755421a"/>
    <w:p>
      <w:pPr>
        <w:pStyle w:val="Heading3"/>
      </w:pPr>
      <w:r>
        <w:t xml:space="preserve">1. La pancia che cresce senza che sia entrato niente</w:t>
      </w:r>
    </w:p>
    <w:p>
      <w:pPr>
        <w:pStyle w:val="FirstParagraph"/>
      </w:pPr>
      <w:r>
        <w:rPr>
          <w:b/>
          <w:bCs/>
        </w:rPr>
        <w:t xml:space="preserve">La sequenza.</w:t>
      </w:r>
    </w:p>
    <w:p>
      <w:pPr>
        <w:pStyle w:val="Compact"/>
        <w:numPr>
          <w:ilvl w:val="0"/>
          <w:numId w:val="1015"/>
        </w:numPr>
      </w:pPr>
      <w:r>
        <w:t xml:space="preserve">Il contenuto distende, e l’afferenza viscerale porta al tronco encefalico un segnale di gonfiore. In questo paziente quel segnale arriva sopra soglia con volumi che altri non sentirebbero. L’innesco non è il pasto: è il segnale, e parte anche con la sola insufflazione di gas o con l’aspettativa.</w:t>
      </w:r>
    </w:p>
    <w:p>
      <w:pPr>
        <w:pStyle w:val="Compact"/>
        <w:numPr>
          <w:ilvl w:val="0"/>
          <w:numId w:val="1015"/>
        </w:numPr>
      </w:pPr>
      <w:r>
        <w:t xml:space="preserve">Su quel segnale parte una risposta motoria paradossa. Il diaframma, per via frenica,</w:t>
      </w:r>
      <w:r>
        <w:t xml:space="preserve"> </w:t>
      </w:r>
      <w:r>
        <w:rPr>
          <w:b/>
          <w:bCs/>
        </w:rPr>
        <w:t xml:space="preserve">si contrae e scende</w:t>
      </w:r>
      <w:r>
        <w:t xml:space="preserve">: 12 millimetri, con un aumento del 19% dell’attività elettrica.</w:t>
      </w:r>
    </w:p>
    <w:p>
      <w:pPr>
        <w:pStyle w:val="Compact"/>
        <w:numPr>
          <w:ilvl w:val="0"/>
          <w:numId w:val="1015"/>
        </w:numPr>
      </w:pPr>
      <w:r>
        <w:t xml:space="preserve">Gli intercostali si contraggono: il torace si allarga di 6 millimetri e il volume polmonare aumenta di mezzo litro.</w:t>
      </w:r>
    </w:p>
    <w:p>
      <w:pPr>
        <w:pStyle w:val="Compact"/>
        <w:numPr>
          <w:ilvl w:val="0"/>
          <w:numId w:val="1015"/>
        </w:numPr>
      </w:pPr>
      <w:r>
        <w:t xml:space="preserve">La parete addominale anteriore</w:t>
      </w:r>
      <w:r>
        <w:t xml:space="preserve"> </w:t>
      </w:r>
      <w:r>
        <w:rPr>
          <w:b/>
          <w:bCs/>
        </w:rPr>
        <w:t xml:space="preserve">si rilascia</w:t>
      </w:r>
      <w:r>
        <w:t xml:space="preserve"> </w:t>
      </w:r>
      <w:r>
        <w:t xml:space="preserve">e sporge: la circonferenza cresce di 32 millimetri.</w:t>
      </w:r>
    </w:p>
    <w:p>
      <w:pPr>
        <w:pStyle w:val="Compact"/>
        <w:numPr>
          <w:ilvl w:val="0"/>
          <w:numId w:val="1015"/>
        </w:numPr>
      </w:pPr>
      <w:r>
        <w:t xml:space="preserve">Il contenuto dell’addome è lo stesso di prima. È il contenitore che ha cambiato forma.</w:t>
      </w:r>
    </w:p>
    <w:p>
      <w:pPr>
        <w:pStyle w:val="FirstParagraph"/>
      </w:pPr>
      <w:r>
        <w:t xml:space="preserve">Si chiama</w:t>
      </w:r>
      <w:r>
        <w:t xml:space="preserve"> </w:t>
      </w:r>
      <w:r>
        <w:rPr>
          <w:b/>
          <w:bCs/>
        </w:rPr>
        <w:t xml:space="preserve">dissinergia addomino-frenica</w:t>
      </w:r>
      <w:r>
        <w:t xml:space="preserve">: un riflesso viscerosomatico paradosso, in cui diaframma e parete fanno insieme il contrario di quello che l’accomodazione addominale richiederebbe (Damianos e Azpiroz,</w:t>
      </w:r>
      <w:r>
        <w:t xml:space="preserve"> </w:t>
      </w:r>
      <w:r>
        <w:rPr>
          <w:i/>
          <w:iCs/>
        </w:rPr>
        <w:t xml:space="preserve">Am J Gastroenterol</w:t>
      </w:r>
      <w:r>
        <w:t xml:space="preserve"> </w:t>
      </w:r>
      <w:r>
        <w:t xml:space="preserve">2023, PMID 36191283).</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il fenomeno — tomografia computerizzata ed elettromiografia durante episodi reali, su 45 pazienti (Barba,</w:t>
      </w:r>
      <w:r>
        <w:t xml:space="preserve"> </w:t>
      </w:r>
      <w:r>
        <w:rPr>
          <w:i/>
          <w:iCs/>
        </w:rPr>
        <w:t xml:space="preserve">Gastroenterology</w:t>
      </w:r>
      <w:r>
        <w:t xml:space="preserve"> </w:t>
      </w:r>
      <w:r>
        <w:t xml:space="preserve">2015, PMID 25500424). E</w:t>
      </w:r>
      <w:r>
        <w:t xml:space="preserve"> </w:t>
      </w:r>
      <w:r>
        <w:rPr>
          <w:b/>
          <w:bCs/>
        </w:rPr>
        <w:t xml:space="preserve">DIMOSTRATO</w:t>
      </w:r>
      <w:r>
        <w:t xml:space="preserve"> </w:t>
      </w:r>
      <w:r>
        <w:rPr>
          <w:i/>
          <w:iCs/>
        </w:rPr>
        <w:t xml:space="preserve">(studi sull’uomo, solidi)</w:t>
      </w:r>
      <w:r>
        <w:t xml:space="preserve"> </w:t>
      </w:r>
      <w:r>
        <w:t xml:space="preserve">che correggendo quella manovra la distensione si riduce: due studi randomizzati controllati con placebo, su 48 e su 42 pazienti randomizzati (Barba,</w:t>
      </w:r>
      <w:r>
        <w:t xml:space="preserve"> </w:t>
      </w:r>
      <w:r>
        <w:rPr>
          <w:i/>
          <w:iCs/>
        </w:rPr>
        <w:t xml:space="preserve">Clin Gastroenterol Hepatol</w:t>
      </w:r>
      <w:r>
        <w:t xml:space="preserve"> </w:t>
      </w:r>
      <w:r>
        <w:t xml:space="preserve">2017, PMID 28705783; Barba,</w:t>
      </w:r>
      <w:r>
        <w:t xml:space="preserve"> </w:t>
      </w:r>
      <w:r>
        <w:rPr>
          <w:i/>
          <w:iCs/>
        </w:rPr>
        <w:t xml:space="preserve">Gastroenterology</w:t>
      </w:r>
      <w:r>
        <w:t xml:space="preserve"> </w:t>
      </w:r>
      <w:r>
        <w:t xml:space="preserve">2024, PMID 38467383).</w:t>
      </w:r>
      <w:r>
        <w:t xml:space="preserve"> </w:t>
      </w:r>
      <w:r>
        <w:rPr>
          <w:b/>
          <w:bCs/>
        </w:rPr>
        <w:t xml:space="preserve">E il salto di popolazione va dichiarato:</w:t>
      </w:r>
      <w:r>
        <w:t xml:space="preserve"> </w:t>
      </w:r>
      <w:r>
        <w:t xml:space="preserve">nessuno dei tre studi ha arruolato pazienti con dispepsia funzionale, ma pazienti con disturbi</w:t>
      </w:r>
      <w:r>
        <w:t xml:space="preserve"> </w:t>
      </w:r>
      <w:r>
        <w:rPr>
          <w:b/>
          <w:bCs/>
        </w:rPr>
        <w:t xml:space="preserve">intestinali</w:t>
      </w:r>
      <w:r>
        <w:t xml:space="preserve"> </w:t>
      </w:r>
      <w:r>
        <w:t xml:space="preserve">funzionali, in campioni quasi interamente femminili. Il sintomo studiato è lo stesso, la diagnosi no.</w:t>
      </w:r>
    </w:p>
    <w:p>
      <w:pPr>
        <w:pStyle w:val="FirstParagraph"/>
      </w:pPr>
      <w:r>
        <w:rPr>
          <w:b/>
          <w:bCs/>
        </w:rPr>
        <w:t xml:space="preserve">Come si vede addosso al paziente.</w:t>
      </w:r>
      <w:r>
        <w:t xml:space="preserve"> </w:t>
      </w:r>
      <w:r>
        <w:t xml:space="preserve">La pancia cresce nel corso della giornata e si sgonfia di notte. È</w:t>
      </w:r>
      <w:r>
        <w:t xml:space="preserve"> </w:t>
      </w:r>
      <w:r>
        <w:rPr>
          <w:b/>
          <w:bCs/>
        </w:rPr>
        <w:t xml:space="preserve">visibile</w:t>
      </w:r>
      <w:r>
        <w:t xml:space="preserve">, non solo sentita: ti mostra le foto, cambia taglia di pantaloni fra mattina e sera. Le costole si allargano insieme alla pancia. E il dettaglio che orienta più di tutti: si gonfia anche quando ha mangiato poco.</w:t>
      </w:r>
    </w:p>
    <w:p>
      <w:pPr>
        <w:pStyle w:val="BodyText"/>
      </w:pPr>
      <w:r>
        <w:rPr>
          <w:b/>
          <w:bCs/>
        </w:rPr>
        <w:t xml:space="preserve">Il sacco della spesa appoggiato per terra: premi sul coperchio e si allarga di lato. Dentro non è entrato niente.</w:t>
      </w:r>
    </w:p>
    <w:p>
      <w:r>
        <w:pict>
          <v:rect style="width:0;height:1.5pt" o:hralign="center" o:hrstd="t" o:hr="t"/>
        </w:pict>
      </w:r>
    </w:p>
    <w:bookmarkEnd w:id="31"/>
    <w:bookmarkStart w:id="32" w:name="il-serbatoio-che-non-si-allarga"/>
    <w:p>
      <w:pPr>
        <w:pStyle w:val="Heading3"/>
      </w:pPr>
      <w:r>
        <w:t xml:space="preserve">2. Il serbatoio che non si allarga</w:t>
      </w:r>
    </w:p>
    <w:p>
      <w:pPr>
        <w:pStyle w:val="FirstParagraph"/>
      </w:pPr>
      <w:r>
        <w:rPr>
          <w:b/>
          <w:bCs/>
        </w:rPr>
        <w:t xml:space="preserve">La sequenza.</w:t>
      </w:r>
    </w:p>
    <w:p>
      <w:pPr>
        <w:pStyle w:val="Compact"/>
        <w:numPr>
          <w:ilvl w:val="0"/>
          <w:numId w:val="1016"/>
        </w:numPr>
      </w:pPr>
      <w:r>
        <w:t xml:space="preserve">In una parte dei pazienti l’efferenza vago-vagale non arriva, e il fondo non si rilascia abbastanza quando il pasto entra.</w:t>
      </w:r>
    </w:p>
    <w:p>
      <w:pPr>
        <w:pStyle w:val="Compact"/>
        <w:numPr>
          <w:ilvl w:val="0"/>
          <w:numId w:val="1016"/>
        </w:numPr>
      </w:pPr>
      <w:r>
        <w:t xml:space="preserve">Il cibo si accumula nella parte bassa dello stomaco, e la pressione sale prima del previsto.</w:t>
      </w:r>
    </w:p>
    <w:p>
      <w:pPr>
        <w:pStyle w:val="Compact"/>
        <w:numPr>
          <w:ilvl w:val="0"/>
          <w:numId w:val="1016"/>
        </w:numPr>
      </w:pPr>
      <w:r>
        <w:t xml:space="preserve">La sazietà arriva con due bocconi, e un’ora dopo torna la fame perché in realtà non hai mangiato.</w:t>
      </w:r>
    </w:p>
    <w:p>
      <w:pPr>
        <w:pStyle w:val="FirstParagraph"/>
      </w:pPr>
      <w:r>
        <w:t xml:space="preserve">Quattro pazienti su dieci con dispepsia funzionale hanno un’accomodazione gastrica alterata. Lo studio che l’ha stabilito ha usato il</w:t>
      </w:r>
      <w:r>
        <w:t xml:space="preserve"> </w:t>
      </w:r>
      <w:r>
        <w:rPr>
          <w:b/>
          <w:bCs/>
        </w:rPr>
        <w:t xml:space="preserve">barostato</w:t>
      </w:r>
      <w:r>
        <w:t xml:space="preserve">, lo strumento sperimentale che misura volume e pressione dentro lo stomaco. Quel difetto era associato alla</w:t>
      </w:r>
      <w:r>
        <w:t xml:space="preserve"> </w:t>
      </w:r>
      <w:r>
        <w:rPr>
          <w:b/>
          <w:bCs/>
        </w:rPr>
        <w:t xml:space="preserve">sazietà precoce</w:t>
      </w:r>
      <w:r>
        <w:t xml:space="preserve">. Non era associato all’ipersensibilità alla distensione, non a Helicobacter, non allo svuotamento rallentato (Tack,</w:t>
      </w:r>
      <w:r>
        <w:t xml:space="preserve"> </w:t>
      </w:r>
      <w:r>
        <w:rPr>
          <w:i/>
          <w:iCs/>
        </w:rPr>
        <w:t xml:space="preserve">Gastroenterology</w:t>
      </w:r>
      <w:r>
        <w:t xml:space="preserve"> </w:t>
      </w:r>
      <w:r>
        <w:t xml:space="preserve">1998, PMID 9834261).</w:t>
      </w:r>
    </w:p>
    <w:p>
      <w:pPr>
        <w:pStyle w:val="BodyText"/>
      </w:pPr>
      <w:r>
        <w:rPr>
          <w:b/>
          <w:bCs/>
        </w:rPr>
        <w:t xml:space="preserve">Per te:</w:t>
      </w:r>
      <w:r>
        <w:t xml:space="preserve"> </w:t>
      </w:r>
      <w:r>
        <w:t xml:space="preserve">il marker giusto qui non è il dolore, è il volume che riesce a bere prima di sentirsi pieno.</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che l’accomodazione alterata esista e sia associata alla sazietà precoce — misura sperimentale diretta col barostato, 40 pazienti e 35 sani (Tack, 1998, PMID 9834261).</w:t>
      </w:r>
      <w:r>
        <w:t xml:space="preserve"> </w:t>
      </w:r>
      <w:r>
        <w:rPr>
          <w:b/>
          <w:bCs/>
        </w:rPr>
        <w:t xml:space="preserve">IPOTESI</w:t>
      </w:r>
      <w:r>
        <w:t xml:space="preserve"> </w:t>
      </w:r>
      <w:r>
        <w:rPr>
          <w:i/>
          <w:iCs/>
        </w:rPr>
        <w:t xml:space="preserve">(meccanismo coerente, nessuno studio)</w:t>
      </w:r>
      <w:r>
        <w:t xml:space="preserve"> </w:t>
      </w:r>
      <w:r>
        <w:t xml:space="preserve">che una mano la modifichi: nessuno ha mai misurato l’accomodazione gastrica prima e dopo un trattamento manuale, e il difetto è di efferenza vagale, non di spazio.</w:t>
      </w:r>
    </w:p>
    <w:p>
      <w:pPr>
        <w:pStyle w:val="FirstParagraph"/>
      </w:pPr>
      <w:r>
        <w:rPr>
          <w:b/>
          <w:bCs/>
        </w:rPr>
        <w:t xml:space="preserve">Come si vede addosso al paziente.</w:t>
      </w:r>
      <w:r>
        <w:t xml:space="preserve"> </w:t>
      </w:r>
      <w:r>
        <w:t xml:space="preserve">Sazietà precoce dominante, porzioni ridotte spontaneamente, peso stabile. Dice «non c’è più spazio», non «pesa». E spesso ha già capito da solo che deve mangiare poco e spesso.</w:t>
      </w:r>
    </w:p>
    <w:p>
      <w:pPr>
        <w:pStyle w:val="BodyText"/>
      </w:pPr>
      <w:r>
        <w:rPr>
          <w:b/>
          <w:bCs/>
        </w:rPr>
        <w:t xml:space="preserve">La cintura di sicurezza che si blocca. Di solito cede quando ti sporgi in avanti; quando si blocca, ti fermi al primo movimento.</w:t>
      </w:r>
    </w:p>
    <w:p>
      <w:r>
        <w:pict>
          <v:rect style="width:0;height:1.5pt" o:hralign="center" o:hrstd="t" o:hr="t"/>
        </w:pict>
      </w:r>
    </w:p>
    <w:bookmarkEnd w:id="32"/>
    <w:bookmarkStart w:id="33" w:name="lo-scarico-lento"/>
    <w:p>
      <w:pPr>
        <w:pStyle w:val="Heading3"/>
      </w:pPr>
      <w:r>
        <w:t xml:space="preserve">3. Lo scarico lento</w:t>
      </w:r>
    </w:p>
    <w:p>
      <w:pPr>
        <w:pStyle w:val="FirstParagraph"/>
      </w:pPr>
      <w:r>
        <w:rPr>
          <w:b/>
          <w:bCs/>
        </w:rPr>
        <w:t xml:space="preserve">La sequenza.</w:t>
      </w:r>
    </w:p>
    <w:p>
      <w:pPr>
        <w:pStyle w:val="Compact"/>
        <w:numPr>
          <w:ilvl w:val="0"/>
          <w:numId w:val="1017"/>
        </w:numPr>
      </w:pPr>
      <w:r>
        <w:t xml:space="preserve">Il piloro lascia passare più lentamente del dovuto, e il volume resta nello stomaco per ore.</w:t>
      </w:r>
    </w:p>
    <w:p>
      <w:pPr>
        <w:pStyle w:val="Compact"/>
        <w:numPr>
          <w:ilvl w:val="0"/>
          <w:numId w:val="1017"/>
        </w:numPr>
      </w:pPr>
      <w:r>
        <w:t xml:space="preserve">La distensione persistente attiva le afferenze e diventa pesantezza, nausea, a volte vomito.</w:t>
      </w:r>
    </w:p>
    <w:p>
      <w:pPr>
        <w:pStyle w:val="Compact"/>
        <w:numPr>
          <w:ilvl w:val="0"/>
          <w:numId w:val="1017"/>
        </w:numPr>
      </w:pPr>
      <w:r>
        <w:t xml:space="preserve">Il pasto successivo arriva su uno stomaco che non si è svuotato.</w:t>
      </w:r>
    </w:p>
    <w:p>
      <w:pPr>
        <w:pStyle w:val="FirstParagraph"/>
      </w:pPr>
      <w:r>
        <w:t xml:space="preserve">Un terzo dei pazienti con dispepsia funzionale ha uno svuotamento gastrico dei solidi rallentato: 33,5% su 343 pazienti misurati con tecnica radioisotopica</w:t>
      </w:r>
      <w:r>
        <w:t xml:space="preserve"> </w:t>
      </w:r>
      <w:r>
        <w:rPr>
          <w:b/>
          <w:bCs/>
        </w:rPr>
        <w:t xml:space="preserve">in un centro di riferimento</w:t>
      </w:r>
      <w:r>
        <w:t xml:space="preserve">, quindi una quota più alta di quella che vedrai tu. I predittori indipendenti erano il sesso femminile, la</w:t>
      </w:r>
      <w:r>
        <w:t xml:space="preserve"> </w:t>
      </w:r>
      <w:r>
        <w:rPr>
          <w:b/>
          <w:bCs/>
        </w:rPr>
        <w:t xml:space="preserve">pienezza postprandiale rilevante</w:t>
      </w:r>
      <w:r>
        <w:t xml:space="preserve"> </w:t>
      </w:r>
      <w:r>
        <w:t xml:space="preserve">(rapporto di probabilità 3,78) e il vomito grave (4,04) (Stanghellini,</w:t>
      </w:r>
      <w:r>
        <w:t xml:space="preserve"> </w:t>
      </w:r>
      <w:r>
        <w:rPr>
          <w:i/>
          <w:iCs/>
        </w:rPr>
        <w:t xml:space="preserve">Gastroenterology</w:t>
      </w:r>
      <w:r>
        <w:t xml:space="preserve"> </w:t>
      </w:r>
      <w:r>
        <w:t xml:space="preserve">1996, PMID 8612991).</w:t>
      </w:r>
    </w:p>
    <w:p>
      <w:pPr>
        <w:pStyle w:val="BodyText"/>
      </w:pPr>
      <w:r>
        <w:rPr>
          <w:b/>
          <w:bCs/>
        </w:rPr>
        <w:t xml:space="preserve">Per te:</w:t>
      </w:r>
      <w:r>
        <w:t xml:space="preserve"> </w:t>
      </w:r>
      <w:r>
        <w:t xml:space="preserve">è il sottotipo su cui c’è di meno da fare, per te e per il prescrittore. Nello studio randomizzato più ampio sui neuromodulatori, i pazienti con svuotamento rallentato avevano</w:t>
      </w:r>
      <w:r>
        <w:t xml:space="preserve"> </w:t>
      </w:r>
      <w:r>
        <w:rPr>
          <w:b/>
          <w:bCs/>
        </w:rPr>
        <w:t xml:space="preserve">meno probabilità</w:t>
      </w:r>
      <w:r>
        <w:t xml:space="preserve"> </w:t>
      </w:r>
      <w:r>
        <w:t xml:space="preserve">degli altri di ottenere un sollievo adeguato (rapporto di probabilità 0,4; Talley,</w:t>
      </w:r>
      <w:r>
        <w:t xml:space="preserve"> </w:t>
      </w:r>
      <w:r>
        <w:rPr>
          <w:i/>
          <w:iCs/>
        </w:rPr>
        <w:t xml:space="preserve">Gastroenterology</w:t>
      </w:r>
      <w:r>
        <w:t xml:space="preserve"> </w:t>
      </w:r>
      <w:r>
        <w:t xml:space="preserve">2015, PMID 25921377). Riconoscerlo serve a calibrare quello che dici, non a promettere di più.</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lo svuotamento rallentato esista in un terzo dei pazienti di centro di riferimento e sia associato alla pienezza postprandiale (Stanghellini, 1996, PMID 8612991).</w:t>
      </w:r>
      <w:r>
        <w:t xml:space="preserve"> </w:t>
      </w:r>
      <w:r>
        <w:rPr>
          <w:b/>
          <w:bCs/>
        </w:rPr>
        <w:t xml:space="preserve">IPOTESI</w:t>
      </w:r>
      <w:r>
        <w:t xml:space="preserve"> </w:t>
      </w:r>
      <w:r>
        <w:rPr>
          <w:i/>
          <w:iCs/>
        </w:rPr>
        <w:t xml:space="preserve">(meccanismo coerente, nessuno studio)</w:t>
      </w:r>
      <w:r>
        <w:t xml:space="preserve"> </w:t>
      </w:r>
      <w:r>
        <w:t xml:space="preserve">che un trattamento manuale lo modifichi: nessuno ha misurato lo svuotamento gastrico prima e dopo.</w:t>
      </w:r>
    </w:p>
    <w:p>
      <w:pPr>
        <w:pStyle w:val="FirstParagraph"/>
      </w:pPr>
      <w:r>
        <w:rPr>
          <w:b/>
          <w:bCs/>
        </w:rPr>
        <w:t xml:space="preserve">Il colon carico, a monte dello stomaco lento.</w:t>
      </w:r>
      <w:r>
        <w:t xml:space="preserve"> </w:t>
      </w:r>
      <w:r>
        <w:t xml:space="preserve">Il ragionamento «da monte» non lo guarda, perché guarda verso l’alto. In 42 bambini con dispepsia funzionale, due su tre avevano una stipsi funzionale. I costipati avevano lo svuotamento più lungo: 180 contro 150 minuti, p=0,004. E se si trattava la stipsi, lo svuotamento si accorciava (Boccia,</w:t>
      </w:r>
      <w:r>
        <w:t xml:space="preserve"> </w:t>
      </w:r>
      <w:r>
        <w:rPr>
          <w:i/>
          <w:iCs/>
        </w:rPr>
        <w:t xml:space="preserve">Clin Gastroenterol Hepatol</w:t>
      </w:r>
      <w:r>
        <w:t xml:space="preserve"> </w:t>
      </w:r>
      <w:r>
        <w:t xml:space="preserve">2008, PMID 18378497). In 178 adulti il transito colico lento correlava con lo svuotamento più lento (Abdelnaem,</w:t>
      </w:r>
      <w:r>
        <w:t xml:space="preserve"> </w:t>
      </w:r>
      <w:r>
        <w:rPr>
          <w:i/>
          <w:iCs/>
        </w:rPr>
        <w:t xml:space="preserve">Neurogastroenterol Motil</w:t>
      </w:r>
      <w:r>
        <w:t xml:space="preserve"> </w:t>
      </w:r>
      <w:r>
        <w:t xml:space="preserve">2025, PMID 40851353). Cosa può fare una mano su quella catena sta in «Perché le mani possono cambiare qualcosa».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il colon lento rallenti lo stomaco, con salto di</w:t>
      </w:r>
      <w:r>
        <w:t xml:space="preserve"> </w:t>
      </w:r>
      <w:r>
        <w:rPr>
          <w:b/>
          <w:bCs/>
        </w:rPr>
        <w:t xml:space="preserve">popolazione</w:t>
      </w:r>
      <w:r>
        <w:t xml:space="preserve"> </w:t>
      </w:r>
      <w:r>
        <w:t xml:space="preserve">sul dato pediatrico.</w:t>
      </w:r>
      <w:r>
        <w:t xml:space="preserve"> </w:t>
      </w:r>
      <w:r>
        <w:rPr>
          <w:b/>
          <w:bCs/>
        </w:rPr>
        <w:t xml:space="preserve">PROBABILE</w:t>
      </w:r>
      <w:r>
        <w:t xml:space="preserve"> </w:t>
      </w:r>
      <w:r>
        <w:rPr>
          <w:i/>
          <w:iCs/>
        </w:rPr>
        <w:t xml:space="preserve">(razionale forte, prove parziali)</w:t>
      </w:r>
      <w:r>
        <w:t xml:space="preserve"> </w:t>
      </w:r>
      <w:r>
        <w:t xml:space="preserve">che una mano accorci il transito del colon, e</w:t>
      </w:r>
      <w:r>
        <w:t xml:space="preserve"> </w:t>
      </w:r>
      <w:r>
        <w:rPr>
          <w:b/>
          <w:bCs/>
        </w:rPr>
        <w:t xml:space="preserve">IPOTESI</w:t>
      </w:r>
      <w:r>
        <w:t xml:space="preserve"> </w:t>
      </w:r>
      <w:r>
        <w:rPr>
          <w:i/>
          <w:iCs/>
        </w:rPr>
        <w:t xml:space="preserve">(meccanismo coerente, nessuno studio)</w:t>
      </w:r>
      <w:r>
        <w:t xml:space="preserve"> </w:t>
      </w:r>
      <w:r>
        <w:t xml:space="preserve">che quell’accorciamento cambi lo svuotamento gastrico o il sintomo dispeptico: l’etichetta per esteso, con i suoi salti, sta in «Perché le mani possono cambiare qualcosa».</w:t>
      </w:r>
    </w:p>
    <w:p>
      <w:pPr>
        <w:pStyle w:val="FirstParagraph"/>
      </w:pPr>
      <w:r>
        <w:rPr>
          <w:b/>
          <w:bCs/>
        </w:rPr>
        <w:t xml:space="preserve">Come si vede addosso al paziente.</w:t>
      </w:r>
      <w:r>
        <w:t xml:space="preserve"> </w:t>
      </w:r>
      <w:r>
        <w:t xml:space="preserve">Pesantezza che dura ore. Nausea nella fase digestiva. Eruttazioni. Il pasto della sera che si porta nella notte. Sonnolenza marcata dopo pranzo. Peso corporeo basso — e attenzione:</w:t>
      </w:r>
      <w:r>
        <w:t xml:space="preserve"> </w:t>
      </w:r>
      <w:r>
        <w:rPr>
          <w:b/>
          <w:bCs/>
        </w:rPr>
        <w:t xml:space="preserve">basso non è</w:t>
      </w:r>
      <w:r>
        <w:rPr>
          <w:b/>
          <w:bCs/>
        </w:rPr>
        <w:t xml:space="preserve"> </w:t>
      </w:r>
      <w:r>
        <w:rPr>
          <w:b/>
          <w:bCs/>
        </w:rPr>
        <w:t xml:space="preserve">“in calo”</w:t>
      </w:r>
      <w:r>
        <w:t xml:space="preserve">. Un peso che scende senza che il paziente lo voglia è una bandiera rossa, non un segno di sottotipo.</w:t>
      </w:r>
    </w:p>
    <w:p>
      <w:pPr>
        <w:pStyle w:val="BodyText"/>
      </w:pPr>
      <w:r>
        <w:rPr>
          <w:b/>
          <w:bCs/>
        </w:rPr>
        <w:t xml:space="preserve">Il lavandino con lo scarico rallentato: l’acqua entra come sempre, ma il livello sale.</w:t>
      </w:r>
    </w:p>
    <w:p>
      <w:r>
        <w:pict>
          <v:rect style="width:0;height:1.5pt" o:hralign="center" o:hrstd="t" o:hr="t"/>
        </w:pict>
      </w:r>
    </w:p>
    <w:bookmarkEnd w:id="33"/>
    <w:bookmarkStart w:id="34" w:name="la-soglia-che-si-abbassa"/>
    <w:p>
      <w:pPr>
        <w:pStyle w:val="Heading3"/>
      </w:pPr>
      <w:r>
        <w:t xml:space="preserve">4. La soglia che si abbassa</w:t>
      </w:r>
    </w:p>
    <w:p>
      <w:pPr>
        <w:pStyle w:val="FirstParagraph"/>
      </w:pPr>
      <w:r>
        <w:rPr>
          <w:b/>
          <w:bCs/>
        </w:rPr>
        <w:t xml:space="preserve">La sequenza.</w:t>
      </w:r>
    </w:p>
    <w:p>
      <w:pPr>
        <w:pStyle w:val="Compact"/>
        <w:numPr>
          <w:ilvl w:val="0"/>
          <w:numId w:val="1018"/>
        </w:numPr>
      </w:pPr>
      <w:r>
        <w:t xml:space="preserve">Lo stomaco e il duodeno mandano al tronco encefalico un segnale continuo su volume, calorie e chimica.</w:t>
      </w:r>
    </w:p>
    <w:p>
      <w:pPr>
        <w:pStyle w:val="Compact"/>
        <w:numPr>
          <w:ilvl w:val="0"/>
          <w:numId w:val="1018"/>
        </w:numPr>
      </w:pPr>
      <w:r>
        <w:t xml:space="preserve">Normalmente quel segnale resta sotto la soglia della coscienza.</w:t>
      </w:r>
    </w:p>
    <w:p>
      <w:pPr>
        <w:pStyle w:val="Compact"/>
        <w:numPr>
          <w:ilvl w:val="0"/>
          <w:numId w:val="1018"/>
        </w:numPr>
      </w:pPr>
      <w:r>
        <w:t xml:space="preserve">La soglia si abbassa da due lati.</w:t>
      </w:r>
      <w:r>
        <w:t xml:space="preserve"> </w:t>
      </w:r>
      <w:r>
        <w:rPr>
          <w:b/>
          <w:bCs/>
        </w:rPr>
        <w:t xml:space="preserve">Dall’alto</w:t>
      </w:r>
      <w:r>
        <w:t xml:space="preserve">, quando l’allerta prolungata alza il guadagno con cui il segnale viene letto.</w:t>
      </w:r>
      <w:r>
        <w:t xml:space="preserve"> </w:t>
      </w:r>
      <w:r>
        <w:rPr>
          <w:b/>
          <w:bCs/>
        </w:rPr>
        <w:t xml:space="preserve">Dal basso</w:t>
      </w:r>
      <w:r>
        <w:t xml:space="preserve">, quando la mucosa duodenale infiammata rende le terminazioni più eccitabili: è il quinto meccanismo che entra da questa porta.</w:t>
      </w:r>
    </w:p>
    <w:p>
      <w:pPr>
        <w:pStyle w:val="Compact"/>
        <w:numPr>
          <w:ilvl w:val="0"/>
          <w:numId w:val="1018"/>
        </w:numPr>
      </w:pPr>
      <w:r>
        <w:t xml:space="preserve">Lo stesso pasto, la stessa distensione, la stessa quantità di gas producono fastidio.</w:t>
      </w:r>
    </w:p>
    <w:p>
      <w:pPr>
        <w:pStyle w:val="Compact"/>
        <w:numPr>
          <w:ilvl w:val="0"/>
          <w:numId w:val="1018"/>
        </w:numPr>
      </w:pPr>
      <w:r>
        <w:t xml:space="preserve">Il fastidio conferma l’allerta, e il paziente inizia a sorvegliare la pancia. La soglia scende ancora.</w:t>
      </w:r>
    </w:p>
    <w:p>
      <w:pPr>
        <w:pStyle w:val="FirstParagraph"/>
      </w:pPr>
      <w:r>
        <w:rPr>
          <w:b/>
          <w:bCs/>
        </w:rPr>
        <w:t xml:space="preserve">Il discriminante fra i due ingressi è clinico.</w:t>
      </w:r>
      <w:r>
        <w:t xml:space="preserve"> </w:t>
      </w:r>
      <w:r>
        <w:t xml:space="preserve">Se il sintomo è riproducibile dal grasso ed è iniziato dopo una gastroenterite, il driver è periferico e la leva sull’attivazione rende meno. Se fluttua con la vita e migliora in vacanza mangiando peggio, il driver è centrale.</w:t>
      </w:r>
    </w:p>
    <w:p>
      <w:pPr>
        <w:pStyle w:val="BodyText"/>
      </w:pPr>
      <w:r>
        <w:t xml:space="preserve">La soglia bassa è stata misurata in questi pazienti. Barostato gastrico su 160 dispeptici e 80 sani:</w:t>
      </w:r>
      <w:r>
        <w:t xml:space="preserve"> </w:t>
      </w:r>
      <w:r>
        <w:rPr>
          <w:b/>
          <w:bCs/>
        </w:rPr>
        <w:t xml:space="preserve">ipersensibilità alla distensione nel 34%</w:t>
      </w:r>
      <w:r>
        <w:t xml:space="preserve">, associata a dolore epigastrico postprandiale, eruttazioni e calo di peso (Tack,</w:t>
      </w:r>
      <w:r>
        <w:t xml:space="preserve"> </w:t>
      </w:r>
      <w:r>
        <w:rPr>
          <w:i/>
          <w:iCs/>
        </w:rPr>
        <w:t xml:space="preserve">Gastroenterology</w:t>
      </w:r>
      <w:r>
        <w:t xml:space="preserve"> </w:t>
      </w:r>
      <w:r>
        <w:t xml:space="preserve">2001, PMID 11522735).</w:t>
      </w:r>
    </w:p>
    <w:p>
      <w:pPr>
        <w:pStyle w:val="BodyText"/>
      </w:pPr>
      <w:r>
        <w:t xml:space="preserve">E l’ipersensibilità di questi pazienti è</w:t>
      </w:r>
      <w:r>
        <w:t xml:space="preserve"> </w:t>
      </w:r>
      <w:r>
        <w:rPr>
          <w:b/>
          <w:bCs/>
        </w:rPr>
        <w:t xml:space="preserve">di sede, non generale</w:t>
      </w:r>
      <w:r>
        <w:t xml:space="preserve">, ed è una precisazione che restringe invece di allargare. La misura si fa nello stesso soggetto, su due cose insieme: quanta acqua beve prima di sentirsi pieno, e quanto accuratamente conta i propri battiti. 16 pazienti con sindrome da distress postprandiale bevevano molto meno dei sani (361 contro 644 millilitri, p=0,009) e contavano i battiti esattamente come loro (p=0,647) (Yoshida,</w:t>
      </w:r>
      <w:r>
        <w:t xml:space="preserve"> </w:t>
      </w:r>
      <w:r>
        <w:rPr>
          <w:i/>
          <w:iCs/>
        </w:rPr>
        <w:t xml:space="preserve">Biopsychosoc Med</w:t>
      </w:r>
      <w:r>
        <w:t xml:space="preserve"> </w:t>
      </w:r>
      <w:r>
        <w:t xml:space="preserve">2023, PMID 37807053). Su 30 pazienti con disturbo dell’interazione intestino-cervello il risultato si ripete: interocezione gastrica ridotta, cardiaca invariata (Salaris,</w:t>
      </w:r>
      <w:r>
        <w:t xml:space="preserve"> </w:t>
      </w:r>
      <w:r>
        <w:rPr>
          <w:i/>
          <w:iCs/>
        </w:rPr>
        <w:t xml:space="preserve">Psychophysiology</w:t>
      </w:r>
      <w:r>
        <w:t xml:space="preserve"> </w:t>
      </w:r>
      <w:r>
        <w:t xml:space="preserve">2025, PMID 41367122).</w:t>
      </w:r>
      <w:r>
        <w:t xml:space="preserve"> </w:t>
      </w:r>
      <w:r>
        <w:rPr>
          <w:b/>
          <w:bCs/>
        </w:rPr>
        <w:t xml:space="preserve">Per te:</w:t>
      </w:r>
      <w:r>
        <w:t xml:space="preserve"> </w:t>
      </w:r>
      <w:r>
        <w:t xml:space="preserve">chi lavora sull’attivazione generale sta agendo su una via che in questi pazienti non è alterata.</w:t>
      </w:r>
    </w:p>
    <w:p>
      <w:pPr>
        <w:pStyle w:val="BodyText"/>
      </w:pPr>
      <w:r>
        <w:t xml:space="preserve">E la strada fra testa e pancia è a doppio senso. Su 1.002 persone seguite per dodici anni, chi partiva con punteggi psicologici più alti sviluppava più spesso il disturbo; e chi partiva col disturbo, dodici anni dopo aveva punteggi più alti degli altri (Koloski,</w:t>
      </w:r>
      <w:r>
        <w:t xml:space="preserve"> </w:t>
      </w:r>
      <w:r>
        <w:rPr>
          <w:i/>
          <w:iCs/>
        </w:rPr>
        <w:t xml:space="preserve">Gut</w:t>
      </w:r>
      <w:r>
        <w:t xml:space="preserve"> </w:t>
      </w:r>
      <w:r>
        <w:t xml:space="preserve">2012, PMID 22234979).</w:t>
      </w:r>
    </w:p>
    <w:p>
      <w:pPr>
        <w:pStyle w:val="BodyText"/>
      </w:pPr>
      <w:r>
        <w:rPr>
          <w:b/>
          <w:bCs/>
        </w:rPr>
        <w:t xml:space="preserve">Per te:</w:t>
      </w:r>
      <w:r>
        <w:t xml:space="preserve"> </w:t>
      </w:r>
      <w:r>
        <w:t xml:space="preserve">non devi decidere se «è stress» o «è organico». Sono due direzioni della stessa strada, entrambe misurate. La frase da usare non è «è ansia», è</w:t>
      </w:r>
      <w:r>
        <w:t xml:space="preserve"> </w:t>
      </w:r>
      <w:r>
        <w:rPr>
          <w:i/>
          <w:iCs/>
        </w:rPr>
        <w:t xml:space="preserve">«va nei due sensi, e in tutti e due c’è qualcosa da fare»</w:t>
      </w:r>
      <w:r>
        <w:t xml:space="preserve">.</w:t>
      </w:r>
    </w:p>
    <w:p>
      <w:pPr>
        <w:pStyle w:val="BodyText"/>
      </w:pPr>
      <w:r>
        <w:rPr>
          <w:b/>
          <w:bCs/>
        </w:rPr>
        <w:t xml:space="preserve">Come si chiama questo dolore.</w:t>
      </w:r>
      <w:r>
        <w:t xml:space="preserve"> </w:t>
      </w:r>
      <w:r>
        <w:t xml:space="preserve">Non è nocicettivo, perché la lesione non c’è e gli esami lo hanno stabilito. Non è neuropatico, perché non c’è lesione del sistema somatosensoriale. È</w:t>
      </w:r>
      <w:r>
        <w:t xml:space="preserve"> </w:t>
      </w:r>
      <w:r>
        <w:rPr>
          <w:b/>
          <w:bCs/>
        </w:rPr>
        <w:t xml:space="preserve">nociplastico</w:t>
      </w:r>
      <w:r>
        <w:t xml:space="preserve">: il nome fisiologico di</w:t>
      </w:r>
      <w:r>
        <w:t xml:space="preserve"> </w:t>
      </w:r>
      <w:r>
        <w:rPr>
          <w:i/>
          <w:iCs/>
        </w:rPr>
        <w:t xml:space="preserve">«gli esami sono a posto e sto male lo stesso»</w:t>
      </w:r>
      <w:r>
        <w:t xml:space="preserve">, cioè della frase che il paziente porta alla prima seduta.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soglia percettiva sia abbassata in circa un terzo di questi pazienti — misura diretta col barostato su 160 pazienti e 80 sani (Tack, 2001, PMID 11522735).</w:t>
      </w:r>
      <w:r>
        <w:t xml:space="preserve"> </w:t>
      </w:r>
      <w:r>
        <w:rPr>
          <w:b/>
          <w:bCs/>
        </w:rPr>
        <w:t xml:space="preserve">PROBABILE</w:t>
      </w:r>
      <w:r>
        <w:t xml:space="preserve"> </w:t>
      </w:r>
      <w:r>
        <w:rPr>
          <w:i/>
          <w:iCs/>
        </w:rPr>
        <w:t xml:space="preserve">(razionale forte, prove parziali)</w:t>
      </w:r>
      <w:r>
        <w:t xml:space="preserve"> </w:t>
      </w:r>
      <w:r>
        <w:t xml:space="preserve">che la strada fra testa e pancia sia a doppio senso (Koloski, 2012, PMID 22234979) — con il salto di</w:t>
      </w:r>
      <w:r>
        <w:t xml:space="preserve"> </w:t>
      </w:r>
      <w:r>
        <w:rPr>
          <w:b/>
          <w:bCs/>
        </w:rPr>
        <w:t xml:space="preserve">popolazione</w:t>
      </w:r>
      <w:r>
        <w:t xml:space="preserve"> </w:t>
      </w:r>
      <w:r>
        <w:t xml:space="preserve">dichiarato: nel sottogruppo della sola dispepsia funzionale il predittore era la</w:t>
      </w:r>
      <w:r>
        <w:t xml:space="preserve"> </w:t>
      </w:r>
      <w:r>
        <w:rPr>
          <w:b/>
          <w:bCs/>
        </w:rPr>
        <w:t xml:space="preserve">depressione</w:t>
      </w:r>
      <w:r>
        <w:t xml:space="preserve">, non l’ansia.</w:t>
      </w:r>
      <w:r>
        <w:t xml:space="preserve"> </w:t>
      </w:r>
      <w:r>
        <w:rPr>
          <w:b/>
          <w:bCs/>
        </w:rPr>
        <w:t xml:space="preserve">PROBABILE</w:t>
      </w:r>
      <w:r>
        <w:t xml:space="preserve"> </w:t>
      </w:r>
      <w:r>
        <w:rPr>
          <w:i/>
          <w:iCs/>
        </w:rPr>
        <w:t xml:space="preserve">(razionale forte, prove parziali)</w:t>
      </w:r>
      <w:r>
        <w:t xml:space="preserve"> </w:t>
      </w:r>
      <w:r>
        <w:t xml:space="preserve">che l’ipersensibilità sia di</w:t>
      </w:r>
      <w:r>
        <w:t xml:space="preserve"> </w:t>
      </w:r>
      <w:r>
        <w:rPr>
          <w:b/>
          <w:bCs/>
        </w:rPr>
        <w:t xml:space="preserve">sede</w:t>
      </w:r>
      <w:r>
        <w:t xml:space="preserve"> </w:t>
      </w:r>
      <w:r>
        <w:t xml:space="preserve">e non generale: due campioni di 16 e 30 persone, uno interamente femminile (Yoshida, 2023, PMID 37807053; Salaris, 2025, PMID 41367122) — misurato come</w:t>
      </w:r>
      <w:r>
        <w:t xml:space="preserve"> </w:t>
      </w:r>
      <w:r>
        <w:rPr>
          <w:b/>
          <w:bCs/>
        </w:rPr>
        <w:t xml:space="preserve">differenza fra pazienti e sani, non come cambiamento dopo un trattamento</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una mano sposti quella soglia: quanto vale la leva è materia di «Perché le mani possono cambiare qualcosa», e lì la prova contraria è dichiarata per esteso.</w:t>
      </w:r>
    </w:p>
    <w:p>
      <w:pPr>
        <w:pStyle w:val="FirstParagraph"/>
      </w:pPr>
      <w:r>
        <w:rPr>
          <w:b/>
          <w:bCs/>
        </w:rPr>
        <w:t xml:space="preserve">Come si vede addosso al paziente.</w:t>
      </w:r>
      <w:r>
        <w:t xml:space="preserve"> </w:t>
      </w:r>
      <w:r>
        <w:rPr>
          <w:i/>
          <w:iCs/>
        </w:rPr>
        <w:t xml:space="preserve">«Non c’è una regola»</w:t>
      </w:r>
      <w:r>
        <w:t xml:space="preserve"> </w:t>
      </w:r>
      <w:r>
        <w:t xml:space="preserve">è la firma di questo meccanismo. Peggioramento nelle settimane tese a parità di alimentazione. Sintomo sproporzionato a tutto quello che è stato misurato. Si controlla la pancia allo specchio e tiene un diario minuzioso. Sonno disturbato. E un dettaglio che vale una domanda:</w:t>
      </w:r>
      <w:r>
        <w:t xml:space="preserve"> </w:t>
      </w:r>
      <w:r>
        <w:rPr>
          <w:b/>
          <w:bCs/>
        </w:rPr>
        <w:t xml:space="preserve">in vacanza sta meglio mangiando peggio.</w:t>
      </w:r>
    </w:p>
    <w:p>
      <w:pPr>
        <w:pStyle w:val="BodyText"/>
      </w:pPr>
      <w:r>
        <w:rPr>
          <w:b/>
          <w:bCs/>
        </w:rPr>
        <w:t xml:space="preserve">Il sensore di parcheggio tarato troppo vicino: suona quando sei ancora a mezzo metro dal muro. Il muro non si è mosso.</w:t>
      </w:r>
    </w:p>
    <w:p>
      <w:r>
        <w:pict>
          <v:rect style="width:0;height:1.5pt" o:hralign="center" o:hrstd="t" o:hr="t"/>
        </w:pict>
      </w:r>
    </w:p>
    <w:bookmarkEnd w:id="34"/>
    <w:bookmarkStart w:id="35" w:name="la-maglia-allargata"/>
    <w:p>
      <w:pPr>
        <w:pStyle w:val="Heading3"/>
      </w:pPr>
      <w:r>
        <w:t xml:space="preserve">5. La maglia allargata</w:t>
      </w:r>
    </w:p>
    <w:p>
      <w:pPr>
        <w:pStyle w:val="FirstParagraph"/>
      </w:pPr>
      <w:r>
        <w:rPr>
          <w:b/>
          <w:bCs/>
        </w:rPr>
        <w:t xml:space="preserve">La sequenza.</w:t>
      </w:r>
    </w:p>
    <w:p>
      <w:pPr>
        <w:pStyle w:val="Compact"/>
        <w:numPr>
          <w:ilvl w:val="0"/>
          <w:numId w:val="1019"/>
        </w:numPr>
      </w:pPr>
      <w:r>
        <w:t xml:space="preserve">Nel duodeno la barriera è meno tenuta: resistenza elettrica ridotta, proteine di adesione espresse in modo anomalo, mastociti ed eosinofili aumentati nella mucosa.</w:t>
      </w:r>
    </w:p>
    <w:p>
      <w:pPr>
        <w:pStyle w:val="Compact"/>
        <w:numPr>
          <w:ilvl w:val="0"/>
          <w:numId w:val="1019"/>
        </w:numPr>
      </w:pPr>
      <w:r>
        <w:t xml:space="preserve">Le terminazioni nervose vicine diventano più eccitabili, e il segnale che parte da lì è più forte a parità di pasto. È il secondo ingresso della soglia bassa.</w:t>
      </w:r>
    </w:p>
    <w:p>
      <w:pPr>
        <w:pStyle w:val="FirstParagraph"/>
      </w:pPr>
      <w:r>
        <w:t xml:space="preserve">Il reperto è stato misurato con biopsie duodenali in</w:t>
      </w:r>
      <w:r>
        <w:t xml:space="preserve"> </w:t>
      </w:r>
      <w:r>
        <w:rPr>
          <w:b/>
          <w:bCs/>
        </w:rPr>
        <w:t xml:space="preserve">camera di Ussing</w:t>
      </w:r>
      <w:r>
        <w:t xml:space="preserve">, l’apparecchio in cui si monta un frammento di mucosa per misurarne la tenuta. Il confronto era fra 15 pazienti e 15 sani appaiati per età e sesso (Vanheel,</w:t>
      </w:r>
      <w:r>
        <w:t xml:space="preserve"> </w:t>
      </w:r>
      <w:r>
        <w:rPr>
          <w:i/>
          <w:iCs/>
        </w:rPr>
        <w:t xml:space="preserve">Gut</w:t>
      </w:r>
      <w:r>
        <w:t xml:space="preserve"> </w:t>
      </w:r>
      <w:r>
        <w:t xml:space="preserve">2014, PMID 23474421).</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misura diretta nell’uomo, ma su 15 contro 15 e con disegno trasversale, che non stabilisce la direzione: non dice se la barriera si sia alterata prima o dopo i sintomi (Vanheel, 2014, PMID 23474421).</w:t>
      </w:r>
    </w:p>
    <w:p>
      <w:pPr>
        <w:pStyle w:val="FirstParagraph"/>
      </w:pPr>
      <w:r>
        <w:rPr>
          <w:b/>
          <w:bCs/>
        </w:rPr>
        <w:t xml:space="preserve">Come si vede addosso al paziente.</w:t>
      </w:r>
      <w:r>
        <w:t xml:space="preserve"> </w:t>
      </w:r>
      <w:r>
        <w:t xml:space="preserve">Non si vede. Nessun segno palpatorio, nessun test in stanza, nessun modo di riconoscerlo dalle mani. Quello che orienta è indiretto: esordio dopo una gastroenterite acuta, sintomi scatenati in modo netto e riproducibile dal grasso, storia di antinfiammatori.</w:t>
      </w:r>
    </w:p>
    <w:p>
      <w:pPr>
        <w:pStyle w:val="BodyText"/>
      </w:pPr>
      <w:r>
        <w:rPr>
          <w:b/>
          <w:bCs/>
        </w:rPr>
        <w:t xml:space="preserve">Il quinto non esclude gli altri quattro.</w:t>
      </w:r>
      <w:r>
        <w:t xml:space="preserve"> </w:t>
      </w:r>
      <w:r>
        <w:t xml:space="preserve">Nello stesso paziente cerca la dissinergia e la soglia: restano bersagli anche quando il pezzo duodenale non è tuo.</w:t>
      </w:r>
    </w:p>
    <w:p>
      <w:pPr>
        <w:pStyle w:val="BodyText"/>
      </w:pPr>
      <w:r>
        <w:rPr>
          <w:b/>
          <w:bCs/>
        </w:rPr>
        <w:t xml:space="preserve">La zanzariera con la maglia allargata: la finestra è chiusa, ma passa quello che non doveva passare.</w:t>
      </w:r>
    </w:p>
    <w:p>
      <w:r>
        <w:pict>
          <v:rect style="width:0;height:1.5pt" o:hralign="center" o:hrstd="t" o:hr="t"/>
        </w:pict>
      </w:r>
    </w:p>
    <w:p>
      <w:pPr>
        <w:pStyle w:val="FirstParagraph"/>
      </w:pPr>
      <w:r>
        <w:rPr>
          <w:b/>
          <w:bCs/>
        </w:rPr>
        <w:t xml:space="preserve">Le tre cose da ricordare, più una</w:t>
      </w:r>
    </w:p>
    <w:p>
      <w:pPr>
        <w:pStyle w:val="Compact"/>
        <w:numPr>
          <w:ilvl w:val="0"/>
          <w:numId w:val="1020"/>
        </w:numPr>
      </w:pPr>
      <w:r>
        <w:t xml:space="preserve">Il primo meccanismo è l’unico con una prova controllata con placebo, ed è l’unico fatto di muscoli scheletrici. Non è una coincidenza: è più facile misurare quello che si vede.</w:t>
      </w:r>
    </w:p>
    <w:p>
      <w:pPr>
        <w:pStyle w:val="Compact"/>
        <w:numPr>
          <w:ilvl w:val="0"/>
          <w:numId w:val="1020"/>
        </w:numPr>
      </w:pPr>
      <w:r>
        <w:t xml:space="preserve">Sazietà precoce e pesantezza postprandiale non sono lo stesso sintomo: la prima punta al secondo meccanismo, la seconda al terzo.</w:t>
      </w:r>
    </w:p>
    <w:p>
      <w:pPr>
        <w:pStyle w:val="Compact"/>
        <w:numPr>
          <w:ilvl w:val="0"/>
          <w:numId w:val="1020"/>
        </w:numPr>
      </w:pPr>
      <w:r>
        <w:rPr>
          <w:i/>
          <w:iCs/>
        </w:rPr>
        <w:t xml:space="preserve">«Non c’è una regola»</w:t>
      </w:r>
      <w:r>
        <w:t xml:space="preserve"> </w:t>
      </w:r>
      <w:r>
        <w:t xml:space="preserve">è un segno clinico, e punta al quarto meccanismo. Scrivilo in cartella con le parole del paziente.</w:t>
      </w:r>
    </w:p>
    <w:p>
      <w:pPr>
        <w:pStyle w:val="Compact"/>
        <w:numPr>
          <w:ilvl w:val="0"/>
          <w:numId w:val="1020"/>
        </w:numPr>
      </w:pPr>
      <w:r>
        <w:rPr>
          <w:b/>
          <w:bCs/>
        </w:rPr>
        <w:t xml:space="preserve">Perché ci sei tu.</w:t>
      </w:r>
      <w:r>
        <w:t xml:space="preserve"> </w:t>
      </w:r>
      <w:r>
        <w:t xml:space="preserve">Sul quinto meccanismo non ci sei: la barriera duodenale si misura con biopsie in camera di Ussing, e nessuno l’ha misurata prima e dopo un trattamento manuale (Vanheel, 2014, PMID 23474421).</w:t>
      </w:r>
      <w:r>
        <w:t xml:space="preserve"> </w:t>
      </w:r>
      <w:r>
        <w:rPr>
          <w:b/>
          <w:bCs/>
        </w:rPr>
        <w:t xml:space="preserve">Per te:</w:t>
      </w:r>
      <w:r>
        <w:t xml:space="preserve"> </w:t>
      </w:r>
      <w:r>
        <w:t xml:space="preserve">quando la storia punta lì, quel pezzo del quadro non è tuo. Questo ti autorizza a riconoscerlo, a nominarlo nella comunicazione al curante e a lavorare comunque sugli altri meccanismi che quel paziente porta con sé. Non ti autorizza a trattarlo, né a includerlo in quello che prometti.</w:t>
      </w:r>
    </w:p>
    <w:p>
      <w:r>
        <w:pict>
          <v:rect style="width:0;height:1.5pt" o:hralign="center" o:hrstd="t" o:hr="t"/>
        </w:pict>
      </w:r>
    </w:p>
    <w:bookmarkEnd w:id="35"/>
    <w:bookmarkEnd w:id="36"/>
    <w:bookmarkStart w:id="45"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pazienti raccontano lo stesso disturbo e hanno guasti diversi, e su tre dei sei puoi poco.</w:t>
      </w:r>
    </w:p>
    <w:p>
      <w:pPr>
        <w:pStyle w:val="FirstParagraph"/>
      </w:pPr>
      <w:r>
        <w:t xml:space="preserve">I primi cinque sottotipi descrivono la</w:t>
      </w:r>
      <w:r>
        <w:t xml:space="preserve"> </w:t>
      </w:r>
      <w:r>
        <w:rPr>
          <w:b/>
          <w:bCs/>
        </w:rPr>
        <w:t xml:space="preserve">sindrome da distress postprandiale</w:t>
      </w:r>
      <w:r>
        <w:t xml:space="preserve"> </w:t>
      </w:r>
      <w:r>
        <w:t xml:space="preserve">e la distensione. Il sesto è la</w:t>
      </w:r>
      <w:r>
        <w:t xml:space="preserve"> </w:t>
      </w:r>
      <w:r>
        <w:rPr>
          <w:b/>
          <w:bCs/>
        </w:rPr>
        <w:t xml:space="preserve">sindrome del dolore epigastrico</w:t>
      </w:r>
      <w:r>
        <w:t xml:space="preserve">, che «Che cos’è davvero» definisce e che altrimenti resterebbe senza casa.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Distensione visibile</w:t>
            </w:r>
          </w:p>
        </w:tc>
        <w:tc>
          <w:tcPr/>
          <w:p>
            <w:pPr>
              <w:pStyle w:val="Compact"/>
            </w:pPr>
            <w:r>
              <w:t xml:space="preserve">La pancia si vede crescere</w:t>
            </w:r>
          </w:p>
        </w:tc>
        <w:tc>
          <w:tcPr/>
          <w:p>
            <w:pPr>
              <w:pStyle w:val="Compact"/>
            </w:pPr>
            <w:r>
              <w:t xml:space="preserve">Dissinergia addomino-frenica</w:t>
            </w:r>
          </w:p>
        </w:tc>
        <w:tc>
          <w:tcPr/>
          <w:p>
            <w:pPr>
              <w:pStyle w:val="Compact"/>
            </w:pPr>
            <w:r>
              <w:t xml:space="preserve">Molto</w:t>
            </w:r>
          </w:p>
        </w:tc>
      </w:tr>
      <w:tr>
        <w:tc>
          <w:tcPr/>
          <w:p>
            <w:pPr>
              <w:pStyle w:val="Compact"/>
            </w:pPr>
            <w:r>
              <w:t xml:space="preserve">Sazietà precoce</w:t>
            </w:r>
          </w:p>
        </w:tc>
        <w:tc>
          <w:tcPr/>
          <w:p>
            <w:pPr>
              <w:pStyle w:val="Compact"/>
            </w:pPr>
            <w:r>
              <w:t xml:space="preserve">Due bocconi e basta</w:t>
            </w:r>
          </w:p>
        </w:tc>
        <w:tc>
          <w:tcPr/>
          <w:p>
            <w:pPr>
              <w:pStyle w:val="Compact"/>
            </w:pPr>
            <w:r>
              <w:t xml:space="preserve">Accomodazione alterata</w:t>
            </w:r>
          </w:p>
        </w:tc>
        <w:tc>
          <w:tcPr/>
          <w:p>
            <w:pPr>
              <w:pStyle w:val="Compact"/>
            </w:pPr>
            <w:r>
              <w:t xml:space="preserve">Poco</w:t>
            </w:r>
          </w:p>
        </w:tc>
      </w:tr>
      <w:tr>
        <w:tc>
          <w:tcPr/>
          <w:p>
            <w:pPr>
              <w:pStyle w:val="Compact"/>
            </w:pPr>
            <w:r>
              <w:t xml:space="preserve">Pesantezza postprandiale</w:t>
            </w:r>
          </w:p>
        </w:tc>
        <w:tc>
          <w:tcPr/>
          <w:p>
            <w:pPr>
              <w:pStyle w:val="Compact"/>
            </w:pPr>
            <w:r>
              <w:t xml:space="preserve">Il pasto resta per ore</w:t>
            </w:r>
          </w:p>
        </w:tc>
        <w:tc>
          <w:tcPr/>
          <w:p>
            <w:pPr>
              <w:pStyle w:val="Compact"/>
            </w:pPr>
            <w:r>
              <w:t xml:space="preserve">Svuotamento rallentato</w:t>
            </w:r>
          </w:p>
        </w:tc>
        <w:tc>
          <w:tcPr/>
          <w:p>
            <w:pPr>
              <w:pStyle w:val="Compact"/>
            </w:pPr>
            <w:r>
              <w:t xml:space="preserve">Poco</w:t>
            </w:r>
          </w:p>
        </w:tc>
      </w:tr>
      <w:tr>
        <w:tc>
          <w:tcPr/>
          <w:p>
            <w:pPr>
              <w:pStyle w:val="Compact"/>
            </w:pPr>
            <w:r>
              <w:t xml:space="preserve">Soglia abbassata</w:t>
            </w:r>
          </w:p>
        </w:tc>
        <w:tc>
          <w:tcPr/>
          <w:p>
            <w:pPr>
              <w:pStyle w:val="Compact"/>
            </w:pPr>
            <w:r>
              <w:t xml:space="preserve">«Non c’è una regola»</w:t>
            </w:r>
          </w:p>
        </w:tc>
        <w:tc>
          <w:tcPr/>
          <w:p>
            <w:pPr>
              <w:pStyle w:val="Compact"/>
            </w:pPr>
            <w:r>
              <w:t xml:space="preserve">Soglia percettiva abbassata</w:t>
            </w:r>
          </w:p>
        </w:tc>
        <w:tc>
          <w:tcPr/>
          <w:p>
            <w:pPr>
              <w:pStyle w:val="Compact"/>
            </w:pPr>
            <w:r>
              <w:t xml:space="preserve">Abbastanza</w:t>
            </w:r>
          </w:p>
        </w:tc>
      </w:tr>
      <w:tr>
        <w:tc>
          <w:tcPr/>
          <w:p>
            <w:pPr>
              <w:pStyle w:val="Compact"/>
            </w:pPr>
            <w:r>
              <w:t xml:space="preserve">Sovrapposto intestinale</w:t>
            </w:r>
          </w:p>
        </w:tc>
        <w:tc>
          <w:tcPr/>
          <w:p>
            <w:pPr>
              <w:pStyle w:val="Compact"/>
            </w:pPr>
            <w:r>
              <w:t xml:space="preserve">Alvo alterno con dolore</w:t>
            </w:r>
          </w:p>
        </w:tc>
        <w:tc>
          <w:tcPr/>
          <w:p>
            <w:pPr>
              <w:pStyle w:val="Compact"/>
            </w:pPr>
            <w:r>
              <w:t xml:space="preserve">Soglia percettiva abbassata</w:t>
            </w:r>
          </w:p>
        </w:tc>
        <w:tc>
          <w:tcPr/>
          <w:p>
            <w:pPr>
              <w:pStyle w:val="Compact"/>
            </w:pPr>
            <w:r>
              <w:t xml:space="preserve">Abbastanza</w:t>
            </w:r>
          </w:p>
        </w:tc>
      </w:tr>
      <w:tr>
        <w:tc>
          <w:tcPr/>
          <w:p>
            <w:pPr>
              <w:pStyle w:val="Compact"/>
            </w:pPr>
            <w:r>
              <w:t xml:space="preserve">Dolore epigastrico</w:t>
            </w:r>
          </w:p>
        </w:tc>
        <w:tc>
          <w:tcPr/>
          <w:p>
            <w:pPr>
              <w:pStyle w:val="Compact"/>
            </w:pPr>
            <w:r>
              <w:t xml:space="preserve">Brucia, e non segue il pasto</w:t>
            </w:r>
          </w:p>
        </w:tc>
        <w:tc>
          <w:tcPr/>
          <w:p>
            <w:pPr>
              <w:pStyle w:val="Compact"/>
            </w:pPr>
            <w:r>
              <w:t xml:space="preserve">Soglia percettiva e barriera</w:t>
            </w:r>
          </w:p>
        </w:tc>
        <w:tc>
          <w:tcPr/>
          <w:p>
            <w:pPr>
              <w:pStyle w:val="Compact"/>
            </w:pPr>
            <w:r>
              <w:t xml:space="preserve">Poco</w:t>
            </w:r>
          </w:p>
        </w:tc>
      </w:tr>
    </w:tbl>
    <w:p>
      <w:pPr>
        <w:pStyle w:val="BodyText"/>
      </w:pPr>
      <w:r>
        <w:t xml:space="preserve">Le due colonne vanno lette insieme. «Abbastanza» significa</w:t>
      </w:r>
      <w:r>
        <w:t xml:space="preserve"> </w:t>
      </w:r>
      <w:r>
        <w:rPr>
          <w:b/>
          <w:bCs/>
        </w:rPr>
        <w:t xml:space="preserve">più che nei tre sottotipi in cui puoi poco</w:t>
      </w:r>
      <w:r>
        <w:t xml:space="preserve">, non più che nel primo.</w:t>
      </w:r>
    </w:p>
    <w:bookmarkStart w:id="37" w:name="Xd7a2ee77135c00fbb004b6e19a24573abddc74d"/>
    <w:p>
      <w:pPr>
        <w:pStyle w:val="Heading3"/>
      </w:pPr>
      <w:r>
        <w:t xml:space="preserve">Distensione visibile — quello su cui puoi di più</w:t>
      </w:r>
    </w:p>
    <w:p>
      <w:pPr>
        <w:pStyle w:val="FirstParagraph"/>
      </w:pPr>
      <w:r>
        <w:t xml:space="preserve">È il sottotipo in cui il contenitore fa il lavoro sbagliato, e l’unico su cui esistono due studi randomizzati controllati con placebo.</w:t>
      </w:r>
    </w:p>
    <w:bookmarkEnd w:id="37"/>
    <w:bookmarkStart w:id="38" w:name="sazietà-precoce-quello-su-cui-puoi-poco"/>
    <w:p>
      <w:pPr>
        <w:pStyle w:val="Heading3"/>
      </w:pPr>
      <w:r>
        <w:t xml:space="preserve">Sazietà precoce — quello su cui puoi poco</w:t>
      </w:r>
    </w:p>
    <w:p>
      <w:pPr>
        <w:pStyle w:val="FirstParagraph"/>
      </w:pPr>
      <w:r>
        <w:t xml:space="preserve">Il difetto è nell’accomodazione del fondo gastrico, e nessuna mano ha mai dimostrato di modificarla. Il tuo lavoro è sul contorno — parete, respiro, soglia — e va detto al paziente come lavoro sul contorno. Se in più c’è un calo di peso non voluto, non sei nel sottotipo: sei in una bandiera rossa.</w:t>
      </w:r>
    </w:p>
    <w:bookmarkEnd w:id="38"/>
    <w:bookmarkStart w:id="39" w:name="X2d2450c5aba6a13eaade4b621d3f63781ef43d7"/>
    <w:p>
      <w:pPr>
        <w:pStyle w:val="Heading3"/>
      </w:pPr>
      <w:r>
        <w:t xml:space="preserve">Pesantezza postprandiale — un altro su cui puoi poco</w:t>
      </w:r>
    </w:p>
    <w:p>
      <w:pPr>
        <w:pStyle w:val="FirstParagraph"/>
      </w:pPr>
      <w:r>
        <w:t xml:space="preserve">È il sottotipo in cui è più probabile lo svuotamento rallentato, e quello che risponde meno anche ai farmaci centrali (Talley, 2015, PMID 25921377). Con vomito ripetuto o calo di peso, il quadro va inquadrato dal medico prima che da te: la distinzione con la gastroparesi richiede un test di svuotamento che non hai.</w:t>
      </w:r>
      <w:r>
        <w:t xml:space="preserve"> </w:t>
      </w:r>
      <w:r>
        <w:rPr>
          <w:b/>
          <w:bCs/>
        </w:rPr>
        <w:t xml:space="preserve">Nel frattempo il lavoro c’è, ed è sul contorno:</w:t>
      </w:r>
      <w:r>
        <w:t xml:space="preserve"> </w:t>
      </w:r>
      <w:r>
        <w:t xml:space="preserve">la parete e il respiro, per la componente di distensione che si somma alla pesantezza. La trovi in «Perché le mani possono cambiare qualcosa», terzo meccanismo.</w:t>
      </w:r>
    </w:p>
    <w:bookmarkEnd w:id="39"/>
    <w:bookmarkStart w:id="40" w:name="soglia-abbassata"/>
    <w:p>
      <w:pPr>
        <w:pStyle w:val="Heading3"/>
      </w:pPr>
      <w:r>
        <w:t xml:space="preserve">Soglia abbassata</w:t>
      </w:r>
    </w:p>
    <w:p>
      <w:pPr>
        <w:pStyle w:val="FirstParagraph"/>
      </w:pPr>
      <w:r>
        <w:t xml:space="preserve">Qui hai</w:t>
      </w:r>
      <w:r>
        <w:t xml:space="preserve"> </w:t>
      </w:r>
      <w:r>
        <w:rPr>
          <w:b/>
          <w:bCs/>
        </w:rPr>
        <w:t xml:space="preserve">più da fare che nei sottotipi in cui puoi poco</w:t>
      </w:r>
      <w:r>
        <w:t xml:space="preserve">. La leva è il livello di attivazione, e su quella agiscono il contatto lento, il ritmo del respiro e il tempo dedicato. L’etichetta di quella leva sta in «Perché le mani possono cambiare qualcosa», e non è la più alta del documento.</w:t>
      </w:r>
    </w:p>
    <w:bookmarkEnd w:id="40"/>
    <w:bookmarkStart w:id="41" w:name="sovrapposto-intestinale"/>
    <w:p>
      <w:pPr>
        <w:pStyle w:val="Heading3"/>
      </w:pPr>
      <w:r>
        <w:t xml:space="preserve">Sovrapposto intestinale</w:t>
      </w:r>
    </w:p>
    <w:p>
      <w:pPr>
        <w:pStyle w:val="FirstParagraph"/>
      </w:pPr>
      <w:r>
        <w:t xml:space="preserve">Riguarda più di un paziente su tre. È il sottotipo con la letteratura manuale più abbondante, e quello che insegna a promettere meno di quanto viene voglia.</w:t>
      </w:r>
    </w:p>
    <w:bookmarkEnd w:id="41"/>
    <w:bookmarkStart w:id="42" w:name="dolore-epigastrico"/>
    <w:p>
      <w:pPr>
        <w:pStyle w:val="Heading3"/>
      </w:pPr>
      <w:r>
        <w:t xml:space="preserve">Dolore epigastrico</w:t>
      </w:r>
    </w:p>
    <w:p>
      <w:pPr>
        <w:pStyle w:val="FirstParagraph"/>
      </w:pPr>
      <w:r>
        <w:t xml:space="preserve">È metà della diagnosi di dispepsia funzionale, e qui compare poco perché la letteratura che regge le nostre leve non l’ha studiata. Viaggia sulla via</w:t>
      </w:r>
      <w:r>
        <w:t xml:space="preserve"> </w:t>
      </w:r>
      <w:r>
        <w:rPr>
          <w:b/>
          <w:bCs/>
        </w:rPr>
        <w:t xml:space="preserve">spinale splancnica T5-T9</w:t>
      </w:r>
      <w:r>
        <w:t xml:space="preserve">, non su quella vagale. Per questo l’aspettativa è diversa: risponde al lavoro sulla soglia, non a quello sul contenitore.</w:t>
      </w:r>
      <w:r>
        <w:t xml:space="preserve"> </w:t>
      </w:r>
      <w:r>
        <w:rPr>
          <w:b/>
          <w:bCs/>
        </w:rPr>
        <w:t xml:space="preserve">Quanto puoi fare: poco</w:t>
      </w:r>
      <w:r>
        <w:t xml:space="preserve">, e la ragione va detta al paziente alla prima seduta.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la mappatura di questo sottotipo sul quarto e sul quinto meccanismo.</w:t>
      </w:r>
      <w:r>
        <w:t xml:space="preserve"> </w:t>
      </w:r>
      <w:r>
        <w:rPr>
          <w:b/>
          <w:bCs/>
        </w:rPr>
        <w:t xml:space="preserve">IPOTESI</w:t>
      </w:r>
      <w:r>
        <w:t xml:space="preserve"> </w:t>
      </w:r>
      <w:r>
        <w:rPr>
          <w:i/>
          <w:iCs/>
        </w:rPr>
        <w:t xml:space="preserve">(meccanismo coerente, nessuno studio)</w:t>
      </w:r>
      <w:r>
        <w:t xml:space="preserve"> </w:t>
      </w:r>
      <w:r>
        <w:t xml:space="preserve">che il lavoro sul contenitore lo sposti.</w:t>
      </w:r>
    </w:p>
    <w:bookmarkEnd w:id="42"/>
    <w:bookmarkStart w:id="43" w:name="Xe8bf40eeb5c61193852fd803229a05efd66d425"/>
    <w:p>
      <w:pPr>
        <w:pStyle w:val="Heading3"/>
      </w:pPr>
      <w:r>
        <w:t xml:space="preserve">Eruttazione sovragastrica e ruminazione — il gruppo che non è qui, e conta</w:t>
      </w:r>
    </w:p>
    <w:p>
      <w:pPr>
        <w:pStyle w:val="FirstParagraph"/>
      </w:pPr>
      <w:r>
        <w:t xml:space="preserve">Non sono sottotipi di dispepsia: sono altri disturbi. Due domande li separano in dieci secondi.</w:t>
      </w:r>
      <w:r>
        <w:t xml:space="preserve"> </w:t>
      </w:r>
      <w:r>
        <w:rPr>
          <w:i/>
          <w:iCs/>
        </w:rPr>
        <w:t xml:space="preserve">«Ti torna su il boccone senza sforzo e senza sapore acido, nella mezz’ora dopo il pasto?»</w:t>
      </w:r>
      <w:r>
        <w:t xml:space="preserve"> </w:t>
      </w:r>
      <w:r>
        <w:t xml:space="preserve">è ruminazione.</w:t>
      </w:r>
      <w:r>
        <w:t xml:space="preserve"> </w:t>
      </w:r>
      <w:r>
        <w:rPr>
          <w:i/>
          <w:iCs/>
        </w:rPr>
        <w:t xml:space="preserve">«Le eruttazioni arrivano a raffica e non ti danno sollievo?»</w:t>
      </w:r>
      <w:r>
        <w:t xml:space="preserve"> </w:t>
      </w:r>
      <w:r>
        <w:t xml:space="preserve">è eruttazione sovragastrica.</w:t>
      </w:r>
    </w:p>
    <w:p>
      <w:pPr>
        <w:pStyle w:val="BodyText"/>
      </w:pPr>
      <w:r>
        <w:t xml:space="preserve">Contano per due ragioni. La prima: arrivano raccontando pesantezza e gonfiore, e chi non li riconosce li mette nella pesantezza postprandiale, sbagliando gruppo. La seconda: sono il gruppo in cui il controllo del diaframma ha la prova più forte che esista. Gli episodi di ruminazione scendono da una mediana di 5 a 1 con il respiro diaframmatico, alla manometria ad alta risoluzione (Halland,</w:t>
      </w:r>
      <w:r>
        <w:t xml:space="preserve"> </w:t>
      </w:r>
      <w:r>
        <w:rPr>
          <w:i/>
          <w:iCs/>
        </w:rPr>
        <w:t xml:space="preserve">Neurogastroenterol Motil</w:t>
      </w:r>
      <w:r>
        <w:t xml:space="preserve"> </w:t>
      </w:r>
      <w:r>
        <w:t xml:space="preserve">2016, PMID 26661735). E in uno studio randomizzato su 42 pazienti con eruttazione sovragastrica i responder sono il 75% (Punkkinen,</w:t>
      </w:r>
      <w:r>
        <w:t xml:space="preserve"> </w:t>
      </w:r>
      <w:r>
        <w:rPr>
          <w:i/>
          <w:iCs/>
        </w:rPr>
        <w:t xml:space="preserve">Neurogastroenterol Motil</w:t>
      </w:r>
      <w:r>
        <w:t xml:space="preserve"> </w:t>
      </w:r>
      <w:r>
        <w:t xml:space="preserve">2022, PMID 33991432).</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con salto di</w:t>
      </w:r>
      <w:r>
        <w:t xml:space="preserve"> </w:t>
      </w:r>
      <w:r>
        <w:rPr>
          <w:b/>
          <w:bCs/>
        </w:rPr>
        <w:t xml:space="preserve">erogatore</w:t>
      </w:r>
      <w:r>
        <w:t xml:space="preserve">: gastroenterologi e terapisti comportamentali con segnale manometrico, non osteopati. Il paziente va riconosciuto e mandato al gastroenterologo; quello che fai tu, sul contenitore, su di lui pesa</w:t>
      </w:r>
      <w:r>
        <w:t xml:space="preserve"> </w:t>
      </w:r>
      <w:r>
        <w:rPr>
          <w:b/>
          <w:bCs/>
        </w:rPr>
        <w:t xml:space="preserve">di più</w:t>
      </w:r>
      <w:r>
        <w:t xml:space="preserve">, non di meno.</w:t>
      </w:r>
    </w:p>
    <w:bookmarkEnd w:id="43"/>
    <w:bookmarkStart w:id="44" w:name="Xeb02b551f10d9908aa1481ee3213f8f59637685"/>
    <w:p>
      <w:pPr>
        <w:pStyle w:val="Heading3"/>
      </w:pPr>
      <w:r>
        <w:t xml:space="preserve">Come si presume il sottotipo quando l’esame non c’è</w:t>
      </w:r>
    </w:p>
    <w:p>
      <w:pPr>
        <w:pStyle w:val="FirstParagraph"/>
      </w:pPr>
      <w:r>
        <w:t xml:space="preserve">Barostato gastrico, scintigrafia di svuotamento, biopsia duodenale: sono gli strumenti con cui i sottotipi sono stati separati negli studi, e</w:t>
      </w:r>
      <w:r>
        <w:t xml:space="preserve"> </w:t>
      </w:r>
      <w:r>
        <w:rPr>
          <w:b/>
          <w:bCs/>
        </w:rPr>
        <w:t xml:space="preserve">nessuno dei tuoi pazienti li porterà mai</w:t>
      </w:r>
      <w:r>
        <w:t xml:space="preserve">. Applicare la tabella alla lettera insegnerebbe a classificare con un dato che non c’è.</w:t>
      </w:r>
    </w:p>
    <w:p>
      <w:pPr>
        <w:pStyle w:val="BodyText"/>
      </w:pPr>
      <w:r>
        <w:t xml:space="preserve">Quindi si dichiara una</w:t>
      </w:r>
      <w:r>
        <w:t xml:space="preserve"> </w:t>
      </w:r>
      <w:r>
        <w:rPr>
          <w:b/>
          <w:bCs/>
        </w:rPr>
        <w:t xml:space="preserve">presunzione di lavoro</w:t>
      </w:r>
      <w:r>
        <w:t xml:space="preserve">, e si scrive in cartella come presunzione. I reperti che la reggono sono i sei della colonna «Segnale che lo riconosce» qui sopra. I primi tre sono misure che prendi tu: circonferenza prima e dopo il pasto, volume bevuto prima della pienezza, durata in ore della pesantezza. Gli altri tre sono anamnestici.</w:t>
      </w:r>
    </w:p>
    <w:p>
      <w:pPr>
        <w:pStyle w:val="BodyText"/>
      </w:pPr>
      <w:r>
        <w:t xml:space="preserve">La presunzione decide</w:t>
      </w:r>
      <w:r>
        <w:t xml:space="preserve"> </w:t>
      </w:r>
      <w:r>
        <w:rPr>
          <w:b/>
          <w:bCs/>
        </w:rPr>
        <w:t xml:space="preserve">da dove parti</w:t>
      </w:r>
      <w:r>
        <w:t xml:space="preserve">, non che cosa il paziente ha: è la stanza da cui cominci a cercare, non quella dove hai lasciato il telefono. Va detta al paziente in questi termini e scritta al curante negli stessi.</w:t>
      </w:r>
    </w:p>
    <w:p>
      <w:pPr>
        <w:pStyle w:val="BlockText"/>
      </w:pPr>
      <w:r>
        <w:rPr>
          <w:b/>
          <w:bCs/>
        </w:rPr>
        <w:t xml:space="preserve">Attenzione.</w:t>
      </w:r>
      <w:r>
        <w:t xml:space="preserve"> </w:t>
      </w:r>
      <w:r>
        <w:t xml:space="preserve">Le condizioni che si sovrappongono a questa hanno una Bibbia loro, e il rimando non è decorativo. Con rigurgito acido e bruciore retrosternale, vedi la Bibbia del</w:t>
      </w:r>
      <w:r>
        <w:t xml:space="preserve"> </w:t>
      </w:r>
      <w:r>
        <w:rPr>
          <w:b/>
          <w:bCs/>
        </w:rPr>
        <w:t xml:space="preserve">Reflusso gastrico</w:t>
      </w:r>
      <w:r>
        <w:t xml:space="preserve">: i due quadri condividono il diaframma e la giunzione esofago-gastrica. Con dolore dorsale medio senza causa meccanica, vedi la Bibbia della</w:t>
      </w:r>
      <w:r>
        <w:t xml:space="preserve"> </w:t>
      </w:r>
      <w:r>
        <w:rPr>
          <w:b/>
          <w:bCs/>
        </w:rPr>
        <w:t xml:space="preserve">Dorsalgia</w:t>
      </w:r>
      <w:r>
        <w:t xml:space="preserve"> </w:t>
      </w:r>
      <w:r>
        <w:t xml:space="preserve">— dopo aver escluso la riga pancreatica delle bandiere, non prima. Se domina lo stato di allerta, vedi la</w:t>
      </w:r>
      <w:r>
        <w:t xml:space="preserve"> </w:t>
      </w:r>
      <w:r>
        <w:rPr>
          <w:b/>
          <w:bCs/>
        </w:rPr>
        <w:t xml:space="preserve">Postura antalgica cronica</w:t>
      </w:r>
      <w:r>
        <w:t xml:space="preserve">, che descrive lo stesso meccanismo su un altro sintomo.</w:t>
      </w:r>
    </w:p>
    <w:p>
      <w:pPr>
        <w:pStyle w:val="FirstParagraph"/>
      </w:pPr>
      <w:r>
        <w:rPr>
          <w:b/>
          <w:bCs/>
        </w:rPr>
        <w:t xml:space="preserve">Le tre cose da ricordare, più una</w:t>
      </w:r>
    </w:p>
    <w:p>
      <w:pPr>
        <w:pStyle w:val="Compact"/>
        <w:numPr>
          <w:ilvl w:val="0"/>
          <w:numId w:val="1021"/>
        </w:numPr>
      </w:pPr>
      <w:r>
        <w:t xml:space="preserve">«Mi sento gonfio» e «mi si gonfia» sono due sottotipi diversi. La domanda che li separa costa cinque secondi.</w:t>
      </w:r>
    </w:p>
    <w:p>
      <w:pPr>
        <w:pStyle w:val="Compact"/>
        <w:numPr>
          <w:ilvl w:val="0"/>
          <w:numId w:val="1021"/>
        </w:numPr>
      </w:pPr>
      <w:r>
        <w:t xml:space="preserve">Tre sottotipi su sei sono di quelli su cui puoi poco, e vanno detti come tali alla prima seduta, non alla terza.</w:t>
      </w:r>
    </w:p>
    <w:p>
      <w:pPr>
        <w:pStyle w:val="Compact"/>
        <w:numPr>
          <w:ilvl w:val="0"/>
          <w:numId w:val="1021"/>
        </w:numPr>
      </w:pPr>
      <w:r>
        <w:t xml:space="preserve">Il sottotipo si presume, non si diagnostica. Scrivilo in cartella con quella parola.</w:t>
      </w:r>
    </w:p>
    <w:p>
      <w:pPr>
        <w:pStyle w:val="Compact"/>
        <w:numPr>
          <w:ilvl w:val="0"/>
          <w:numId w:val="1021"/>
        </w:numPr>
      </w:pPr>
      <w:r>
        <w:rPr>
          <w:b/>
          <w:bCs/>
        </w:rPr>
        <w:t xml:space="preserve">Perché ci sei tu.</w:t>
      </w:r>
      <w:r>
        <w:t xml:space="preserve"> </w:t>
      </w:r>
      <w:r>
        <w:t xml:space="preserve">Sulla sovrapposizione intestinale la meta-analisi di cinque studi randomizzati trova un effetto del trattamento osteopatico sul dolore addominale (−1,14) e sulla stipsi (−0,66). Non trova invece</w:t>
      </w:r>
      <w:r>
        <w:t xml:space="preserve"> </w:t>
      </w:r>
      <w:r>
        <w:rPr>
          <w:b/>
          <w:bCs/>
        </w:rPr>
        <w:t xml:space="preserve">nessun effetto sul quadro complessivo dell’intestino irritabile</w:t>
      </w:r>
      <w:r>
        <w:t xml:space="preserve"> </w:t>
      </w:r>
      <w:r>
        <w:t xml:space="preserve">(−0,34, p=0,19), a qualità delle prove bassa (Buffone,</w:t>
      </w:r>
      <w:r>
        <w:t xml:space="preserve"> </w:t>
      </w:r>
      <w:r>
        <w:rPr>
          <w:i/>
          <w:iCs/>
        </w:rPr>
        <w:t xml:space="preserve">Healthcare</w:t>
      </w:r>
      <w:r>
        <w:t xml:space="preserve"> </w:t>
      </w:r>
      <w:r>
        <w:t xml:space="preserve">2023, PMID 37685480).</w:t>
      </w:r>
      <w:r>
        <w:t xml:space="preserve"> </w:t>
      </w:r>
      <w:r>
        <w:rPr>
          <w:b/>
          <w:bCs/>
        </w:rPr>
        <w:t xml:space="preserve">Per te:</w:t>
      </w:r>
      <w:r>
        <w:t xml:space="preserve"> </w:t>
      </w:r>
      <w:r>
        <w:t xml:space="preserve">su questo sottotipo puoi parlare del dolore addominale, che è l’esito su cui l’effetto c’è. Questo ti autorizza a nominare quel bersaglio. Non ti autorizza a promettere che «il colon irritabile migliora».</w:t>
      </w:r>
    </w:p>
    <w:p>
      <w:r>
        <w:pict>
          <v:rect style="width:0;height:1.5pt" o:hralign="center" o:hrstd="t" o:hr="t"/>
        </w:pict>
      </w:r>
    </w:p>
    <w:bookmarkEnd w:id="44"/>
    <w:bookmarkEnd w:id="45"/>
    <w:bookmarkStart w:id="51"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su cinque portano prove vere, uno va ristretto per onestà, e uno non si lavora affatto con le mani.</w:t>
      </w:r>
    </w:p>
    <w:bookmarkStart w:id="46" w:name="biomeccanico-strutturale"/>
    <w:p>
      <w:pPr>
        <w:pStyle w:val="Heading3"/>
      </w:pPr>
      <w:r>
        <w:t xml:space="preserve">Biomeccanico-Strutturale</w:t>
      </w:r>
    </w:p>
    <w:p>
      <w:pPr>
        <w:pStyle w:val="FirstParagraph"/>
      </w:pPr>
      <w:r>
        <w:rPr>
          <w:b/>
          <w:bCs/>
        </w:rPr>
        <w:t xml:space="preserve">Cosa governa qui.</w:t>
      </w:r>
      <w:r>
        <w:t xml:space="preserve"> </w:t>
      </w:r>
      <w:r>
        <w:t xml:space="preserve">La meccanica del contenitore: la forma che l’addome prende quando il contenuto cambia, e la coordinazione fra diaframma, parete e gabbia toracica.</w:t>
      </w:r>
    </w:p>
    <w:p>
      <w:pPr>
        <w:pStyle w:val="BodyText"/>
      </w:pPr>
      <w:r>
        <w:rPr>
          <w:b/>
          <w:bCs/>
        </w:rPr>
        <w:t xml:space="preserve">Quali meccanismi governa.</w:t>
      </w:r>
      <w:r>
        <w:t xml:space="preserve"> </w:t>
      </w:r>
      <w:r>
        <w:t xml:space="preserve">Il primo per intero; il secondo per la sola parte di contenitore.</w:t>
      </w:r>
    </w:p>
    <w:p>
      <w:pPr>
        <w:pStyle w:val="BodyText"/>
      </w:pPr>
      <w:r>
        <w:rPr>
          <w:b/>
          <w:bCs/>
        </w:rPr>
        <w:t xml:space="preserve">Il viscerale non è un modello a sé, ed è una scelta.</w:t>
      </w:r>
      <w:r>
        <w:t xml:space="preserve"> </w:t>
      </w:r>
      <w:r>
        <w:t xml:space="preserve">La meccanica dell’organo vive qui, dentro il Biomeccanico. Il riflesso fra viscere e parete vive nel Neurologico. Un sesto modello in questa Bibbia non c’è, e la ragione sta in «Cosa dice la scienza»: la revisione dedicata alle tecniche viscerali conclude che le prove solide di affidabilità e di efficacia sono assenti. Ricostruirlo dopo aver letto quella riga sarebbe incoerente.</w:t>
      </w:r>
    </w:p>
    <w:p>
      <w:pPr>
        <w:pStyle w:val="BodyText"/>
      </w:pPr>
      <w:r>
        <w:rPr>
          <w:b/>
          <w:bCs/>
        </w:rPr>
        <w:t xml:space="preserve">Gli attori.</w:t>
      </w:r>
      <w:r>
        <w:t xml:space="preserve"> </w:t>
      </w:r>
      <w:r>
        <w:t xml:space="preserve">Il piano muscolare del contenitore: diaframma, parete anteriore, intercostali e ultime coste.</w:t>
      </w:r>
    </w:p>
    <w:p>
      <w:pPr>
        <w:pStyle w:val="BodyText"/>
      </w:pPr>
      <w:r>
        <w:rPr>
          <w:b/>
          <w:bCs/>
        </w:rPr>
        <w:t xml:space="preserve">I segnali.</w:t>
      </w:r>
      <w:r>
        <w:t xml:space="preserve"> </w:t>
      </w:r>
      <w:r>
        <w:t xml:space="preserve">Circonferenza che cambia durante la giornata in modo visibile. Costole basse che si allargano insieme alla pancia. Escursione costale inferiore ridotta e asimmetrica. Respiro alto</w:t>
      </w:r>
      <w:r>
        <w:t xml:space="preserve"> </w:t>
      </w:r>
      <w:r>
        <w:rPr>
          <w:b/>
          <w:bCs/>
        </w:rPr>
        <w:t xml:space="preserve">anche fuori dagli episodi e senza altri segni di allerta</w:t>
      </w:r>
      <w:r>
        <w:t xml:space="preserve">: è la precisazione che separa questo segnale dal Respiratorio-Circolatorio, dove il respiro alto viaggia insieme al sonno disturbato e alla reattività al primo contatto.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questi muscoli si comportino in modo anomalo durante l’episodio (Barba, 2015, PMID 25500424) e che rieducarne il comportamento riduca il sintomo (Barba, 2024, PMID 38467383).</w:t>
      </w:r>
      <w:r>
        <w:t xml:space="preserve"> </w:t>
      </w:r>
      <w:r>
        <w:rPr>
          <w:b/>
          <w:bCs/>
        </w:rPr>
        <w:t xml:space="preserve">IPOTESI</w:t>
      </w:r>
      <w:r>
        <w:t xml:space="preserve"> </w:t>
      </w:r>
      <w:r>
        <w:rPr>
          <w:i/>
          <w:iCs/>
        </w:rPr>
        <w:t xml:space="preserve">(meccanismo coerente, nessuno studio)</w:t>
      </w:r>
      <w:r>
        <w:t xml:space="preserve"> </w:t>
      </w:r>
      <w:r>
        <w:t xml:space="preserve">che la mobilizzazione manuale del diaframma produca lo stesso effetto: negli studi la correzione è ottenuta insegnando al paziente con un segnale strumentale, non trattandolo.</w:t>
      </w:r>
    </w:p>
    <w:bookmarkEnd w:id="46"/>
    <w:bookmarkStart w:id="47"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escursione diaframmatica, ritmo, rapporto fra inspirazione ed espirazione.</w:t>
      </w:r>
    </w:p>
    <w:p>
      <w:pPr>
        <w:pStyle w:val="BodyText"/>
      </w:pPr>
      <w:r>
        <w:rPr>
          <w:b/>
          <w:bCs/>
        </w:rPr>
        <w:t xml:space="preserve">Quali meccanismi governa.</w:t>
      </w:r>
      <w:r>
        <w:t xml:space="preserve"> </w:t>
      </w:r>
      <w:r>
        <w:t xml:space="preserve">Il primo, insieme al Biomeccanico; il quarto, per la via del ritmo respiratorio.</w:t>
      </w:r>
    </w:p>
    <w:p>
      <w:pPr>
        <w:pStyle w:val="BodyText"/>
      </w:pPr>
      <w:r>
        <w:rPr>
          <w:b/>
          <w:bCs/>
        </w:rPr>
        <w:t xml:space="preserve">Gli attori.</w:t>
      </w:r>
      <w:r>
        <w:t xml:space="preserve"> </w:t>
      </w:r>
      <w:r>
        <w:t xml:space="preserve">Il piano ventilatorio, muscoli accessori del collo compresi. I muscoli del collo entrano qui come</w:t>
      </w:r>
      <w:r>
        <w:t xml:space="preserve"> </w:t>
      </w:r>
      <w:r>
        <w:rPr>
          <w:b/>
          <w:bCs/>
        </w:rPr>
        <w:t xml:space="preserve">attori della meccanica ventilatoria, non come bersaglio</w:t>
      </w:r>
      <w:r>
        <w:t xml:space="preserve">: la regione cervicale ha un profilo di rischio proprio, indipendente da questa condizione, e la scelta di lavorarci e come è materia della Procedura.</w:t>
      </w:r>
    </w:p>
    <w:p>
      <w:pPr>
        <w:pStyle w:val="BodyText"/>
      </w:pPr>
      <w:r>
        <w:rPr>
          <w:b/>
          <w:bCs/>
        </w:rPr>
        <w:t xml:space="preserve">I segnali.</w:t>
      </w:r>
      <w:r>
        <w:t xml:space="preserve"> </w:t>
      </w:r>
      <w:r>
        <w:t xml:space="preserve">Respiro alto e corto a riposo. Apnea quando parla del sintomo. Escursione costale inferiore ridotta. Frequenza respiratoria aumentata rispetto al basale dello stesso paziente: la soglia utile è la variazione sul suo basale, non un numero assoluto.</w:t>
      </w:r>
    </w:p>
    <w:p>
      <w:pPr>
        <w:pStyle w:val="BlockText"/>
      </w:pPr>
      <w:r>
        <w:rPr>
          <w:b/>
          <w:bCs/>
        </w:rPr>
        <w:t xml:space="preserve">Attenzione — la restrizione di scope di questo modello.</w:t>
      </w:r>
      <w:r>
        <w:t xml:space="preserve"> </w:t>
      </w:r>
      <w:r>
        <w:t xml:space="preserve">Qui si usa la sola</w:t>
      </w:r>
      <w:r>
        <w:t xml:space="preserve"> </w:t>
      </w:r>
      <w:r>
        <w:rPr>
          <w:b/>
          <w:bCs/>
        </w:rPr>
        <w:t xml:space="preserve">meccanica ventilatoria</w:t>
      </w:r>
      <w:r>
        <w:t xml:space="preserve">. La metà circolatoria non viene invocata: ritorno venoso e linfatico addominale, drenaggio portale, gradienti pressori come leva. Quelle grandezze non sono mai state misurate prima e dopo un trattamento manuale dell’addome, e un razionale anatomico non giustifica un claim.</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nella dispepsia funzionale un ciclo di esercizi respiratori lenti migliori la capacità di assunzione e la qualità di vita: uno studio randomizzato su 40 pazienti,</w:t>
      </w:r>
      <w:r>
        <w:t xml:space="preserve"> </w:t>
      </w:r>
      <w:r>
        <w:rPr>
          <w:b/>
          <w:bCs/>
        </w:rPr>
        <w:t xml:space="preserve">senza gruppo simulato</w:t>
      </w:r>
      <w:r>
        <w:t xml:space="preserve"> </w:t>
      </w:r>
      <w:r>
        <w:t xml:space="preserve">— il braccio di controllo riceveva informazione e cure abituali (Hjelland,</w:t>
      </w:r>
      <w:r>
        <w:t xml:space="preserve"> </w:t>
      </w:r>
      <w:r>
        <w:rPr>
          <w:i/>
          <w:iCs/>
        </w:rPr>
        <w:t xml:space="preserve">Scand J Gastroenterol</w:t>
      </w:r>
      <w:r>
        <w:t xml:space="preserve"> </w:t>
      </w:r>
      <w:r>
        <w:t xml:space="preserve">2007, PMID 17710670). È l’unico esito clinico misurato su questa condizione, ed è la moneta di questo modello. E</w:t>
      </w:r>
      <w:r>
        <w:t xml:space="preserve"> </w:t>
      </w:r>
      <w:r>
        <w:rPr>
          <w:b/>
          <w:bCs/>
        </w:rPr>
        <w:t xml:space="preserve">PROBABILE</w:t>
      </w:r>
      <w:r>
        <w:t xml:space="preserve"> </w:t>
      </w:r>
      <w:r>
        <w:rPr>
          <w:i/>
          <w:iCs/>
        </w:rPr>
        <w:t xml:space="preserve">(razionale forte, prove parziali)</w:t>
      </w:r>
      <w:r>
        <w:t xml:space="preserve"> </w:t>
      </w:r>
      <w:r>
        <w:t xml:space="preserve">che allenare il diaframma cambi una misura strumentale gastro-esofagea (Eherer,</w:t>
      </w:r>
      <w:r>
        <w:t xml:space="preserve"> </w:t>
      </w:r>
      <w:r>
        <w:rPr>
          <w:i/>
          <w:iCs/>
        </w:rPr>
        <w:t xml:space="preserve">Am J Gastroenterol</w:t>
      </w:r>
      <w:r>
        <w:t xml:space="preserve"> </w:t>
      </w:r>
      <w:r>
        <w:t xml:space="preserve">2012, PMID 22146488) — misurato su 19 pazienti con reflusso non erosivo e con la pH-metria esofagea come esito, non su dispepsia e non sul gonfiore; i numeri stanno in «Cosa può fare il paziente da solo». Il dato autonomico sta sotto il Neurologico, dove appartiene.</w:t>
      </w:r>
    </w:p>
    <w:bookmarkEnd w:id="47"/>
    <w:bookmarkStart w:id="48" w:name="neurologico"/>
    <w:p>
      <w:pPr>
        <w:pStyle w:val="Heading3"/>
      </w:pPr>
      <w:r>
        <w:t xml:space="preserve">Neurologico</w:t>
      </w:r>
    </w:p>
    <w:p>
      <w:pPr>
        <w:pStyle w:val="FirstParagraph"/>
      </w:pPr>
      <w:r>
        <w:rPr>
          <w:b/>
          <w:bCs/>
        </w:rPr>
        <w:t xml:space="preserve">Cosa governa qui.</w:t>
      </w:r>
      <w:r>
        <w:t xml:space="preserve"> </w:t>
      </w:r>
      <w:r>
        <w:t xml:space="preserve">La soglia a cui un segnale viscerale diventa sintomo, la regolazione riflessa fra viscere e parete, e il controllo vagale della motilità.</w:t>
      </w:r>
    </w:p>
    <w:p>
      <w:pPr>
        <w:pStyle w:val="BodyText"/>
      </w:pPr>
      <w:r>
        <w:rPr>
          <w:b/>
          <w:bCs/>
        </w:rPr>
        <w:t xml:space="preserve">Quali meccanismi governa.</w:t>
      </w:r>
      <w:r>
        <w:t xml:space="preserve"> </w:t>
      </w:r>
      <w:r>
        <w:t xml:space="preserve">Il quarto per intero. Il secondo, per l’arco vago-vagale. Il</w:t>
      </w:r>
      <w:r>
        <w:t xml:space="preserve"> </w:t>
      </w:r>
      <w:r>
        <w:rPr>
          <w:b/>
          <w:bCs/>
        </w:rPr>
        <w:t xml:space="preserve">terzo</w:t>
      </w:r>
      <w:r>
        <w:t xml:space="preserve">, per il controllo vagale della motilità antro-pilorica e per il freno duodenale mediato dalla colecistochinina (van Boxel, 2014, PMID 24252886). Il quinto, per l’eccitabilità delle afferenze duodenali.</w:t>
      </w:r>
    </w:p>
    <w:p>
      <w:pPr>
        <w:pStyle w:val="BodyText"/>
      </w:pPr>
      <w:r>
        <w:rPr>
          <w:b/>
          <w:bCs/>
        </w:rPr>
        <w:t xml:space="preserve">Gli attori.</w:t>
      </w:r>
      <w:r>
        <w:t xml:space="preserve"> </w:t>
      </w:r>
      <w:r>
        <w:t xml:space="preserve">Il piano nervoso: afferenze vagali gastro-duodenali, afferenze spinali T5-T9, frenico C3-C5 come via diaframmatica, nucleo del tratto solitario.</w:t>
      </w:r>
    </w:p>
    <w:p>
      <w:pPr>
        <w:pStyle w:val="BodyText"/>
      </w:pPr>
      <w:r>
        <w:rPr>
          <w:b/>
          <w:bCs/>
        </w:rPr>
        <w:t xml:space="preserve">I segnali.</w:t>
      </w:r>
      <w:r>
        <w:t xml:space="preserve"> </w:t>
      </w:r>
      <w:r>
        <w:t xml:space="preserve">Il sintomo non segue quello che mangia. Ipersensibilità diffusa alla palpazione addominale, sproporzionata al reperto. Sobbalza quando appoggi le mani. Migliora in vacanza mangiando peggio.</w:t>
      </w:r>
    </w:p>
    <w:p>
      <w:pPr>
        <w:pStyle w:val="BlockText"/>
      </w:pPr>
      <w:r>
        <w:rPr>
          <w:b/>
          <w:bCs/>
        </w:rPr>
        <w:t xml:space="preserve">Quanto è solido:</w:t>
      </w:r>
      <w:r>
        <w:t xml:space="preserve"> </w:t>
      </w:r>
      <w:r>
        <w:t xml:space="preserve">l’etichetta si spezza, e dato positivo e negativo stanno insieme perché riguardano la stessa moneta.</w:t>
      </w:r>
      <w:r>
        <w:t xml:space="preserve"> </w:t>
      </w:r>
      <w:r>
        <w:rPr>
          <w:b/>
          <w:bCs/>
        </w:rPr>
        <w:t xml:space="preserve">DIMOSTRATO</w:t>
      </w:r>
      <w:r>
        <w:t xml:space="preserve"> </w:t>
      </w:r>
      <w:r>
        <w:rPr>
          <w:i/>
          <w:iCs/>
        </w:rPr>
        <w:t xml:space="preserve">(studi sull’uomo, solidi)</w:t>
      </w:r>
      <w:r>
        <w:t xml:space="preserve"> </w:t>
      </w:r>
      <w:r>
        <w:t xml:space="preserve">che la via vagale arrivi fino al sintomo dispeptico: 300 pazienti Roma IV randomizzati a stimolazione vagale auricolare transcutanea a 10 Hz, a 25 Hz o a un simulato, con risposta a quattro settimane dell’81,2% e del 75,9% contro il 47% del simulato (p&lt;0,001), mantenuta a otto e dodici settimane (Shi,</w:t>
      </w:r>
      <w:r>
        <w:t xml:space="preserve"> </w:t>
      </w:r>
      <w:r>
        <w:rPr>
          <w:i/>
          <w:iCs/>
        </w:rPr>
        <w:t xml:space="preserve">Am J Gastroenterol</w:t>
      </w:r>
      <w:r>
        <w:t xml:space="preserve"> </w:t>
      </w:r>
      <w:r>
        <w:t xml:space="preserve">2024, PMID 37787432), e sei studi randomizzati su 716 partecipanti a certezza moderata (Lee,</w:t>
      </w:r>
      <w:r>
        <w:t xml:space="preserve"> </w:t>
      </w:r>
      <w:r>
        <w:rPr>
          <w:i/>
          <w:iCs/>
        </w:rPr>
        <w:t xml:space="preserve">Complement Ther Med</w:t>
      </w:r>
      <w:r>
        <w:t xml:space="preserve"> </w:t>
      </w:r>
      <w:r>
        <w:t xml:space="preserve">2025, PMID 40967422) —</w:t>
      </w:r>
      <w:r>
        <w:t xml:space="preserve"> </w:t>
      </w:r>
      <w:r>
        <w:rPr>
          <w:b/>
          <w:bCs/>
        </w:rPr>
        <w:t xml:space="preserve">misurato con un elettrostimolatore applicato all’orecchio, non con le mani: dimostra che la strada esiste ed è percorribile, non che noi la percorriamo.</w:t>
      </w:r>
      <w:r>
        <w:t xml:space="preserve"> </w:t>
      </w:r>
      <w:r>
        <w:rPr>
          <w:b/>
          <w:bCs/>
        </w:rPr>
        <w:t xml:space="preserve">DIMOSTRATO</w:t>
      </w:r>
      <w:r>
        <w:t xml:space="preserve"> </w:t>
      </w:r>
      <w:r>
        <w:rPr>
          <w:i/>
          <w:iCs/>
        </w:rPr>
        <w:t xml:space="preserve">(studi sull’uomo, solidi)</w:t>
      </w:r>
      <w:r>
        <w:t xml:space="preserve"> </w:t>
      </w:r>
      <w:r>
        <w:t xml:space="preserve">che il respiro lento alzi la variabilità della frequenza cardiaca (Laborde, 2022, PMID 35623448) — con due salti, di</w:t>
      </w:r>
      <w:r>
        <w:t xml:space="preserve"> </w:t>
      </w:r>
      <w:r>
        <w:rPr>
          <w:b/>
          <w:bCs/>
        </w:rPr>
        <w:t xml:space="preserve">popolazione</w:t>
      </w:r>
      <w:r>
        <w:t xml:space="preserve"> </w:t>
      </w:r>
      <w:r>
        <w:t xml:space="preserve">e di</w:t>
      </w:r>
      <w:r>
        <w:t xml:space="preserve"> </w:t>
      </w:r>
      <w:r>
        <w:rPr>
          <w:b/>
          <w:bCs/>
        </w:rPr>
        <w:t xml:space="preserve">organo</w:t>
      </w:r>
      <w:r>
        <w:t xml:space="preserve">, perché è una misura cardiaca e non gastrica.</w:t>
      </w:r>
      <w:r>
        <w:t xml:space="preserve"> </w:t>
      </w:r>
      <w:r>
        <w:rPr>
          <w:b/>
          <w:bCs/>
        </w:rPr>
        <w:t xml:space="preserve">IPOTESI</w:t>
      </w:r>
      <w:r>
        <w:t xml:space="preserve"> </w:t>
      </w:r>
      <w:r>
        <w:rPr>
          <w:i/>
          <w:iCs/>
        </w:rPr>
        <w:t xml:space="preserve">(meccanismo coerente, nessuno studio)</w:t>
      </w:r>
      <w:r>
        <w:t xml:space="preserve"> </w:t>
      </w:r>
      <w:r>
        <w:t xml:space="preserve">che il tocco regoli il sistema nervoso autonomo, e con prove contrarie: 20 studi randomizzati non trovano effetto su ansia e stress e trovano la</w:t>
      </w:r>
      <w:r>
        <w:t xml:space="preserve"> </w:t>
      </w:r>
      <w:r>
        <w:rPr>
          <w:b/>
          <w:bCs/>
        </w:rPr>
        <w:t xml:space="preserve">conduttanza cutanea aumentata</w:t>
      </w:r>
      <w:r>
        <w:t xml:space="preserve"> </w:t>
      </w:r>
      <w:r>
        <w:t xml:space="preserve">(g=0,67, intervallo 0,00-1,34, p=0,05), cioè nella direzione dell’attivazione e con un intervallo che tocca lo zero; la stessa meta-analisi trova però una</w:t>
      </w:r>
      <w:r>
        <w:t xml:space="preserve"> </w:t>
      </w:r>
      <w:r>
        <w:rPr>
          <w:b/>
          <w:bCs/>
        </w:rPr>
        <w:t xml:space="preserve">riduzione significativa della depressione</w:t>
      </w:r>
      <w:r>
        <w:t xml:space="preserve"> </w:t>
      </w:r>
      <w:r>
        <w:t xml:space="preserve">(g=−0,47, intervallo −0,86/−0,09), più marcata nelle popolazioni con dolore (Gordon,</w:t>
      </w:r>
      <w:r>
        <w:t xml:space="preserve"> </w:t>
      </w:r>
      <w:r>
        <w:rPr>
          <w:i/>
          <w:iCs/>
        </w:rPr>
        <w:t xml:space="preserve">BMJ Open</w:t>
      </w:r>
      <w:r>
        <w:t xml:space="preserve"> </w:t>
      </w:r>
      <w:r>
        <w:t xml:space="preserve">2025, PMID 39920074). Sulla manipolazione</w:t>
      </w:r>
      <w:r>
        <w:t xml:space="preserve"> </w:t>
      </w:r>
      <w:r>
        <w:rPr>
          <w:b/>
          <w:bCs/>
        </w:rPr>
        <w:t xml:space="preserve">dorsale</w:t>
      </w:r>
      <w:r>
        <w:t xml:space="preserve">, la revisione su 20 studi e 863 partecipanti non trova nessun effetto sui marcatori autonomici (Hansen,</w:t>
      </w:r>
      <w:r>
        <w:t xml:space="preserve"> </w:t>
      </w:r>
      <w:r>
        <w:rPr>
          <w:i/>
          <w:iCs/>
        </w:rPr>
        <w:t xml:space="preserve">J Man Manip Ther</w:t>
      </w:r>
      <w:r>
        <w:t xml:space="preserve"> </w:t>
      </w:r>
      <w:r>
        <w:t xml:space="preserve">2025, PMID 40232939).</w:t>
      </w:r>
    </w:p>
    <w:p>
      <w:pPr>
        <w:pStyle w:val="FirstParagraph"/>
      </w:pPr>
      <w:r>
        <w:rPr>
          <w:b/>
          <w:bCs/>
        </w:rPr>
        <w:t xml:space="preserve">Due cose che non si scrivono, su questo modello.</w:t>
      </w:r>
    </w:p>
    <w:p>
      <w:pPr>
        <w:pStyle w:val="BodyText"/>
      </w:pPr>
      <w:r>
        <w:t xml:space="preserve">La prima: non si scrive «aumentare il tono vagale» come obiettivo del trattamento manuale. La ragione non è che la via non porti da nessuna parte, perché stimolata elettricamente ci porta. La ragione è che le</w:t>
      </w:r>
      <w:r>
        <w:t xml:space="preserve"> </w:t>
      </w:r>
      <w:r>
        <w:rPr>
          <w:b/>
          <w:bCs/>
        </w:rPr>
        <w:t xml:space="preserve">mani</w:t>
      </w:r>
      <w:r>
        <w:t xml:space="preserve"> </w:t>
      </w:r>
      <w:r>
        <w:t xml:space="preserve">su quella via non sono state misurate, e dove sono state cercate non sono state trovate.</w:t>
      </w:r>
    </w:p>
    <w:p>
      <w:pPr>
        <w:pStyle w:val="BodyText"/>
      </w:pPr>
      <w:r>
        <w:t xml:space="preserve">La seconda: non si scrive che un blocco dorsale «stimola l’allarme». Che il lavoro manuale dorsale modifichi l’attività simpatica non è stato trovato dove è stato cercato.</w:t>
      </w:r>
    </w:p>
    <w:bookmarkEnd w:id="48"/>
    <w:bookmarkStart w:id="49" w:name="metabolico-energetico"/>
    <w:p>
      <w:pPr>
        <w:pStyle w:val="Heading3"/>
      </w:pPr>
      <w:r>
        <w:t xml:space="preserve">Metabolico-Energetico</w:t>
      </w:r>
    </w:p>
    <w:p>
      <w:pPr>
        <w:pStyle w:val="FirstParagraph"/>
      </w:pPr>
      <w:r>
        <w:rPr>
          <w:b/>
          <w:bCs/>
        </w:rPr>
        <w:t xml:space="preserve">Cosa governa qui.</w:t>
      </w:r>
      <w:r>
        <w:t xml:space="preserve"> </w:t>
      </w:r>
      <w:r>
        <w:t xml:space="preserve">Il carico che arriva al sistema: composizione e distribuzione dei pasti, grassi, alcol, fumo, caffeina, antinfiammatori, peso, sonno.</w:t>
      </w:r>
    </w:p>
    <w:p>
      <w:pPr>
        <w:pStyle w:val="BodyText"/>
      </w:pPr>
      <w:r>
        <w:rPr>
          <w:b/>
          <w:bCs/>
        </w:rPr>
        <w:t xml:space="preserve">Quali meccanismi governa.</w:t>
      </w:r>
      <w:r>
        <w:t xml:space="preserve"> </w:t>
      </w:r>
      <w:r>
        <w:t xml:space="preserve">Il terzo e il quinto, dal solo lato del</w:t>
      </w:r>
      <w:r>
        <w:t xml:space="preserve"> </w:t>
      </w:r>
      <w:r>
        <w:rPr>
          <w:b/>
          <w:bCs/>
        </w:rPr>
        <w:t xml:space="preserve">carico</w:t>
      </w:r>
      <w:r>
        <w:t xml:space="preserve">: la via fisiologica con cui quel carico agisce è del Neurologico.</w:t>
      </w:r>
      <w:r>
        <w:t xml:space="preserve"> </w:t>
      </w:r>
      <w:r>
        <w:rPr>
          <w:b/>
          <w:bCs/>
        </w:rPr>
        <w:t xml:space="preserve">Gli attori</w:t>
      </w:r>
      <w:r>
        <w:t xml:space="preserve"> </w:t>
      </w:r>
      <w:r>
        <w:t xml:space="preserve">sono il pasto, gli orari, le sostanze, il sonno.</w:t>
      </w:r>
    </w:p>
    <w:p>
      <w:pPr>
        <w:pStyle w:val="BodyText"/>
      </w:pPr>
      <w:r>
        <w:rPr>
          <w:b/>
          <w:bCs/>
        </w:rPr>
        <w:t xml:space="preserve">I segnali.</w:t>
      </w:r>
      <w:r>
        <w:t xml:space="preserve"> </w:t>
      </w:r>
      <w:r>
        <w:t xml:space="preserve">Sintomo legato ai pasti grassi o abbondanti e serali. Uso continuativo di antinfiammatori. Sonno disturbato: fra dispepsia funzionale e disturbi del sonno la relazione è a doppio senso, su 30 studi (Billey,</w:t>
      </w:r>
      <w:r>
        <w:t xml:space="preserve"> </w:t>
      </w:r>
      <w:r>
        <w:rPr>
          <w:i/>
          <w:iCs/>
        </w:rPr>
        <w:t xml:space="preserve">Cureus</w:t>
      </w:r>
      <w:r>
        <w:t xml:space="preserve"> </w:t>
      </w:r>
      <w:r>
        <w:t xml:space="preserve">2024, PMID 39229406).</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 fattori di rischio comprendano fumo, antinfiammatori, gastroenterite acuta pregressa e</w:t>
      </w:r>
      <w:r>
        <w:t xml:space="preserve"> </w:t>
      </w:r>
      <w:r>
        <w:rPr>
          <w:b/>
          <w:bCs/>
        </w:rPr>
        <w:t xml:space="preserve">infezione da Helicobacter pylori</w:t>
      </w:r>
      <w:r>
        <w:t xml:space="preserve"> </w:t>
      </w:r>
      <w:r>
        <w:t xml:space="preserve">— che è l’unico curabile (Ford,</w:t>
      </w:r>
      <w:r>
        <w:t xml:space="preserve"> </w:t>
      </w:r>
      <w:r>
        <w:rPr>
          <w:i/>
          <w:iCs/>
        </w:rPr>
        <w:t xml:space="preserve">Lancet</w:t>
      </w:r>
      <w:r>
        <w:t xml:space="preserve"> </w:t>
      </w:r>
      <w:r>
        <w:t xml:space="preserve">2020, PMID 33049222, seminario di sintesi su fonti primarie). La comorbilità psicologica, che lo stesso lavoro elenca, sta sotto il Comportamentale. Sullo scope: nessuna di queste leve si lavora con le mani.</w:t>
      </w:r>
      <w:r>
        <w:t xml:space="preserve"> </w:t>
      </w:r>
      <w:r>
        <w:rPr>
          <w:b/>
          <w:bCs/>
        </w:rPr>
        <w:t xml:space="preserve">Si valutano, si nominano, si rinviano</w:t>
      </w:r>
      <w:r>
        <w:t xml:space="preserve"> </w:t>
      </w:r>
      <w:r>
        <w:t xml:space="preserve">al medico o al dietista.</w:t>
      </w:r>
    </w:p>
    <w:bookmarkEnd w:id="49"/>
    <w:bookmarkStart w:id="50"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La risposta appresa della parete addominale, le credenze sul cibo, il contesto della cura, la comorbilità psicologica.</w:t>
      </w:r>
    </w:p>
    <w:p>
      <w:pPr>
        <w:pStyle w:val="BodyText"/>
      </w:pPr>
      <w:r>
        <w:rPr>
          <w:b/>
          <w:bCs/>
        </w:rPr>
        <w:t xml:space="preserve">Quali meccanismi governa.</w:t>
      </w:r>
      <w:r>
        <w:t xml:space="preserve"> </w:t>
      </w:r>
      <w:r>
        <w:t xml:space="preserve">Il primo — ed è il punto che spiazza — e il quarto. Gli autori che hanno misurato la distensione la definiscono</w:t>
      </w:r>
      <w:r>
        <w:t xml:space="preserve"> </w:t>
      </w:r>
      <w:r>
        <w:rPr>
          <w:i/>
          <w:iCs/>
        </w:rPr>
        <w:t xml:space="preserve">una risposta comportamentale somatica che coinvolge l’attività della parete toraco-addominale</w:t>
      </w:r>
      <w:r>
        <w:t xml:space="preserve">.</w:t>
      </w:r>
    </w:p>
    <w:p>
      <w:pPr>
        <w:pStyle w:val="BodyText"/>
      </w:pPr>
      <w:r>
        <w:rPr>
          <w:b/>
          <w:bCs/>
        </w:rPr>
        <w:t xml:space="preserve">Gli attori.</w:t>
      </w:r>
      <w:r>
        <w:t xml:space="preserve"> </w:t>
      </w:r>
      <w:r>
        <w:t xml:space="preserve">La parete addominale come effettore di un comportamento, l’aspettativa, la relazione terapeutica.</w:t>
      </w:r>
    </w:p>
    <w:p>
      <w:pPr>
        <w:pStyle w:val="BodyText"/>
      </w:pPr>
      <w:r>
        <w:rPr>
          <w:b/>
          <w:bCs/>
        </w:rPr>
        <w:t xml:space="preserve">I segnali.</w:t>
      </w:r>
      <w:r>
        <w:t xml:space="preserve"> </w:t>
      </w:r>
      <w:r>
        <w:t xml:space="preserve">La dieta si è ristretta senza che nessun test lo giustificasse. Controlla la pancia più volte al giorno. Dieci integratori che hanno funzionato due settimane ciascuno. Arriva diffidente e con la sensazione di dover dimostrare qualcosa.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gli interventi psicologici funzionino</w:t>
      </w:r>
      <w:r>
        <w:t xml:space="preserve"> </w:t>
      </w:r>
      <w:r>
        <w:rPr>
          <w:b/>
          <w:bCs/>
        </w:rPr>
        <w:t xml:space="preserve">su questa condizione</w:t>
      </w:r>
      <w:r>
        <w:t xml:space="preserve">: meta-analisi di 14 studi randomizzati su 1.434 pazienti con dispepsia funzionale, miglioramento sintomatico con rischio relativo 1,74 (intervallo 1,12-2,72) e punteggi gastrointestinali migliorati a fine trattamento e al follow-up (Wei, 2022, PMID 35465581). È la prova sulla popolazione giusta, ed è il motivo per cui questo modello sta qui e non nell’appendice.</w:t>
      </w:r>
      <w:r>
        <w:t xml:space="preserve"> </w:t>
      </w:r>
      <w:r>
        <w:rPr>
          <w:b/>
          <w:bCs/>
        </w:rPr>
        <w:t xml:space="preserve">PROBABILE</w:t>
      </w:r>
      <w:r>
        <w:t xml:space="preserve"> </w:t>
      </w:r>
      <w:r>
        <w:rPr>
          <w:i/>
          <w:iCs/>
        </w:rPr>
        <w:t xml:space="preserve">(razionale forte, prove parziali)</w:t>
      </w:r>
      <w:r>
        <w:t xml:space="preserve"> </w:t>
      </w:r>
      <w:r>
        <w:t xml:space="preserve">che la sola componente</w:t>
      </w:r>
      <w:r>
        <w:t xml:space="preserve"> </w:t>
      </w:r>
      <w:r>
        <w:rPr>
          <w:b/>
          <w:bCs/>
        </w:rPr>
        <w:t xml:space="preserve">relazionale</w:t>
      </w:r>
      <w:r>
        <w:t xml:space="preserve"> </w:t>
      </w:r>
      <w:r>
        <w:t xml:space="preserve">della cura produca un effetto clinico: su 262 adulti con sindrome dell’intestino irritabile, il sollievo adeguato è stato riferito dal 28% in lista d’attesa, dal 44% con il solo rituale terapeutico e dal 62% quando la relazione era arricchita di attenzione e sicurezza (Kaptchuk,</w:t>
      </w:r>
      <w:r>
        <w:t xml:space="preserve"> </w:t>
      </w:r>
      <w:r>
        <w:rPr>
          <w:i/>
          <w:iCs/>
        </w:rPr>
        <w:t xml:space="preserve">BMJ</w:t>
      </w:r>
      <w:r>
        <w:t xml:space="preserve"> </w:t>
      </w:r>
      <w:r>
        <w:t xml:space="preserve">2008, PMID 18390493) — un solo studio, e con due salti: di</w:t>
      </w:r>
      <w:r>
        <w:t xml:space="preserve"> </w:t>
      </w:r>
      <w:r>
        <w:rPr>
          <w:b/>
          <w:bCs/>
        </w:rPr>
        <w:t xml:space="preserve">intervento</w:t>
      </w:r>
      <w:r>
        <w:t xml:space="preserve"> </w:t>
      </w:r>
      <w:r>
        <w:t xml:space="preserve">(agopuntura placebo, non terapia manuale) e di</w:t>
      </w:r>
      <w:r>
        <w:t xml:space="preserve"> </w:t>
      </w:r>
      <w:r>
        <w:rPr>
          <w:b/>
          <w:bCs/>
        </w:rPr>
        <w:t xml:space="preserve">popolazione</w:t>
      </w:r>
      <w:r>
        <w:t xml:space="preserve"> </w:t>
      </w:r>
      <w:r>
        <w:t xml:space="preserve">(intestino irritabile, non dispepsia).</w:t>
      </w:r>
    </w:p>
    <w:p>
      <w:pPr>
        <w:pStyle w:val="FirstParagraph"/>
      </w:pPr>
      <w:r>
        <w:rPr>
          <w:b/>
          <w:bCs/>
        </w:rPr>
        <w:t xml:space="preserve">Le tre cose da ricordare, più una</w:t>
      </w:r>
    </w:p>
    <w:p>
      <w:pPr>
        <w:pStyle w:val="Compact"/>
        <w:numPr>
          <w:ilvl w:val="0"/>
          <w:numId w:val="1022"/>
        </w:numPr>
      </w:pPr>
      <w:r>
        <w:t xml:space="preserve">Il modello con le prove migliori non è il Biomeccanico da solo: è il Biomeccanico letto attraverso il Comportamentale, perché la manovra sbagliata della parete è un comportamento.</w:t>
      </w:r>
    </w:p>
    <w:p>
      <w:pPr>
        <w:pStyle w:val="Compact"/>
        <w:numPr>
          <w:ilvl w:val="0"/>
          <w:numId w:val="1022"/>
        </w:numPr>
      </w:pPr>
      <w:r>
        <w:t xml:space="preserve">La metà circolatoria del Respiratorio-Circolatorio non si invoca. Non perché non interessi: perché non è stata misurata.</w:t>
      </w:r>
    </w:p>
    <w:p>
      <w:pPr>
        <w:pStyle w:val="Compact"/>
        <w:numPr>
          <w:ilvl w:val="0"/>
          <w:numId w:val="1022"/>
        </w:numPr>
      </w:pPr>
      <w:r>
        <w:t xml:space="preserve">Il Metabolico-Energetico pesa molto e non si tocca. Si valuta e si rinvia, e dirlo al paziente aumenta la tua credibilità invece di ridurla.</w:t>
      </w:r>
    </w:p>
    <w:p>
      <w:pPr>
        <w:pStyle w:val="Compact"/>
        <w:numPr>
          <w:ilvl w:val="0"/>
          <w:numId w:val="1022"/>
        </w:numPr>
      </w:pPr>
      <w:r>
        <w:rPr>
          <w:b/>
          <w:bCs/>
        </w:rPr>
        <w:t xml:space="preserve">Perché ci sei tu.</w:t>
      </w:r>
      <w:r>
        <w:t xml:space="preserve"> </w:t>
      </w:r>
      <w:r>
        <w:t xml:space="preserve">Fra i tre bracci dello studio sulla relazione terapeutica, la differenza fra il rituale da solo e il rituale con una relazione curata è di 18 punti percentuali di pazienti che riferiscono sollievo (44% contro 62%; Kaptchuk, 2008, PMID 18390493).</w:t>
      </w:r>
      <w:r>
        <w:t xml:space="preserve"> </w:t>
      </w:r>
      <w:r>
        <w:rPr>
          <w:b/>
          <w:bCs/>
        </w:rPr>
        <w:t xml:space="preserve">Per te:</w:t>
      </w:r>
      <w:r>
        <w:t xml:space="preserve"> </w:t>
      </w:r>
      <w:r>
        <w:t xml:space="preserve">il tempo che dedichi al colloquio non è tempo tolto al trattamento, è una componente misurata dell’effetto. Questo ti autorizza a proteggere quel tempo nella seduta. Non ti autorizza ad attribuire alla tua tecnica quello che appartiene al contesto.</w:t>
      </w:r>
    </w:p>
    <w:p>
      <w:r>
        <w:pict>
          <v:rect style="width:0;height:1.5pt" o:hralign="center" o:hrstd="t" o:hr="t"/>
        </w:pict>
      </w:r>
    </w:p>
    <w:bookmarkEnd w:id="50"/>
    <w:bookmarkEnd w:id="51"/>
    <w:bookmarkStart w:id="58"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davanti a tre pance gonfie identiche, quello che decide il ciclo non è il sintomo — è quale piano sta consumando più capacità di adattamento.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modo in cui si sceglie su cosa agire per primo. Non è un meccanismo dimostrato, e non va presentato al paziente come tale.</w:t>
      </w:r>
    </w:p>
    <w:bookmarkStart w:id="52" w:name="la-punta-e-il-sommerso"/>
    <w:p>
      <w:pPr>
        <w:pStyle w:val="Heading3"/>
      </w:pPr>
      <w:r>
        <w:t xml:space="preserve">La punta e il sommerso</w:t>
      </w:r>
    </w:p>
    <w:p>
      <w:pPr>
        <w:pStyle w:val="FirstParagraph"/>
      </w:pPr>
      <w:r>
        <w:t xml:space="preserve">Il paziente porta la punta: la pancia gonfia, la pesantezza, la nausea. La alimenta un sommerso, e finché il sommerso resta, la punta ritorna a ogni occasione di stress. Qui il sommerso è quasi sempre un</w:t>
      </w:r>
      <w:r>
        <w:t xml:space="preserve"> </w:t>
      </w:r>
      <w:r>
        <w:rPr>
          <w:b/>
          <w:bCs/>
        </w:rPr>
        <w:t xml:space="preserve">compenso</w:t>
      </w:r>
      <w:r>
        <w:t xml:space="preserve">.</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Quattro pazienti, stesso racconto, sommersi diversi.</w:t>
      </w:r>
    </w:p>
    <w:p>
      <w:pPr>
        <w:pStyle w:val="BodyText"/>
      </w:pPr>
      <w:r>
        <w:rPr>
          <w:b/>
          <w:bCs/>
        </w:rPr>
        <w:t xml:space="preserve">Paziente A — la parete.</w:t>
      </w:r>
      <w:r>
        <w:t xml:space="preserve"> </w:t>
      </w:r>
      <w:r>
        <w:rPr>
          <w:b/>
          <w:bCs/>
        </w:rPr>
        <w:t xml:space="preserve">Il reperto che decide:</w:t>
      </w:r>
      <w:r>
        <w:t xml:space="preserve"> </w:t>
      </w:r>
      <w:r>
        <w:t xml:space="preserve">il passo 1 è chiuso in negativo e il passo 2 è positivo. Chiuso in negativo vuol dire frequenza respiratoria uguale al suo basale, sonno buono, tessuti che non reagiscono al primo contatto: il respiro alto è meccanico e non è allerta. Il passo 2 è positivo perché la circonferenza cresce di tre centimetri fra prima del pasto scatenante e novanta minuti dopo.</w:t>
      </w:r>
      <w:r>
        <w:t xml:space="preserve"> </w:t>
      </w:r>
      <w:r>
        <w:rPr>
          <w:b/>
          <w:bCs/>
        </w:rPr>
        <w:t xml:space="preserve">Cosa fai:</w:t>
      </w:r>
      <w:r>
        <w:t xml:space="preserve"> </w:t>
      </w:r>
      <w:r>
        <w:t xml:space="preserve">il dominante è la meccanica del contenitore. Lavori sulla coordinazione fra diaframma e parete, e gli insegni a governarla.</w:t>
      </w:r>
      <w:r>
        <w:t xml:space="preserve"> </w:t>
      </w:r>
      <w:r>
        <w:rPr>
          <w:b/>
          <w:bCs/>
        </w:rPr>
        <w:t xml:space="preserve">I marker sono due.</w:t>
      </w:r>
      <w:r>
        <w:t xml:space="preserve"> </w:t>
      </w:r>
      <w:r>
        <w:t xml:space="preserve">La circonferenza, per l’effetto immediato del gesto, sul piano trattato. La rotazione cervicale attiva, per la chiave di volta, su un piano che non hai toccato. Se scende solo la circonferenza hai un effetto locale, non una chiave: il ciclo prosegue, ma senza dire al paziente che «il sistema si è mosso».</w:t>
      </w:r>
    </w:p>
    <w:p>
      <w:pPr>
        <w:pStyle w:val="BodyText"/>
      </w:pPr>
      <w:r>
        <w:rPr>
          <w:b/>
          <w:bCs/>
        </w:rPr>
        <w:t xml:space="preserve">Paziente B — l’attivazione.</w:t>
      </w:r>
      <w:r>
        <w:t xml:space="preserve"> </w:t>
      </w:r>
      <w:r>
        <w:rPr>
          <w:b/>
          <w:bCs/>
        </w:rPr>
        <w:t xml:space="preserve">Il reperto che decide:</w:t>
      </w:r>
      <w:r>
        <w:t xml:space="preserve"> </w:t>
      </w:r>
      <w:r>
        <w:rPr>
          <w:i/>
          <w:iCs/>
        </w:rPr>
        <w:t xml:space="preserve">«non c’è una regola»</w:t>
      </w:r>
      <w:r>
        <w:t xml:space="preserve">, sobbalza quando appoggi le mani, dorme male, e in vacanza sta meglio mangiando peggio.</w:t>
      </w:r>
      <w:r>
        <w:t xml:space="preserve"> </w:t>
      </w:r>
      <w:r>
        <w:rPr>
          <w:b/>
          <w:bCs/>
        </w:rPr>
        <w:t xml:space="preserve">Cosa fai:</w:t>
      </w:r>
      <w:r>
        <w:t xml:space="preserve"> </w:t>
      </w:r>
      <w:r>
        <w:t xml:space="preserve">il dominante è il livello di attivazione. Contatto lento, ritmo del respiro, tempo dedicato. Sono lavoro manuale a tutti gli effetti, mirato altrove.</w:t>
      </w:r>
      <w:r>
        <w:t xml:space="preserve"> </w:t>
      </w:r>
      <w:r>
        <w:rPr>
          <w:b/>
          <w:bCs/>
        </w:rPr>
        <w:t xml:space="preserve">L’etichetta di quella leva è IPOTESI su entrambi i pezzi</w:t>
      </w:r>
      <w:r>
        <w:t xml:space="preserve"> </w:t>
      </w:r>
      <w:r>
        <w:t xml:space="preserve">— sensibilità viscerale e regolazione autonomica — con le prove contrarie che «Perché le mani possono cambiare qualcosa» dichiara per esteso. I tempi sono quelli di uno spostamento di soglia in settimane. Ma la direzione è quella, ed è il paziente in cui hai</w:t>
      </w:r>
      <w:r>
        <w:t xml:space="preserve"> </w:t>
      </w:r>
      <w:r>
        <w:rPr>
          <w:b/>
          <w:bCs/>
        </w:rPr>
        <w:t xml:space="preserve">più da fare che nei sottotipi in cui puoi poco</w:t>
      </w:r>
      <w:r>
        <w:t xml:space="preserve">.</w:t>
      </w:r>
      <w:r>
        <w:t xml:space="preserve"> </w:t>
      </w:r>
      <w:r>
        <w:rPr>
          <w:b/>
          <w:bCs/>
        </w:rPr>
        <w:t xml:space="preserve">I marker sono due.</w:t>
      </w:r>
      <w:r>
        <w:t xml:space="preserve"> </w:t>
      </w:r>
      <w:r>
        <w:t xml:space="preserve">La frequenza respiratoria a riposo, per l’effetto di stato. La rotazione cervicale attiva, per la chiave di volta. Lo spostamento di soglia si legge in settimane sul punteggio del sintomo a parità di quello che mangia: è l’esito, non un marker. In parallelo si attiva il canale medico, perché nessuno ha inquadrato il sonno.</w:t>
      </w:r>
    </w:p>
    <w:p>
      <w:pPr>
        <w:pStyle w:val="BodyText"/>
      </w:pPr>
      <w:r>
        <w:rPr>
          <w:b/>
          <w:bCs/>
        </w:rPr>
        <w:t xml:space="preserve">Paziente C — il carico, e la bandiera rossa.</w:t>
      </w:r>
      <w:r>
        <w:t xml:space="preserve"> </w:t>
      </w:r>
      <w:r>
        <w:rPr>
          <w:b/>
          <w:bCs/>
        </w:rPr>
        <w:t xml:space="preserve">Il reperto che decide:</w:t>
      </w:r>
      <w:r>
        <w:t xml:space="preserve"> </w:t>
      </w:r>
      <w:r>
        <w:t xml:space="preserve">antinfiammatori tre volte a settimana, e quattro chili persi in cinque mesi senza volerlo.</w:t>
      </w:r>
      <w:r>
        <w:t xml:space="preserve"> </w:t>
      </w:r>
      <w:r>
        <w:rPr>
          <w:b/>
          <w:bCs/>
        </w:rPr>
        <w:t xml:space="preserve">Cosa fai:</w:t>
      </w:r>
      <w:r>
        <w:t xml:space="preserve"> </w:t>
      </w:r>
      <w:r>
        <w:t xml:space="preserve">il calo di peso non voluto è una bandiera rossa e viene prima di tutto. Si applica l’uscita ROSSA di «Dove finisce il nostro campo», per intero.</w:t>
      </w:r>
    </w:p>
    <w:p>
      <w:pPr>
        <w:pStyle w:val="BodyText"/>
      </w:pPr>
      <w:r>
        <w:rPr>
          <w:b/>
          <w:bCs/>
        </w:rPr>
        <w:t xml:space="preserve">Paziente D — il piano su cui non hai leva.</w:t>
      </w:r>
      <w:r>
        <w:t xml:space="preserve"> </w:t>
      </w:r>
      <w:r>
        <w:rPr>
          <w:b/>
          <w:bCs/>
        </w:rPr>
        <w:t xml:space="preserve">Il reperto che decide:</w:t>
      </w:r>
      <w:r>
        <w:t xml:space="preserve"> </w:t>
      </w:r>
      <w:r>
        <w:t xml:space="preserve">dice «non c’è più spazio», non «pesa», e un’ora dopo ha di nuovo fame. È questo che lo separa dalla pesantezza postprandiale, dove il pasto resta per ore. Peso stabile, nessuna bandiera rossa.</w:t>
      </w:r>
      <w:r>
        <w:t xml:space="preserve"> </w:t>
      </w:r>
      <w:r>
        <w:rPr>
          <w:b/>
          <w:bCs/>
        </w:rPr>
        <w:t xml:space="preserve">Cosa fai:</w:t>
      </w:r>
      <w:r>
        <w:t xml:space="preserve"> </w:t>
      </w:r>
      <w:r>
        <w:t xml:space="preserve">il dominante è l’accomodazione gastrica, un piano su cui nessuna mano ha mai dimostrato niente. Quel piano non chiude il ciclo, lo ridefinisce. Lavori sul contorno — parete, respiro, soglia — e</w:t>
      </w:r>
      <w:r>
        <w:t xml:space="preserve"> </w:t>
      </w:r>
      <w:r>
        <w:rPr>
          <w:b/>
          <w:bCs/>
        </w:rPr>
        <w:t xml:space="preserve">glielo dici prima di cominciare</w:t>
      </w:r>
      <w:r>
        <w:t xml:space="preserve">: chi sa di ricevere lavoro sul contorno non legge il risultato parziale come un fallimento.</w:t>
      </w:r>
      <w:r>
        <w:t xml:space="preserve"> </w:t>
      </w:r>
      <w:r>
        <w:rPr>
          <w:b/>
          <w:bCs/>
        </w:rPr>
        <w:t xml:space="preserve">Marker:</w:t>
      </w:r>
      <w:r>
        <w:t xml:space="preserve"> </w:t>
      </w:r>
      <w:r>
        <w:t xml:space="preserve">il volume bevuto prima della prima pienezza, con le due basali prese prima di iniziare. Chiave di volta, la rotazione cervicale attiva. Se il volume non si muove dentro la seduta, il riflesso non si è spostato. Se a sei settimane non si è mosso nemmeno il marker del contorno, il tuo reperto non era il driver.</w:t>
      </w:r>
    </w:p>
    <w:bookmarkEnd w:id="52"/>
    <w:bookmarkStart w:id="53" w:name="perché-si-indaga-da-monte"/>
    <w:p>
      <w:pPr>
        <w:pStyle w:val="Heading3"/>
      </w:pPr>
      <w:r>
        <w:t xml:space="preserve">Perché si indaga da monte</w:t>
      </w:r>
    </w:p>
    <w:p>
      <w:pPr>
        <w:pStyle w:val="FirstParagraph"/>
      </w:pPr>
      <w:r>
        <w:t xml:space="preserve">Il corpo sacrifica il comfort per proteggere le funzioni vitali. Il piano che comanda è quello più</w:t>
      </w:r>
      <w:r>
        <w:t xml:space="preserve"> </w:t>
      </w:r>
      <w:r>
        <w:rPr>
          <w:b/>
          <w:bCs/>
        </w:rPr>
        <w:t xml:space="preserve">a monte sul piano funzionale</w:t>
      </w:r>
      <w:r>
        <w:t xml:space="preserve"> </w:t>
      </w:r>
      <w:r>
        <w:t xml:space="preserve">fra quelli disfunzionali, perché condiziona tutti quelli sotto.</w:t>
      </w:r>
    </w:p>
    <w:p>
      <w:pPr>
        <w:pStyle w:val="BodyText"/>
      </w:pPr>
      <w:r>
        <w:rPr>
          <w:b/>
          <w:bCs/>
        </w:rPr>
        <w:t xml:space="preserve">«A monte» non è una coordinata anatomica: non vuol dire più vicino alla testa.</w:t>
      </w:r>
      <w:r>
        <w:t xml:space="preserve"> </w:t>
      </w:r>
      <w:r>
        <w:t xml:space="preserve">La lettura anatomica porta a cercare in cervicale, ed è l’errore da non fare: lo stomaco proietta su T5-T9. E porta a guardare solo verso l’alto: il colon carico sta</w:t>
      </w:r>
      <w:r>
        <w:t xml:space="preserve"> </w:t>
      </w:r>
      <w:r>
        <w:rPr>
          <w:b/>
          <w:bCs/>
        </w:rPr>
        <w:t xml:space="preserve">sotto</w:t>
      </w:r>
      <w:r>
        <w:t xml:space="preserve"> </w:t>
      </w:r>
      <w:r>
        <w:t xml:space="preserve">l’ombelico ed è a monte dello stomaco lento.</w:t>
      </w:r>
    </w:p>
    <w:p>
      <w:pPr>
        <w:pStyle w:val="BodyText"/>
      </w:pPr>
      <w:r>
        <w:t xml:space="preserve">E</w:t>
      </w:r>
      <w:r>
        <w:t xml:space="preserve"> </w:t>
      </w:r>
      <w:r>
        <w:rPr>
          <w:b/>
          <w:bCs/>
        </w:rPr>
        <w:t xml:space="preserve">la gerarchia ordina l’indagine, non la forza delle leve.</w:t>
      </w:r>
      <w:r>
        <w:t xml:space="preserve"> </w:t>
      </w:r>
      <w:r>
        <w:t xml:space="preserve">La leva con le prove migliori appartiene al piano della parete e del respiro, che nella gerarchia d’indagine non sta in cima.</w:t>
      </w:r>
    </w:p>
    <w:bookmarkEnd w:id="53"/>
    <w:bookmarkStart w:id="54" w:name="la-prova-della-chiave-di-volta"/>
    <w:p>
      <w:pPr>
        <w:pStyle w:val="Heading3"/>
      </w:pPr>
      <w:r>
        <w:t xml:space="preserve">La prova della chiave di volta</w:t>
      </w:r>
    </w:p>
    <w:p>
      <w:pPr>
        <w:pStyle w:val="FirstParagraph"/>
      </w:pPr>
      <w:r>
        <w:t xml:space="preserve">Tratti in prova il piano che sospetti dominante, poi rivaluti. Se cede anche il resto, hai trovato la chiave.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rimisuri dopo, per sapere se quello che hai fatto ha cambiato qualcosa. Non è il sintomo del paziente: è il segno che ti dice se la tua ipotesi era giusta.</w:t>
      </w:r>
    </w:p>
    <w:p>
      <w:pPr>
        <w:pStyle w:val="FirstParagraph"/>
      </w:pPr>
      <w:r>
        <w:t xml:space="preserve">Quattro condizioni, tutte necessarie. Misurabile in stanza in meno di un minuto, con lo stesso metodo prima e dopo. Scelto</w:t>
      </w:r>
      <w:r>
        <w:t xml:space="preserve"> </w:t>
      </w:r>
      <w:r>
        <w:rPr>
          <w:b/>
          <w:bCs/>
        </w:rPr>
        <w:t xml:space="preserve">prima</w:t>
      </w:r>
      <w:r>
        <w:t xml:space="preserve"> </w:t>
      </w:r>
      <w:r>
        <w:t xml:space="preserve">di trattare, e non cambiato dopo aver visto il risultato. Appartenente a un piano che</w:t>
      </w:r>
      <w:r>
        <w:t xml:space="preserve"> </w:t>
      </w:r>
      <w:r>
        <w:rPr>
          <w:b/>
          <w:bCs/>
        </w:rPr>
        <w:t xml:space="preserve">non</w:t>
      </w:r>
      <w:r>
        <w:t xml:space="preserve"> </w:t>
      </w:r>
      <w:r>
        <w:t xml:space="preserve">hai trattato. Con una</w:t>
      </w:r>
      <w:r>
        <w:t xml:space="preserve"> </w:t>
      </w:r>
      <w:r>
        <w:rPr>
          <w:b/>
          <w:bCs/>
        </w:rPr>
        <w:t xml:space="preserve">soglia dichiarata</w:t>
      </w:r>
      <w:r>
        <w:t xml:space="preserve">.</w:t>
      </w:r>
    </w:p>
    <w:p>
      <w:pPr>
        <w:pStyle w:val="BodyText"/>
      </w:pPr>
      <w:r>
        <w:t xml:space="preserve">E una distinzione obbligatoria, perché la misura su cui poggia l’unico effetto documentato è</w:t>
      </w:r>
      <w:r>
        <w:t xml:space="preserve"> </w:t>
      </w:r>
      <w:r>
        <w:rPr>
          <w:b/>
          <w:bCs/>
        </w:rPr>
        <w:t xml:space="preserve">sul piano trattato</w:t>
      </w:r>
      <w:r>
        <w:t xml:space="preserve">. La</w:t>
      </w:r>
      <w:r>
        <w:t xml:space="preserve"> </w:t>
      </w:r>
      <w:r>
        <w:rPr>
          <w:b/>
          <w:bCs/>
        </w:rPr>
        <w:t xml:space="preserve">misura di effetto immediato del gesto</w:t>
      </w:r>
      <w:r>
        <w:t xml:space="preserve"> </w:t>
      </w:r>
      <w:r>
        <w:t xml:space="preserve">può stare sul piano che hai toccato, purché la soglia sia dichiarata. Il</w:t>
      </w:r>
      <w:r>
        <w:t xml:space="preserve"> </w:t>
      </w:r>
      <w:r>
        <w:rPr>
          <w:b/>
          <w:bCs/>
        </w:rPr>
        <w:t xml:space="preserve">marker della chiave di volta</w:t>
      </w:r>
      <w:r>
        <w:t xml:space="preserve"> </w:t>
      </w:r>
      <w:r>
        <w:t xml:space="preserve">no.</w:t>
      </w:r>
    </w:p>
    <w:p>
      <w:pPr>
        <w:pStyle w:val="BodyText"/>
      </w:pPr>
      <w:r>
        <w:rPr>
          <w:b/>
          <w:bCs/>
        </w:rPr>
        <w:t xml:space="preserve">Quando il marker della chiave di volta non si muove</w:t>
      </w:r>
      <w:r>
        <w:t xml:space="preserve">, non è una rinuncia: è un’informazione. Il tuo reperto non era il driver. Hai acceso i tergicristalli e il vetro è rimasto appannato: non era pioggia. Si torna alla Road Map e si scende al passo successivo; se il tempo del GIALLO è scaduto, la spinta sul canale medico da parallela diventa prioritaria.</w:t>
      </w:r>
    </w:p>
    <w:bookmarkEnd w:id="54"/>
    <w:bookmarkStart w:id="55" w:name="i-marker-di-questa-condizione"/>
    <w:p>
      <w:pPr>
        <w:pStyle w:val="Heading3"/>
      </w:pPr>
      <w:r>
        <w:t xml:space="preserve">I marker di questa condizione</w:t>
      </w:r>
    </w:p>
    <w:p>
      <w:pPr>
        <w:pStyle w:val="FirstParagraph"/>
      </w:pPr>
      <w:r>
        <w:t xml:space="preserve">Sono cinque. Ognuno con come si misura,</w:t>
      </w:r>
      <w:r>
        <w:t xml:space="preserve"> </w:t>
      </w:r>
      <w:r>
        <w:rPr>
          <w:b/>
          <w:bCs/>
        </w:rPr>
        <w:t xml:space="preserve">contro cosa si confronta</w:t>
      </w:r>
      <w:r>
        <w:t xml:space="preserve">, quale soglia conta e</w:t>
      </w:r>
      <w:r>
        <w:t xml:space="preserve"> </w:t>
      </w:r>
      <w:r>
        <w:rPr>
          <w:b/>
          <w:bCs/>
        </w:rPr>
        <w:t xml:space="preserve">da dove viene</w:t>
      </w:r>
      <w:r>
        <w:t xml:space="preserve"> </w:t>
      </w:r>
      <w:r>
        <w:t xml:space="preserve">quella soglia. Una soglia senza provenienza è un numero inventato, e vale meno dell’assenza di soglia perché sembra un dato.</w:t>
      </w:r>
    </w:p>
    <w:p>
      <w:pPr>
        <w:pStyle w:val="BodyText"/>
      </w:pPr>
      <w:r>
        <w:rPr>
          <w:b/>
          <w:bCs/>
        </w:rPr>
        <w:t xml:space="preserve">1. Circonferenza addominale all’ombelico — misura di effetto immediato.</w:t>
      </w:r>
      <w:r>
        <w:t xml:space="preserve"> </w:t>
      </w:r>
      <w:r>
        <w:t xml:space="preserve">Come si misura: metro all’ombelico, stesso punto segnato, prima del pasto scatenante e a 90 minuti.</w:t>
      </w:r>
      <w:r>
        <w:t xml:space="preserve"> </w:t>
      </w:r>
      <w:r>
        <w:t xml:space="preserve">Cosa confronti, e sono due letture diverse dello stesso strumento.</w:t>
      </w:r>
      <w:r>
        <w:t xml:space="preserve"> </w:t>
      </w:r>
      <w:r>
        <w:rPr>
          <w:b/>
          <w:bCs/>
        </w:rPr>
        <w:t xml:space="preserve">Per presumere il sottotipo</w:t>
      </w:r>
      <w:r>
        <w:t xml:space="preserve">, guardi l’aumento post-prandiale di una sola giornata: se cresce in modo visibile, sei nella distensione visibile.</w:t>
      </w:r>
      <w:r>
        <w:t xml:space="preserve"> </w:t>
      </w:r>
      <w:r>
        <w:rPr>
          <w:b/>
          <w:bCs/>
        </w:rPr>
        <w:t xml:space="preserve">Per misurare l’effetto</w:t>
      </w:r>
      <w:r>
        <w:t xml:space="preserve">, confronti l’aumento post-prandiale di oggi con quello di una giornata successiva: è una differenza di differenze, ed è quella che deve scendere.</w:t>
      </w:r>
      <w:r>
        <w:t xml:space="preserve"> </w:t>
      </w:r>
      <w:r>
        <w:t xml:space="preserve">Soglia:</w:t>
      </w:r>
      <w:r>
        <w:t xml:space="preserve"> </w:t>
      </w:r>
      <w:r>
        <w:rPr>
          <w:b/>
          <w:bCs/>
        </w:rPr>
        <w:t xml:space="preserve">2 centimetri</w:t>
      </w:r>
      <w:r>
        <w:t xml:space="preserve"> </w:t>
      </w:r>
      <w:r>
        <w:t xml:space="preserve">di riduzione dell’aumento post-prandiale. Provenienza: negli episodi reali l’aumento è di 32 ± 3 millimetri e il trattamento lo riduce di 25 ± 3 (Barba, 2015, PMID 25500424). Due centimetri stanno sotto quel cambiamento e sopra l’errore del nastro raddoppiato. È dichiarata per questo, non presa da uno studio di misura.</w:t>
      </w:r>
      <w:r>
        <w:t xml:space="preserve"> </w:t>
      </w:r>
      <w:r>
        <w:rPr>
          <w:b/>
          <w:bCs/>
        </w:rPr>
        <w:t xml:space="preserve">Cautela:</w:t>
      </w:r>
      <w:r>
        <w:t xml:space="preserve"> </w:t>
      </w:r>
      <w:r>
        <w:t xml:space="preserve">nelle donne in età fertile il confronto fra due sedute vale solo se le misure cadono nella stessa fase del ciclo. Altrimenti resta intra-seduta.</w:t>
      </w:r>
    </w:p>
    <w:p>
      <w:pPr>
        <w:pStyle w:val="BodyText"/>
      </w:pPr>
      <w:r>
        <w:rPr>
          <w:b/>
          <w:bCs/>
        </w:rPr>
        <w:t xml:space="preserve">2. Volume bevuto prima della prima sensazione di pienezza — misura di effetto sul sintomo cardine.</w:t>
      </w:r>
      <w:r>
        <w:t xml:space="preserve"> </w:t>
      </w:r>
      <w:r>
        <w:t xml:space="preserve">Come si misura: acqua a ritmo costante; ci si ferma alla prima sensazione di pienezza e non alla massima tollerata.</w:t>
      </w:r>
      <w:r>
        <w:t xml:space="preserve"> </w:t>
      </w:r>
      <w:r>
        <w:t xml:space="preserve">Cosa confronti: il volume di oggi con il basale dello stesso paziente.</w:t>
      </w:r>
      <w:r>
        <w:t xml:space="preserve"> </w:t>
      </w:r>
      <w:r>
        <w:rPr>
          <w:b/>
          <w:bCs/>
        </w:rPr>
        <w:t xml:space="preserve">La soglia è individuale.</w:t>
      </w:r>
      <w:r>
        <w:t xml:space="preserve"> </w:t>
      </w:r>
      <w:r>
        <w:t xml:space="preserve">Prendi due misure basali in due giorni diversi prima di iniziare, e la soglia è</w:t>
      </w:r>
      <w:r>
        <w:t xml:space="preserve"> </w:t>
      </w:r>
      <w:r>
        <w:rPr>
          <w:b/>
          <w:bCs/>
        </w:rPr>
        <w:t xml:space="preserve">il doppio della loro differenza</w:t>
      </w:r>
      <w:r>
        <w:t xml:space="preserve">. Senza quelle due basali il marker non è utilizzabile.</w:t>
      </w:r>
      <w:r>
        <w:t xml:space="preserve"> </w:t>
      </w:r>
      <w:r>
        <w:t xml:space="preserve">Provenienza: il test è pubblicato ed è stato misurato su questa popolazione (Yoshida, 2023, PMID 37807053; Salaris, 2025, PMID 41367122) —</w:t>
      </w:r>
      <w:r>
        <w:t xml:space="preserve"> </w:t>
      </w:r>
      <w:r>
        <w:rPr>
          <w:b/>
          <w:bCs/>
        </w:rPr>
        <w:t xml:space="preserve">misurato come differenza fra pazienti e sani, non come cambiamento dopo un trattamento: dice che il marker distingue, non che si muove quando tratti.</w:t>
      </w:r>
      <w:r>
        <w:t xml:space="preserve"> </w:t>
      </w:r>
      <w:r>
        <w:t xml:space="preserve">Per questo la soglia resta individuale e viene dall’errore dello stesso paziente raddoppiato, e non da quei valori. Resta anche la differenza di stimolo: Hjelland 2007 e Talley 2015 hanno misurato il</w:t>
      </w:r>
      <w:r>
        <w:t xml:space="preserve"> </w:t>
      </w:r>
      <w:r>
        <w:rPr>
          <w:b/>
          <w:bCs/>
        </w:rPr>
        <w:t xml:space="preserve">volume massimo tollerato</w:t>
      </w:r>
      <w:r>
        <w:t xml:space="preserve"> </w:t>
      </w:r>
      <w:r>
        <w:t xml:space="preserve">con un liquido calorico, non la prima pienezza con acqua.</w:t>
      </w:r>
      <w:r>
        <w:t xml:space="preserve"> </w:t>
      </w:r>
      <w:r>
        <w:rPr>
          <w:b/>
          <w:bCs/>
        </w:rPr>
        <w:t xml:space="preserve">Quale delle due sensazioni chiedi, e non si cambia in corsa.</w:t>
      </w:r>
      <w:r>
        <w:t xml:space="preserve"> </w:t>
      </w:r>
      <w:r>
        <w:t xml:space="preserve">Dichiara al paziente se stai cercando la prima sazietà o la pienezza, e usa la stessa a ogni misura. In questi pazienti le due si muovono in</w:t>
      </w:r>
      <w:r>
        <w:t xml:space="preserve"> </w:t>
      </w:r>
      <w:r>
        <w:rPr>
          <w:b/>
          <w:bCs/>
        </w:rPr>
        <w:t xml:space="preserve">direzioni opposte</w:t>
      </w:r>
      <w:r>
        <w:t xml:space="preserve">: serve meno acqua per arrivare alla sazietà e più acqua per arrivare alla pienezza (Salaris, 2025, PMID 41367122). Chiedere l’una e registrare l’altra fa muovere il marker dalla parte sbagliata.</w:t>
      </w:r>
    </w:p>
    <w:p>
      <w:pPr>
        <w:pStyle w:val="BodyText"/>
      </w:pPr>
      <w:r>
        <w:rPr>
          <w:b/>
          <w:bCs/>
        </w:rPr>
        <w:t xml:space="preserve">3. Escursione costale inferiore — misura di effetto immediato.</w:t>
      </w:r>
      <w:r>
        <w:t xml:space="preserve"> </w:t>
      </w:r>
      <w:r>
        <w:t xml:space="preserve">Come si misura: metro al processo xifoideo, differenza fra fine espirazione e fine inspirazione massimale.</w:t>
      </w:r>
      <w:r>
        <w:t xml:space="preserve"> </w:t>
      </w:r>
      <w:r>
        <w:t xml:space="preserve">Cosa confronti: quella differenza prima e dopo il gesto, nella stessa seduta.</w:t>
      </w:r>
      <w:r>
        <w:t xml:space="preserve"> </w:t>
      </w:r>
      <w:r>
        <w:t xml:space="preserve">Soglia:</w:t>
      </w:r>
      <w:r>
        <w:t xml:space="preserve"> </w:t>
      </w:r>
      <w:r>
        <w:rPr>
          <w:b/>
          <w:bCs/>
        </w:rPr>
        <w:t xml:space="preserve">1 centimetro</w:t>
      </w:r>
      <w:r>
        <w:t xml:space="preserve">, errore tipico della misura raddoppiato, dichiarato come convenzione e non come dato di letteratura.</w:t>
      </w:r>
    </w:p>
    <w:p>
      <w:pPr>
        <w:pStyle w:val="BodyText"/>
      </w:pPr>
      <w:r>
        <w:rPr>
          <w:b/>
          <w:bCs/>
        </w:rPr>
        <w:t xml:space="preserve">4. Frequenza respiratoria a riposo — effetto di stato, per il sottotipo con la soglia abbassata.</w:t>
      </w:r>
      <w:r>
        <w:t xml:space="preserve"> </w:t>
      </w:r>
      <w:r>
        <w:t xml:space="preserve">Come si misura: contata su sessanta secondi.</w:t>
      </w:r>
      <w:r>
        <w:t xml:space="preserve"> </w:t>
      </w:r>
      <w:r>
        <w:t xml:space="preserve">Cosa confronti: il conteggio di oggi con il basale d’ingresso dello stesso paziente.</w:t>
      </w:r>
      <w:r>
        <w:t xml:space="preserve"> </w:t>
      </w:r>
      <w:r>
        <w:t xml:space="preserve">Soglia:</w:t>
      </w:r>
      <w:r>
        <w:t xml:space="preserve"> </w:t>
      </w:r>
      <w:r>
        <w:rPr>
          <w:b/>
          <w:bCs/>
        </w:rPr>
        <w:t xml:space="preserve">2 atti al minuto</w:t>
      </w:r>
      <w:r>
        <w:t xml:space="preserve">, errore del conteggio raddoppiato, dichiarato come convenzione. È l’unico marker che quel sottotipo ha, e serve a distinguere l’effetto di stato dentro la seduta dallo spostamento di soglia. Lo spostamento di soglia si misura in settimane, sul punteggio del sintomo a parità di quello che il paziente mangia.</w:t>
      </w:r>
    </w:p>
    <w:p>
      <w:pPr>
        <w:pStyle w:val="BodyText"/>
      </w:pPr>
      <w:r>
        <w:rPr>
          <w:b/>
          <w:bCs/>
        </w:rPr>
        <w:t xml:space="preserve">5. Rotazione cervicale attiva in gradi — marker della prova della chiave di volta.</w:t>
      </w:r>
      <w:r>
        <w:t xml:space="preserve"> </w:t>
      </w:r>
      <w:r>
        <w:t xml:space="preserve">Come si misura: rotazione attiva senza compenso del tronco, destra e sinistra, stesso metodo prima e dopo.</w:t>
      </w:r>
      <w:r>
        <w:t xml:space="preserve"> </w:t>
      </w:r>
      <w:r>
        <w:t xml:space="preserve">Soglia:</w:t>
      </w:r>
      <w:r>
        <w:t xml:space="preserve"> </w:t>
      </w:r>
      <w:r>
        <w:rPr>
          <w:b/>
          <w:bCs/>
        </w:rPr>
        <w:t xml:space="preserve">10 gradi</w:t>
      </w:r>
      <w:r>
        <w:t xml:space="preserve">, errore della misura raddoppiato, dichiarato come convenzione.</w:t>
      </w:r>
      <w:r>
        <w:t xml:space="preserve"> </w:t>
      </w:r>
      <w:r>
        <w:rPr>
          <w:b/>
          <w:bCs/>
        </w:rPr>
        <w:t xml:space="preserve">Perché non la distanza dita-pavimento.</w:t>
      </w:r>
      <w:r>
        <w:t xml:space="preserve"> </w:t>
      </w:r>
      <w:r>
        <w:t xml:space="preserve">Non regge qui, per due ragioni. La prima è anatomica. I pilastri crurali del diaframma si ancorano a L1-L3 e alla fascia toraco-lombare, quindi chi lavora il diaframma tocca quella catena. E la</w:t>
      </w:r>
      <w:r>
        <w:t xml:space="preserve"> </w:t>
      </w:r>
      <w:r>
        <w:rPr>
          <w:b/>
          <w:bCs/>
        </w:rPr>
        <w:t xml:space="preserve">catena</w:t>
      </w:r>
      <w:r>
        <w:t xml:space="preserve"> </w:t>
      </w:r>
      <w:r>
        <w:t xml:space="preserve">è un insieme di strutture collegate che si influenzano a distanza, per continuità meccanica o per via nervosa. Il marker si muoverebbe</w:t>
      </w:r>
      <w:r>
        <w:t xml:space="preserve"> </w:t>
      </w:r>
      <w:r>
        <w:rPr>
          <w:i/>
          <w:iCs/>
        </w:rPr>
        <w:t xml:space="preserve">perché</w:t>
      </w:r>
      <w:r>
        <w:t xml:space="preserve"> </w:t>
      </w:r>
      <w:r>
        <w:t xml:space="preserve">hai trattato, e leggeresti come conferma un effetto locale. La seconda è di letteratura: nell’unico studio che l’ha rilevata in quest’area è un esito</w:t>
      </w:r>
      <w:r>
        <w:t xml:space="preserve"> </w:t>
      </w:r>
      <w:r>
        <w:rPr>
          <w:b/>
          <w:bCs/>
        </w:rPr>
        <w:t xml:space="preserve">secondario</w:t>
      </w:r>
      <w:r>
        <w:t xml:space="preserve"> </w:t>
      </w:r>
      <w:r>
        <w:t xml:space="preserve">senza risultato significativo, su pazienti con stipsi e lombalgia (Boas Fernandes,</w:t>
      </w:r>
      <w:r>
        <w:t xml:space="preserve"> </w:t>
      </w:r>
      <w:r>
        <w:rPr>
          <w:i/>
          <w:iCs/>
        </w:rPr>
        <w:t xml:space="preserve">J Bodyw Mov Ther</w:t>
      </w:r>
      <w:r>
        <w:t xml:space="preserve"> </w:t>
      </w:r>
      <w:r>
        <w:t xml:space="preserve">2023, PMID 37301564).</w:t>
      </w:r>
      <w:r>
        <w:t xml:space="preserve"> </w:t>
      </w:r>
      <w:r>
        <w:t xml:space="preserve">&gt;</w:t>
      </w:r>
      <w:r>
        <w:t xml:space="preserve"> </w:t>
      </w:r>
      <w:r>
        <w:rPr>
          <w:b/>
          <w:bCs/>
        </w:rPr>
        <w:t xml:space="preserve">Quanto è solido:</w:t>
      </w:r>
      <w:r>
        <w:t xml:space="preserve"> </w:t>
      </w:r>
      <w:r>
        <w:rPr>
          <w:b/>
          <w:bCs/>
        </w:rPr>
        <w:t xml:space="preserve">RAGIONAMENTO</w:t>
      </w:r>
      <w:r>
        <w:t xml:space="preserve"> </w:t>
      </w:r>
      <w:r>
        <w:rPr>
          <w:i/>
          <w:iCs/>
        </w:rPr>
        <w:t xml:space="preserve">(cornice clinica, non una prova)</w:t>
      </w:r>
      <w:r>
        <w:t xml:space="preserve">. Nessun marker della chiave di volta è validato su questa condizione. Questo è scelto per indipendenza dal piano trattato, non perché sia dimostrato che si muova: se resta fermo, la conclusione è che il tuo reperto non era il driver, non che il paziente non è migliorato. E se la flessione anteriore ti serve per altro,</w:t>
      </w:r>
      <w:r>
        <w:t xml:space="preserve"> </w:t>
      </w:r>
      <w:r>
        <w:rPr>
          <w:b/>
          <w:bCs/>
        </w:rPr>
        <w:t xml:space="preserve">non si chiede</w:t>
      </w:r>
      <w:r>
        <w:t xml:space="preserve"> </w:t>
      </w:r>
      <w:r>
        <w:t xml:space="preserve">a chi ha osteoporosi nota, una frattura vertebrale pregressa o una terapia per l’osteoporosi in corso: la flessione anteriore carica in quel rachide è associata a frattura da compressione (Sinaki,</w:t>
      </w:r>
      <w:r>
        <w:t xml:space="preserve"> </w:t>
      </w:r>
      <w:r>
        <w:rPr>
          <w:i/>
          <w:iCs/>
        </w:rPr>
        <w:t xml:space="preserve">Pain Pract</w:t>
      </w:r>
      <w:r>
        <w:t xml:space="preserve"> </w:t>
      </w:r>
      <w:r>
        <w:t xml:space="preserve">2013, PMID 22448849).</w:t>
      </w:r>
    </w:p>
    <w:bookmarkEnd w:id="55"/>
    <w:bookmarkStart w:id="56" w:name="la-road-map"/>
    <w:p>
      <w:pPr>
        <w:pStyle w:val="Heading3"/>
      </w:pPr>
      <w:r>
        <w:t xml:space="preserve">La Road Map</w:t>
      </w:r>
    </w:p>
    <w:p>
      <w:pPr>
        <w:pStyle w:val="FirstParagraph"/>
      </w:pPr>
      <w:r>
        <w:t xml:space="preserve">Cinque passi, in quest’ordine. Le bandiere rosse stanno</w:t>
      </w:r>
      <w:r>
        <w:t xml:space="preserve"> </w:t>
      </w:r>
      <w:r>
        <w:rPr>
          <w:b/>
          <w:bCs/>
        </w:rPr>
        <w:t xml:space="preserve">fuori</w:t>
      </w:r>
      <w:r>
        <w:t xml:space="preserve"> </w:t>
      </w:r>
      <w:r>
        <w:t xml:space="preserve">da questa lista, come cancello che la precede: mescolarle in una sequenza numerata metterebbe due criteri diversi nella stessa scala.</w:t>
      </w:r>
    </w:p>
    <w:p>
      <w:pPr>
        <w:pStyle w:val="Compact"/>
        <w:numPr>
          <w:ilvl w:val="0"/>
          <w:numId w:val="1023"/>
        </w:numPr>
      </w:pPr>
      <w:r>
        <w:rPr>
          <w:b/>
          <w:bCs/>
        </w:rPr>
        <w:t xml:space="preserve">C’è un farmaco che sta producendo il quadro?</w:t>
      </w:r>
      <w:r>
        <w:t xml:space="preserve"> </w:t>
      </w:r>
      <w:r>
        <w:t xml:space="preserve">È il filtro che viene prima del ragionamento clinico. Antinfiammatori, ferro, oppioidi.</w:t>
      </w:r>
      <w:r>
        <w:t xml:space="preserve"> </w:t>
      </w:r>
      <w:r>
        <w:rPr>
          <w:b/>
          <w:bCs/>
        </w:rPr>
        <w:t xml:space="preserve">Bisfosfonati orali</w:t>
      </w:r>
      <w:r>
        <w:t xml:space="preserve">, che causano esofagite chimica con erosioni — 199 casi esofagei su 1.213 segnalazioni, il 26% gravi (de Groen,</w:t>
      </w:r>
      <w:r>
        <w:t xml:space="preserve"> </w:t>
      </w:r>
      <w:r>
        <w:rPr>
          <w:i/>
          <w:iCs/>
        </w:rPr>
        <w:t xml:space="preserve">NEJM</w:t>
      </w:r>
      <w:r>
        <w:t xml:space="preserve"> </w:t>
      </w:r>
      <w:r>
        <w:t xml:space="preserve">1996, PMID 8793925): risolvono in due settimane cambiando modalità di assunzione, oppure passano sei settimane sul tuo lettino.</w:t>
      </w:r>
      <w:r>
        <w:t xml:space="preserve"> </w:t>
      </w:r>
      <w:r>
        <w:rPr>
          <w:b/>
          <w:bCs/>
        </w:rPr>
        <w:t xml:space="preserve">Metformina</w:t>
      </w:r>
      <w:r>
        <w:t xml:space="preserve">, con un’intolleranza gastrointestinale del 13,9% e del 19,7% nelle due coorti di anziani in cui è stata cercata. In letteratura è riferito circa un paziente su tre con eventi gastrointestinali (Tan,</w:t>
      </w:r>
      <w:r>
        <w:t xml:space="preserve"> </w:t>
      </w:r>
      <w:r>
        <w:rPr>
          <w:i/>
          <w:iCs/>
        </w:rPr>
        <w:t xml:space="preserve">BMC Endocr Disord</w:t>
      </w:r>
      <w:r>
        <w:t xml:space="preserve"> </w:t>
      </w:r>
      <w:r>
        <w:t xml:space="preserve">2026, PMID 41981598). E gli</w:t>
      </w:r>
      <w:r>
        <w:t xml:space="preserve"> </w:t>
      </w:r>
      <w:r>
        <w:rPr>
          <w:b/>
          <w:bCs/>
        </w:rPr>
        <w:t xml:space="preserve">agonisti del recettore GLP-1</w:t>
      </w:r>
      <w:r>
        <w:t xml:space="preserve">, con rischio di gastroparesi più che doppio su 8.792 utilizzatori appaiati (rapporto di rischio corretto 2,30; Liu,</w:t>
      </w:r>
      <w:r>
        <w:t xml:space="preserve"> </w:t>
      </w:r>
      <w:r>
        <w:rPr>
          <w:i/>
          <w:iCs/>
        </w:rPr>
        <w:t xml:space="preserve">Aliment Pharmacol Ther</w:t>
      </w:r>
      <w:r>
        <w:t xml:space="preserve"> </w:t>
      </w:r>
      <w:r>
        <w:t xml:space="preserve">2025, PMID 40356540).</w:t>
      </w:r>
      <w:r>
        <w:t xml:space="preserve"> </w:t>
      </w:r>
      <w:r>
        <w:rPr>
          <w:b/>
          <w:bCs/>
        </w:rPr>
        <w:t xml:space="preserve">Per te:</w:t>
      </w:r>
      <w:r>
        <w:t xml:space="preserve"> </w:t>
      </w:r>
      <w:r>
        <w:t xml:space="preserve">se uno di questi è iniziato nei mesi in cui è iniziato il disturbo, l’informazione va al prescrittore prima di aprire qualunque ciclo — e non si commenta la terapia. Il ragionamento prosegue, perché il paziente resta col sintomo mentre quella decisione la prende un altro.</w:t>
      </w:r>
    </w:p>
    <w:p>
      <w:pPr>
        <w:pStyle w:val="Compact"/>
        <w:numPr>
          <w:ilvl w:val="0"/>
          <w:numId w:val="1023"/>
        </w:numPr>
      </w:pPr>
      <w:r>
        <w:rPr>
          <w:b/>
          <w:bCs/>
        </w:rPr>
        <w:t xml:space="preserve">Il sistema è in allerta?</w:t>
      </w:r>
      <w:r>
        <w:t xml:space="preserve"> </w:t>
      </w:r>
      <w:r>
        <w:t xml:space="preserve">Guardi tre cose: frequenza respiratoria confrontata con il basale dello stesso paziente, qualità del sonno, reattività dei tessuti al primo contatto. Se tutte e tre sono negative, il passo 1 è chiuso e il respiro alto che vedi è meccanico.</w:t>
      </w:r>
    </w:p>
    <w:p>
      <w:pPr>
        <w:pStyle w:val="Compact"/>
        <w:numPr>
          <w:ilvl w:val="0"/>
          <w:numId w:val="1023"/>
        </w:numPr>
      </w:pPr>
      <w:r>
        <w:rPr>
          <w:b/>
          <w:bCs/>
        </w:rPr>
        <w:t xml:space="preserve">Il contenitore fa la manovra giusta?</w:t>
      </w:r>
      <w:r>
        <w:t xml:space="preserve"> </w:t>
      </w:r>
      <w:r>
        <w:t xml:space="preserve">Guardi la parete e le costole basse durante un respiro profondo e, se possibile, dopo il pasto. È il piano con le prove migliori.</w:t>
      </w:r>
    </w:p>
    <w:p>
      <w:pPr>
        <w:pStyle w:val="Compact"/>
        <w:numPr>
          <w:ilvl w:val="0"/>
          <w:numId w:val="1023"/>
        </w:numPr>
      </w:pPr>
      <w:r>
        <w:rPr>
          <w:b/>
          <w:bCs/>
        </w:rPr>
        <w:t xml:space="preserve">Il carico è compatibile, e l’alvo funziona?</w:t>
      </w:r>
      <w:r>
        <w:t xml:space="preserve"> </w:t>
      </w:r>
      <w:r>
        <w:t xml:space="preserve">Pasti, grassi, orari, alcol, fumo, sonno, antinfiammatori. E due domande sull’intestino:</w:t>
      </w:r>
      <w:r>
        <w:t xml:space="preserve"> </w:t>
      </w:r>
      <w:r>
        <w:rPr>
          <w:i/>
          <w:iCs/>
        </w:rPr>
        <w:t xml:space="preserve">l’alvo funziona? E quando l’alvo va, lo stomaco va?</w:t>
      </w:r>
      <w:r>
        <w:t xml:space="preserve"> </w:t>
      </w:r>
      <w:r>
        <w:t xml:space="preserve">La seconda discrimina, e costa cinque secondi. Il carico non si tocca: si valuta e si rinvia. Sull’alvo una leva c’è, ed è la sola di questo passo: sta in «Perché le mani possono cambiare qualcosa», terzo meccanismo.</w:t>
      </w:r>
    </w:p>
    <w:p>
      <w:pPr>
        <w:pStyle w:val="Compact"/>
        <w:numPr>
          <w:ilvl w:val="0"/>
          <w:numId w:val="1023"/>
        </w:numPr>
      </w:pPr>
      <w:r>
        <w:rPr>
          <w:b/>
          <w:bCs/>
        </w:rPr>
        <w:t xml:space="preserve">C’è un vecchio evento che ha lasciato un fulcro?</w:t>
      </w:r>
      <w:r>
        <w:t xml:space="preserve"> </w:t>
      </w:r>
      <w:r>
        <w:t xml:space="preserve">Cicatrici addominali, interventi, un parto, una gastroenterite acuta che ha fatto da spartiacque. Il segnale che lo rende dominante è un tessuto inerte e denso, spesso lontano dall’epigastrio, che non si muove con il respiro.</w:t>
      </w:r>
    </w:p>
    <w:p>
      <w:pPr>
        <w:pStyle w:val="FirstParagraph"/>
      </w:pPr>
      <w:r>
        <w:t xml:space="preserve">Non c’è un sesto passo sul piano fasciale. In questo documento non esistono un meccanismo, un modello o una leva che lo reggano, e un passo senza segnale e senza leva insegna a cercare quello che non si sa riconoscere. Cadono con lui i</w:t>
      </w:r>
      <w:r>
        <w:t xml:space="preserve"> </w:t>
      </w:r>
      <w:r>
        <w:rPr>
          <w:b/>
          <w:bCs/>
        </w:rPr>
        <w:t xml:space="preserve">Centri di Coordinazione e di Percezione</w:t>
      </w:r>
      <w:r>
        <w:t xml:space="preserve"> </w:t>
      </w:r>
      <w:r>
        <w:t xml:space="preserve">e la regola che vieta di trattare il Centro di Percezione: è una rimozione decisa e non una dimenticanza.</w:t>
      </w:r>
    </w:p>
    <w:bookmarkEnd w:id="56"/>
    <w:bookmarkStart w:id="57" w:name="i-tre-stati-del-paziente"/>
    <w:p>
      <w:pPr>
        <w:pStyle w:val="Heading3"/>
      </w:pPr>
      <w:r>
        <w:t xml:space="preserve">I tre stati del paziente</w:t>
      </w:r>
    </w:p>
    <w:p>
      <w:pPr>
        <w:pStyle w:val="Compact"/>
        <w:numPr>
          <w:ilvl w:val="0"/>
          <w:numId w:val="1024"/>
        </w:numPr>
      </w:pPr>
      <w:r>
        <w:rPr>
          <w:b/>
          <w:bCs/>
        </w:rPr>
        <w:t xml:space="preserve">In difesa</w:t>
      </w:r>
      <w:r>
        <w:t xml:space="preserve"> </w:t>
      </w:r>
      <w:r>
        <w:t xml:space="preserve">— teso, respiro corto, monosillabi. Parla al bisogno di sicurezza: tocco lento, ritmo calmo, dichiara cosa stai per fare. Finché non si sente al sicuro, ogni reperto è un reperto di difesa.</w:t>
      </w:r>
    </w:p>
    <w:p>
      <w:pPr>
        <w:pStyle w:val="Compact"/>
        <w:numPr>
          <w:ilvl w:val="0"/>
          <w:numId w:val="1024"/>
        </w:numPr>
      </w:pPr>
      <w:r>
        <w:rPr>
          <w:b/>
          <w:bCs/>
        </w:rPr>
        <w:t xml:space="preserve">Emotivo</w:t>
      </w:r>
      <w:r>
        <w:t xml:space="preserve"> </w:t>
      </w:r>
      <w:r>
        <w:t xml:space="preserve">— racconta, cerca ascolto, associa il sintomo a un periodo della vita. È spesso qui che il piano dell’attivazione comanda, e il colloquio è già parte del trattamento.</w:t>
      </w:r>
    </w:p>
    <w:p>
      <w:pPr>
        <w:pStyle w:val="Compact"/>
        <w:numPr>
          <w:ilvl w:val="0"/>
          <w:numId w:val="1024"/>
        </w:numPr>
      </w:pPr>
      <w:r>
        <w:rPr>
          <w:b/>
          <w:bCs/>
        </w:rPr>
        <w:t xml:space="preserve">Razionale</w:t>
      </w:r>
      <w:r>
        <w:t xml:space="preserve"> </w:t>
      </w:r>
      <w:r>
        <w:t xml:space="preserve">— chiede il perché, vuole numeri. Mostragli il metro prima e dopo. Su questo paziente il marker fa metà del lavoro.</w:t>
      </w:r>
    </w:p>
    <w:p>
      <w:pPr>
        <w:pStyle w:val="FirstParagraph"/>
      </w:pPr>
      <w:r>
        <w:rPr>
          <w:b/>
          <w:bCs/>
        </w:rPr>
        <w:t xml:space="preserve">Le tre cose da ricordare, più una</w:t>
      </w:r>
    </w:p>
    <w:p>
      <w:pPr>
        <w:pStyle w:val="Compact"/>
        <w:numPr>
          <w:ilvl w:val="0"/>
          <w:numId w:val="1025"/>
        </w:numPr>
      </w:pPr>
      <w:r>
        <w:t xml:space="preserve">Il passo 0 viene prima di tutto: cerca il farmaco che produce il quadro, segnalalo, e vai avanti col ragionamento perché il paziente resta lì.</w:t>
      </w:r>
    </w:p>
    <w:p>
      <w:pPr>
        <w:pStyle w:val="Compact"/>
        <w:numPr>
          <w:ilvl w:val="0"/>
          <w:numId w:val="1025"/>
        </w:numPr>
      </w:pPr>
      <w:r>
        <w:t xml:space="preserve">Ogni paziente porta</w:t>
      </w:r>
      <w:r>
        <w:t xml:space="preserve"> </w:t>
      </w:r>
      <w:r>
        <w:rPr>
          <w:b/>
          <w:bCs/>
        </w:rPr>
        <w:t xml:space="preserve">due</w:t>
      </w:r>
      <w:r>
        <w:t xml:space="preserve"> </w:t>
      </w:r>
      <w:r>
        <w:t xml:space="preserve">marker: uno di effetto immediato sul piano che tratti, uno di chiave di volta su un piano che non tratti. Se si muove solo il primo, hai un effetto locale.</w:t>
      </w:r>
    </w:p>
    <w:p>
      <w:pPr>
        <w:pStyle w:val="Compact"/>
        <w:numPr>
          <w:ilvl w:val="0"/>
          <w:numId w:val="1025"/>
        </w:numPr>
      </w:pPr>
      <w:r>
        <w:t xml:space="preserve">Nessun paziente-tipo finisce con «non c’è niente da fare». Quello con l’accomodazione dominante riceve lavoro sul contorno, e lo sa prima di cominciare.</w:t>
      </w:r>
    </w:p>
    <w:p>
      <w:pPr>
        <w:pStyle w:val="Compact"/>
        <w:numPr>
          <w:ilvl w:val="0"/>
          <w:numId w:val="1025"/>
        </w:numPr>
      </w:pPr>
      <w:r>
        <w:rPr>
          <w:b/>
          <w:bCs/>
        </w:rPr>
        <w:t xml:space="preserve">Perché ci sei tu.</w:t>
      </w:r>
      <w:r>
        <w:t xml:space="preserve"> </w:t>
      </w:r>
      <w:r>
        <w:t xml:space="preserve">Su 58 studi randomizzati in doppio cieco e 17.890 partecipanti, il</w:t>
      </w:r>
      <w:r>
        <w:t xml:space="preserve"> </w:t>
      </w:r>
      <w:r>
        <w:rPr>
          <w:b/>
          <w:bCs/>
        </w:rPr>
        <w:t xml:space="preserve">44,3%</w:t>
      </w:r>
      <w:r>
        <w:t xml:space="preserve"> </w:t>
      </w:r>
      <w:r>
        <w:t xml:space="preserve">ha riferito un miglioramento ricevendo il placebo, ma solo il</w:t>
      </w:r>
      <w:r>
        <w:t xml:space="preserve"> </w:t>
      </w:r>
      <w:r>
        <w:rPr>
          <w:b/>
          <w:bCs/>
        </w:rPr>
        <w:t xml:space="preserve">15,6%</w:t>
      </w:r>
      <w:r>
        <w:t xml:space="preserve"> </w:t>
      </w:r>
      <w:r>
        <w:t xml:space="preserve">un sollievo completo (Huang X,</w:t>
      </w:r>
      <w:r>
        <w:t xml:space="preserve"> </w:t>
      </w:r>
      <w:r>
        <w:rPr>
          <w:i/>
          <w:iCs/>
        </w:rPr>
        <w:t xml:space="preserve">Am J Gastroenterol</w:t>
      </w:r>
      <w:r>
        <w:t xml:space="preserve"> </w:t>
      </w:r>
      <w:r>
        <w:t xml:space="preserve">2021, PMID 34404084).</w:t>
      </w:r>
      <w:r>
        <w:t xml:space="preserve"> </w:t>
      </w:r>
      <w:r>
        <w:rPr>
          <w:b/>
          <w:bCs/>
        </w:rPr>
        <w:t xml:space="preserve">Per te:</w:t>
      </w:r>
      <w:r>
        <w:t xml:space="preserve"> </w:t>
      </w:r>
      <w:r>
        <w:t xml:space="preserve">quasi metà dei tuoi pazienti dirà «un po’ meglio» qualunque cosa ci sia dentro la scatola, e circa uno su sei dirà «è passato». Questo ti autorizza a prendere sul serio la costruzione del percorso. Non ti autorizza a leggere il miglioramento del tuo paziente come conferma della tua ipotesi: la distanza fra quei due numeri è esattamente la ragione per cui il marker si sceglie</w:t>
      </w:r>
      <w:r>
        <w:t xml:space="preserve"> </w:t>
      </w:r>
      <w:r>
        <w:rPr>
          <w:b/>
          <w:bCs/>
        </w:rPr>
        <w:t xml:space="preserve">prima</w:t>
      </w:r>
      <w:r>
        <w:t xml:space="preserve">.</w:t>
      </w:r>
    </w:p>
    <w:p>
      <w:r>
        <w:pict>
          <v:rect style="width:0;height:1.5pt" o:hralign="center" o:hrstd="t" o:hr="t"/>
        </w:pict>
      </w:r>
    </w:p>
    <w:bookmarkEnd w:id="57"/>
    <w:bookmarkEnd w:id="58"/>
    <w:bookmarkStart w:id="6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non è la manovra, è la diagnosi che non è stata fatta — e la tua protezione è il triage, non la delicatezza.</w:t>
      </w:r>
    </w:p>
    <w:bookmarkStart w:id="59" w:name="le-bandiere"/>
    <w:p>
      <w:pPr>
        <w:pStyle w:val="Heading3"/>
      </w:pPr>
      <w:r>
        <w:t xml:space="preserve">Le bandiere</w:t>
      </w:r>
    </w:p>
    <w:p>
      <w:pPr>
        <w:pStyle w:val="FirstParagraph"/>
      </w:pPr>
      <w:r>
        <w:t xml:space="preserve">Sono quelle che le linee guida indicano come indicazione all’accertamento specialistico o all’emergenza. Le fonti sono tre. La linea guida congiunta di American College of Gastroenterology e Canadian Association of Gastroenterology sulla dispepsia (Moayyedi,</w:t>
      </w:r>
      <w:r>
        <w:t xml:space="preserve"> </w:t>
      </w:r>
      <w:r>
        <w:rPr>
          <w:i/>
          <w:iCs/>
        </w:rPr>
        <w:t xml:space="preserve">Am J Gastroenterol</w:t>
      </w:r>
      <w:r>
        <w:t xml:space="preserve"> </w:t>
      </w:r>
      <w:r>
        <w:t xml:space="preserve">2017, PMID 28631728). I criteri di invio del NICE per il sospetto tumore del tratto digestivo superiore e del pancreas (NICE NG12). E la letteratura sulla presentazione atipica della sindrome coronarica acuta.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Ematemesi o melena</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Addome acuto con febbre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Peso epigastrico con sudorazione o dispnea</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Massa addominale pulsante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Ittero, urine scure, feci chiare</w:t>
            </w:r>
          </w:p>
        </w:tc>
        <w:tc>
          <w:tcPr/>
          <w:p>
            <w:pPr>
              <w:pStyle w:val="Compact"/>
            </w:pPr>
            <w:r>
              <w:t xml:space="preserve">Medico curante</w:t>
            </w:r>
          </w:p>
        </w:tc>
        <w:tc>
          <w:tcPr/>
          <w:p>
            <w:pPr>
              <w:pStyle w:val="Compact"/>
            </w:pPr>
            <w:r>
              <w:t xml:space="preserve">Urgente</w:t>
            </w:r>
          </w:p>
        </w:tc>
        <w:tc>
          <w:tcPr/>
          <w:p>
            <w:pPr>
              <w:pStyle w:val="Compact"/>
            </w:pPr>
            <w:r>
              <w:t xml:space="preserve">ROSSO</w:t>
            </w:r>
          </w:p>
        </w:tc>
      </w:tr>
      <w:tr>
        <w:tc>
          <w:tcPr/>
          <w:p>
            <w:pPr>
              <w:pStyle w:val="Compact"/>
            </w:pPr>
            <w:r>
              <w:t xml:space="preserve">Disfagia o odinofagia che peggiora</w:t>
            </w:r>
          </w:p>
        </w:tc>
        <w:tc>
          <w:tcPr/>
          <w:p>
            <w:pPr>
              <w:pStyle w:val="Compact"/>
            </w:pPr>
            <w:r>
              <w:t xml:space="preserve">Medico curante, endoscopia</w:t>
            </w:r>
          </w:p>
        </w:tc>
        <w:tc>
          <w:tcPr/>
          <w:p>
            <w:pPr>
              <w:pStyle w:val="Compact"/>
            </w:pPr>
            <w:r>
              <w:t xml:space="preserve">Urgente</w:t>
            </w:r>
          </w:p>
        </w:tc>
        <w:tc>
          <w:tcPr/>
          <w:p>
            <w:pPr>
              <w:pStyle w:val="Compact"/>
            </w:pPr>
            <w:r>
              <w:t xml:space="preserve">ROSSO</w:t>
            </w:r>
          </w:p>
        </w:tc>
      </w:tr>
      <w:tr>
        <w:tc>
          <w:tcPr/>
          <w:p>
            <w:pPr>
              <w:pStyle w:val="Compact"/>
            </w:pPr>
            <w:r>
              <w:t xml:space="preserve">Calo di peso involontario</w:t>
            </w:r>
          </w:p>
        </w:tc>
        <w:tc>
          <w:tcPr/>
          <w:p>
            <w:pPr>
              <w:pStyle w:val="Compact"/>
            </w:pPr>
            <w:r>
              <w:t xml:space="preserve">Medico curante, endoscopia</w:t>
            </w:r>
          </w:p>
        </w:tc>
        <w:tc>
          <w:tcPr/>
          <w:p>
            <w:pPr>
              <w:pStyle w:val="Compact"/>
            </w:pPr>
            <w:r>
              <w:t xml:space="preserve">Urgente</w:t>
            </w:r>
          </w:p>
        </w:tc>
        <w:tc>
          <w:tcPr/>
          <w:p>
            <w:pPr>
              <w:pStyle w:val="Compact"/>
            </w:pPr>
            <w:r>
              <w:t xml:space="preserve">ROSSO</w:t>
            </w:r>
          </w:p>
        </w:tc>
      </w:tr>
      <w:tr>
        <w:tc>
          <w:tcPr/>
          <w:p>
            <w:pPr>
              <w:pStyle w:val="Compact"/>
            </w:pPr>
            <w:r>
              <w:t xml:space="preserve">Vomito ripetuto e persistente</w:t>
            </w:r>
          </w:p>
        </w:tc>
        <w:tc>
          <w:tcPr/>
          <w:p>
            <w:pPr>
              <w:pStyle w:val="Compact"/>
            </w:pPr>
            <w:r>
              <w:t xml:space="preserve">Medico curante</w:t>
            </w:r>
          </w:p>
        </w:tc>
        <w:tc>
          <w:tcPr/>
          <w:p>
            <w:pPr>
              <w:pStyle w:val="Compact"/>
            </w:pPr>
            <w:r>
              <w:t xml:space="preserve">Urgente</w:t>
            </w:r>
          </w:p>
        </w:tc>
        <w:tc>
          <w:tcPr/>
          <w:p>
            <w:pPr>
              <w:pStyle w:val="Compact"/>
            </w:pPr>
            <w:r>
              <w:t xml:space="preserve">ROSSO</w:t>
            </w:r>
          </w:p>
        </w:tc>
      </w:tr>
      <w:tr>
        <w:tc>
          <w:tcPr/>
          <w:p>
            <w:pPr>
              <w:pStyle w:val="Compact"/>
            </w:pPr>
            <w:r>
              <w:t xml:space="preserve">Anemia</w:t>
            </w:r>
          </w:p>
        </w:tc>
        <w:tc>
          <w:tcPr/>
          <w:p>
            <w:pPr>
              <w:pStyle w:val="Compact"/>
            </w:pPr>
            <w:r>
              <w:t xml:space="preserve">Medico curante</w:t>
            </w:r>
          </w:p>
        </w:tc>
        <w:tc>
          <w:tcPr/>
          <w:p>
            <w:pPr>
              <w:pStyle w:val="Compact"/>
            </w:pPr>
            <w:r>
              <w:t xml:space="preserve">Urgente</w:t>
            </w:r>
          </w:p>
        </w:tc>
        <w:tc>
          <w:tcPr/>
          <w:p>
            <w:pPr>
              <w:pStyle w:val="Compact"/>
            </w:pPr>
            <w:r>
              <w:t xml:space="preserve">ROSSO</w:t>
            </w:r>
          </w:p>
        </w:tc>
      </w:tr>
      <w:tr>
        <w:tc>
          <w:tcPr/>
          <w:p>
            <w:pPr>
              <w:pStyle w:val="Compact"/>
            </w:pPr>
            <w:r>
              <w:t xml:space="preserve">Dolore epigastrico al dorso con calo di peso</w:t>
            </w:r>
          </w:p>
        </w:tc>
        <w:tc>
          <w:tcPr/>
          <w:p>
            <w:pPr>
              <w:pStyle w:val="Compact"/>
            </w:pPr>
            <w:r>
              <w:t xml:space="preserve">Medico curante</w:t>
            </w:r>
          </w:p>
        </w:tc>
        <w:tc>
          <w:tcPr/>
          <w:p>
            <w:pPr>
              <w:pStyle w:val="Compact"/>
            </w:pPr>
            <w:r>
              <w:t xml:space="preserve">Urgente</w:t>
            </w:r>
          </w:p>
        </w:tc>
        <w:tc>
          <w:tcPr/>
          <w:p>
            <w:pPr>
              <w:pStyle w:val="Compact"/>
            </w:pPr>
            <w:r>
              <w:t xml:space="preserve">ROSSO</w:t>
            </w:r>
          </w:p>
        </w:tc>
      </w:tr>
      <w:tr>
        <w:tc>
          <w:tcPr/>
          <w:p>
            <w:pPr>
              <w:pStyle w:val="Compact"/>
            </w:pPr>
            <w:r>
              <w:t xml:space="preserve">Primo esordio dopo i 55 anni</w:t>
            </w:r>
          </w:p>
        </w:tc>
        <w:tc>
          <w:tcPr/>
          <w:p>
            <w:pPr>
              <w:pStyle w:val="Compact"/>
            </w:pPr>
            <w:r>
              <w:t xml:space="preserve">Medico curante, endoscopia</w:t>
            </w:r>
          </w:p>
        </w:tc>
        <w:tc>
          <w:tcPr/>
          <w:p>
            <w:pPr>
              <w:pStyle w:val="Compact"/>
            </w:pPr>
            <w:r>
              <w:t xml:space="preserve">Invio, non attendere</w:t>
            </w:r>
          </w:p>
        </w:tc>
        <w:tc>
          <w:tcPr/>
          <w:p>
            <w:pPr>
              <w:pStyle w:val="Compact"/>
            </w:pPr>
            <w:r>
              <w:t xml:space="preserve">ROSSO</w:t>
            </w:r>
          </w:p>
        </w:tc>
      </w:tr>
      <w:tr>
        <w:tc>
          <w:tcPr/>
          <w:p>
            <w:pPr>
              <w:pStyle w:val="Compact"/>
            </w:pPr>
            <w:r>
              <w:t xml:space="preserve">Familiarità per tumore gastrico</w:t>
            </w:r>
          </w:p>
        </w:tc>
        <w:tc>
          <w:tcPr/>
          <w:p>
            <w:pPr>
              <w:pStyle w:val="Compact"/>
            </w:pPr>
            <w:r>
              <w:t xml:space="preserve">Medico curante</w:t>
            </w:r>
          </w:p>
        </w:tc>
        <w:tc>
          <w:tcPr/>
          <w:p>
            <w:pPr>
              <w:pStyle w:val="Compact"/>
            </w:pPr>
            <w:r>
              <w:t xml:space="preserve">Invio</w:t>
            </w:r>
          </w:p>
        </w:tc>
        <w:tc>
          <w:tcPr/>
          <w:p>
            <w:pPr>
              <w:pStyle w:val="Compact"/>
            </w:pPr>
            <w:r>
              <w:t xml:space="preserve">GIALLO PRIORITARIO</w:t>
            </w:r>
          </w:p>
        </w:tc>
      </w:tr>
      <w:tr>
        <w:tc>
          <w:tcPr/>
          <w:p>
            <w:pPr>
              <w:pStyle w:val="Compact"/>
            </w:pPr>
            <w:r>
              <w:t xml:space="preserve">Antinfiammatori o antiaggreganti in uso</w:t>
            </w:r>
          </w:p>
        </w:tc>
        <w:tc>
          <w:tcPr/>
          <w:p>
            <w:pPr>
              <w:pStyle w:val="Compact"/>
            </w:pPr>
            <w:r>
              <w:t xml:space="preserve">Prescrittore</w:t>
            </w:r>
          </w:p>
        </w:tc>
        <w:tc>
          <w:tcPr/>
          <w:p>
            <w:pPr>
              <w:pStyle w:val="Compact"/>
            </w:pPr>
            <w:r>
              <w:t xml:space="preserve">Invio</w:t>
            </w:r>
          </w:p>
        </w:tc>
        <w:tc>
          <w:tcPr/>
          <w:p>
            <w:pPr>
              <w:pStyle w:val="Compact"/>
            </w:pPr>
            <w:r>
              <w:t xml:space="preserve">GIALLO PRIORITARIO</w:t>
            </w:r>
          </w:p>
        </w:tc>
      </w:tr>
      <w:tr>
        <w:tc>
          <w:tcPr/>
          <w:p>
            <w:pPr>
              <w:pStyle w:val="Compact"/>
            </w:pPr>
            <w:r>
              <w:t xml:space="preserve">Helicobacter mai cercato o cercato sotto IPP</w:t>
            </w:r>
          </w:p>
        </w:tc>
        <w:tc>
          <w:tcPr/>
          <w:p>
            <w:pPr>
              <w:pStyle w:val="Compact"/>
            </w:pPr>
            <w:r>
              <w:t xml:space="preserve">Medico curante</w:t>
            </w:r>
          </w:p>
        </w:tc>
        <w:tc>
          <w:tcPr/>
          <w:p>
            <w:pPr>
              <w:pStyle w:val="Compact"/>
            </w:pPr>
            <w:r>
              <w:t xml:space="preserve">Invio</w:t>
            </w:r>
          </w:p>
        </w:tc>
        <w:tc>
          <w:tcPr/>
          <w:p>
            <w:pPr>
              <w:pStyle w:val="Compact"/>
            </w:pPr>
            <w:r>
              <w:t xml:space="preserve">GIALLO PRIORITARIO</w:t>
            </w:r>
          </w:p>
        </w:tc>
      </w:tr>
    </w:tbl>
    <w:bookmarkEnd w:id="59"/>
    <w:bookmarkStart w:id="60" w:name="Xdbd9f29c5b0e40b481e26ed77eedaf8a1f2d4fd"/>
    <w:p>
      <w:pPr>
        <w:pStyle w:val="Heading3"/>
      </w:pPr>
      <w:r>
        <w:t xml:space="preserve">Come si leggono le righe della tabella, per esteso</w:t>
      </w:r>
    </w:p>
    <w:p>
      <w:pPr>
        <w:pStyle w:val="FirstParagraph"/>
      </w:pPr>
      <w:r>
        <w:t xml:space="preserve">La cella è un’etichetta che serve a scorrere la tabella. Il criterio completo è qui.</w:t>
      </w:r>
    </w:p>
    <w:p>
      <w:pPr>
        <w:pStyle w:val="Compact"/>
        <w:numPr>
          <w:ilvl w:val="0"/>
          <w:numId w:val="1026"/>
        </w:numPr>
      </w:pPr>
      <w:r>
        <w:rPr>
          <w:b/>
          <w:bCs/>
        </w:rPr>
        <w:t xml:space="preserve">Calo di peso involontario.</w:t>
      </w:r>
      <w:r>
        <w:t xml:space="preserve"> </w:t>
      </w:r>
      <w:r>
        <w:t xml:space="preserve">È una perdita che il paziente non ha cercato, progressiva, non spiegata dalla dieta o dall’attività. Non serve una soglia in chili: serve che sia involontaria e continua. È la bandiera più facile da lasciare passare, perché chi ha ristretto la dieta da mesi la considera normale.</w:t>
      </w:r>
    </w:p>
    <w:p>
      <w:pPr>
        <w:pStyle w:val="Compact"/>
        <w:numPr>
          <w:ilvl w:val="0"/>
          <w:numId w:val="1026"/>
        </w:numPr>
      </w:pPr>
      <w:r>
        <w:rPr>
          <w:b/>
          <w:bCs/>
        </w:rPr>
        <w:t xml:space="preserve">Disfagia o odinofagia che peggiora</w:t>
      </w:r>
      <w:r>
        <w:t xml:space="preserve">, prima con i solidi e poi con i liquidi. Nei criteri britannici apre da sola il percorso urgente a qualunque età: per questo sta al livello «Urgente» e non un gradino sotto.</w:t>
      </w:r>
    </w:p>
    <w:p>
      <w:pPr>
        <w:pStyle w:val="Compact"/>
        <w:numPr>
          <w:ilvl w:val="0"/>
          <w:numId w:val="1026"/>
        </w:numPr>
      </w:pPr>
      <w:r>
        <w:rPr>
          <w:b/>
          <w:bCs/>
        </w:rPr>
        <w:t xml:space="preserve">Ittero o subittero.</w:t>
      </w:r>
      <w:r>
        <w:t xml:space="preserve"> </w:t>
      </w:r>
      <w:r>
        <w:t xml:space="preserve">È il colorito giallo di cute o sclere, anche lieve. Si guarda alle sclere alla luce naturale, e non si aspetta che lo dica il paziente: nei criteri britannici apre da sola il percorso per sospetto tumore del pancreas dai 40 anni in su. È l’unica bandiera che vedi da solo senza chiedere niente.</w:t>
      </w:r>
    </w:p>
    <w:p>
      <w:pPr>
        <w:pStyle w:val="Compact"/>
        <w:numPr>
          <w:ilvl w:val="0"/>
          <w:numId w:val="1026"/>
        </w:numPr>
      </w:pPr>
      <w:r>
        <w:rPr>
          <w:b/>
          <w:bCs/>
        </w:rPr>
        <w:t xml:space="preserve">Peso o dolore epigastrico con sudorazione, dispnea, irradiazione a braccio, collo o mandibola, o comparso sotto sforzo.</w:t>
      </w:r>
      <w:r>
        <w:t xml:space="preserve"> </w:t>
      </w:r>
      <w:r>
        <w:t xml:space="preserve">È una sindrome coronarica acuta finché non è escluso. Sta qui perché le linee guida gastroenterologiche non lo coprono: sono strumenti di sospetto neoplastico. Nel registro svedese il</w:t>
      </w:r>
      <w:r>
        <w:t xml:space="preserve"> </w:t>
      </w:r>
      <w:r>
        <w:rPr>
          <w:b/>
          <w:bCs/>
        </w:rPr>
        <w:t xml:space="preserve">12,7% di 172.981 infarti</w:t>
      </w:r>
      <w:r>
        <w:t xml:space="preserve"> </w:t>
      </w:r>
      <w:r>
        <w:t xml:space="preserve">si presenta</w:t>
      </w:r>
      <w:r>
        <w:t xml:space="preserve"> </w:t>
      </w:r>
      <w:r>
        <w:rPr>
          <w:b/>
          <w:bCs/>
        </w:rPr>
        <w:t xml:space="preserve">senza dolore toracico</w:t>
      </w:r>
      <w:r>
        <w:t xml:space="preserve">, e sono i più anziani, più spesso donne, con mortalità più alta (Björck,</w:t>
      </w:r>
      <w:r>
        <w:t xml:space="preserve"> </w:t>
      </w:r>
      <w:r>
        <w:rPr>
          <w:i/>
          <w:iCs/>
        </w:rPr>
        <w:t xml:space="preserve">Open Heart</w:t>
      </w:r>
      <w:r>
        <w:t xml:space="preserve"> </w:t>
      </w:r>
      <w:r>
        <w:t xml:space="preserve">2018, PMID 30564376). Nell’anziano, nel diabetico e nella donna il dolore toracico può mancare.</w:t>
      </w:r>
    </w:p>
    <w:p>
      <w:pPr>
        <w:pStyle w:val="Compact"/>
        <w:numPr>
          <w:ilvl w:val="0"/>
          <w:numId w:val="1026"/>
        </w:numPr>
      </w:pPr>
      <w:r>
        <w:rPr>
          <w:b/>
          <w:bCs/>
        </w:rPr>
        <w:t xml:space="preserve">Massa addominale pulsante ed espansibile</w:t>
      </w:r>
      <w:r>
        <w:t xml:space="preserve">, sulla linea mediana sopra l’ombelico, in un adulto oltre i sessant’anni. È l’unica eccezione alla regola per cui quello che senti sotto le mani non è un dato diagnostico. Non serve interpretare: serve</w:t>
      </w:r>
      <w:r>
        <w:t xml:space="preserve"> </w:t>
      </w:r>
      <w:r>
        <w:rPr>
          <w:b/>
          <w:bCs/>
        </w:rPr>
        <w:t xml:space="preserve">smettere di premere e mandare</w:t>
      </w:r>
      <w:r>
        <w:t xml:space="preserve">. La palpazione corretta non precipita la rottura di un aneurisma; il danno è non riconoscerlo e continuare.</w:t>
      </w:r>
    </w:p>
    <w:p>
      <w:pPr>
        <w:pStyle w:val="Compact"/>
        <w:numPr>
          <w:ilvl w:val="0"/>
          <w:numId w:val="1026"/>
        </w:numPr>
      </w:pPr>
      <w:r>
        <w:rPr>
          <w:b/>
          <w:bCs/>
        </w:rPr>
        <w:t xml:space="preserve">Dolore epigastrico che batte al dorso, con calo di peso, oltre i 60 anni.</w:t>
      </w:r>
      <w:r>
        <w:t xml:space="preserve"> </w:t>
      </w:r>
      <w:r>
        <w:t xml:space="preserve">È la presentazione che arriva a noi come dorsalgia media senza causa meccanica. Per questo il rimando alla Bibbia della Dorsalgia viene dopo questa riga, e non prima.</w:t>
      </w:r>
    </w:p>
    <w:p>
      <w:pPr>
        <w:pStyle w:val="Compact"/>
        <w:numPr>
          <w:ilvl w:val="0"/>
          <w:numId w:val="1026"/>
        </w:numPr>
      </w:pPr>
      <w:r>
        <w:rPr>
          <w:b/>
          <w:bCs/>
        </w:rPr>
        <w:t xml:space="preserve">Primo esordio dopo i 55 anni</w:t>
      </w:r>
      <w:r>
        <w:t xml:space="preserve">, in chi non aveva mai avuto questi sintomi. La soglia nordamericana per l’endoscopia è 60 anni, quella britannica 55 con calo di peso: qui si adotta la più prudente. Se ha i sintomi da vent’anni e ne ha 58, questa riga non lo riguarda.</w:t>
      </w:r>
    </w:p>
    <w:p>
      <w:pPr>
        <w:pStyle w:val="Compact"/>
        <w:numPr>
          <w:ilvl w:val="0"/>
          <w:numId w:val="1026"/>
        </w:numPr>
      </w:pPr>
      <w:r>
        <w:rPr>
          <w:b/>
          <w:bCs/>
        </w:rPr>
        <w:t xml:space="preserve">Vomito ripetuto e persistente</w:t>
      </w:r>
      <w:r>
        <w:t xml:space="preserve">, nell’arco di giorni o settimane, non l’episodio isolato. Con calo di peso o disidratazione il tempo si accorcia.</w:t>
      </w:r>
    </w:p>
    <w:p>
      <w:pPr>
        <w:pStyle w:val="Compact"/>
        <w:numPr>
          <w:ilvl w:val="0"/>
          <w:numId w:val="1026"/>
        </w:numPr>
      </w:pPr>
      <w:r>
        <w:rPr>
          <w:b/>
          <w:bCs/>
        </w:rPr>
        <w:t xml:space="preserve">Antinfiammatori o antiaggreganti in uso continuativo</w:t>
      </w:r>
      <w:r>
        <w:t xml:space="preserve">, con sintomi epigastrici. Non è un’urgenza: è un’informazione che deve arrivare al prescrittore prima che tu apra un ciclo.</w:t>
      </w:r>
    </w:p>
    <w:p>
      <w:pPr>
        <w:pStyle w:val="Compact"/>
        <w:numPr>
          <w:ilvl w:val="0"/>
          <w:numId w:val="1026"/>
        </w:numPr>
      </w:pPr>
      <w:r>
        <w:rPr>
          <w:b/>
          <w:bCs/>
        </w:rPr>
        <w:t xml:space="preserve">Helicobacter mai cercato, o cercato sotto inibitore di pompa.</w:t>
      </w:r>
      <w:r>
        <w:t xml:space="preserve"> </w:t>
      </w:r>
      <w:r>
        <w:t xml:space="preserve">Sotto i 60 anni la linea guida chiede il test non invasivo e l’eradicazione se positivo,</w:t>
      </w:r>
      <w:r>
        <w:t xml:space="preserve"> </w:t>
      </w:r>
      <w:r>
        <w:rPr>
          <w:b/>
          <w:bCs/>
        </w:rPr>
        <w:t xml:space="preserve">prima</w:t>
      </w:r>
      <w:r>
        <w:t xml:space="preserve"> </w:t>
      </w:r>
      <w:r>
        <w:t xml:space="preserve">dell’inibitore di pompa empirico (Moayyedi, 2017, PMID 28631728). E l’inibitore di pompa negativizza sia il breath test sia l’antigene fecale: un test fatto in terapia non chiude la domanda.</w:t>
      </w:r>
    </w:p>
    <w:p>
      <w:pPr>
        <w:pStyle w:val="BlockText"/>
      </w:pPr>
      <w:r>
        <w:rPr>
          <w:b/>
          <w:bCs/>
        </w:rPr>
        <w:t xml:space="preserve">Attenzione.</w:t>
      </w:r>
      <w:r>
        <w:t xml:space="preserve"> </w:t>
      </w:r>
      <w:r>
        <w:t xml:space="preserve">Le bandiere rosse qui hanno una capacità predittiva limitata, ed è misurata. Su 57.363 pazienti con dispepsia in 15 studi, 458 — lo 0,8% — avevano un tumore. La sensibilità dei sintomi d’allarme variava dallo 0% all’83% e la specificità dal 40% al 98%: intervalli così larghi perché gli studi li definivano in modi diversi (Vakil,</w:t>
      </w:r>
      <w:r>
        <w:t xml:space="preserve"> </w:t>
      </w:r>
      <w:r>
        <w:rPr>
          <w:i/>
          <w:iCs/>
        </w:rPr>
        <w:t xml:space="preserve">Gastroenterology</w:t>
      </w:r>
      <w:r>
        <w:t xml:space="preserve"> </w:t>
      </w:r>
      <w:r>
        <w:t xml:space="preserve">2006, PMID 16890592).</w:t>
      </w:r>
      <w:r>
        <w:t xml:space="preserve"> </w:t>
      </w:r>
      <w:r>
        <w:rPr>
          <w:b/>
          <w:bCs/>
        </w:rPr>
        <w:t xml:space="preserve">Per te:</w:t>
      </w:r>
      <w:r>
        <w:t xml:space="preserve"> </w:t>
      </w:r>
      <w:r>
        <w:t xml:space="preserve">questo non abbassa la soglia di invio, la alza. L’assenza di bandiere rosse non è una rassicurazione da consegnare al paziente, ed è precisamente l’uso che se ne fa più spesso.</w:t>
      </w:r>
    </w:p>
    <w:bookmarkEnd w:id="60"/>
    <w:bookmarkStart w:id="61" w:name="il-cancello-dingresso"/>
    <w:p>
      <w:pPr>
        <w:pStyle w:val="Heading3"/>
      </w:pPr>
      <w:r>
        <w:t xml:space="preserve">Il cancello d’ingresso</w:t>
      </w:r>
    </w:p>
    <w:p>
      <w:pPr>
        <w:pStyle w:val="FirstParagraph"/>
      </w:pPr>
      <w:r>
        <w:t xml:space="preserve">Il cancello stabilisce</w:t>
      </w:r>
      <w:r>
        <w:t xml:space="preserve"> </w:t>
      </w:r>
      <w:r>
        <w:rPr>
          <w:b/>
          <w:bCs/>
        </w:rPr>
        <w:t xml:space="preserve">quale delle quattro situazioni hai davanti</w:t>
      </w:r>
      <w:r>
        <w:t xml:space="preserve">, non se il paziente ha diritto al trattamento. Il</w:t>
      </w:r>
      <w:r>
        <w:t xml:space="preserve"> </w:t>
      </w:r>
      <w:r>
        <w:rPr>
          <w:b/>
          <w:bCs/>
        </w:rPr>
        <w:t xml:space="preserve">mandato clinico</w:t>
      </w:r>
      <w:r>
        <w:t xml:space="preserve"> </w:t>
      </w:r>
      <w:r>
        <w:t xml:space="preserve">nasce da un</w:t>
      </w:r>
      <w:r>
        <w:t xml:space="preserve"> </w:t>
      </w:r>
      <w:r>
        <w:rPr>
          <w:b/>
          <w:bCs/>
        </w:rPr>
        <w:t xml:space="preserve">reperto disfunzionale</w:t>
      </w:r>
      <w:r>
        <w:t xml:space="preserve"> </w:t>
      </w:r>
      <w:r>
        <w:t xml:space="preserve">documentato e da un</w:t>
      </w:r>
      <w:r>
        <w:t xml:space="preserve"> </w:t>
      </w:r>
      <w:r>
        <w:rPr>
          <w:b/>
          <w:bCs/>
        </w:rPr>
        <w:t xml:space="preserve">marker</w:t>
      </w:r>
      <w:r>
        <w:t xml:space="preserve"> </w:t>
      </w:r>
      <w:r>
        <w:t xml:space="preserve">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Senza quelli non hai un motivo per lavorare, nemmeno con la diagnosi in mano.</w:t>
      </w:r>
      <w:r>
        <w:t xml:space="preserve"> </w:t>
      </w:r>
      <w:r>
        <w:t xml:space="preserve">Si opera in riferimento alla diagnosi di competenza medica, e quando l’inquadramento manca il canale medico si attiva</w:t>
      </w:r>
      <w:r>
        <w:t xml:space="preserve"> </w:t>
      </w:r>
      <w:r>
        <w:rPr>
          <w:b/>
          <w:bCs/>
        </w:rPr>
        <w:t xml:space="preserve">contestualmente</w:t>
      </w:r>
      <w:r>
        <w:t xml:space="preserve"> </w:t>
      </w:r>
      <w:r>
        <w:t xml:space="preserve">al tuo lavoro, non dopo.</w:t>
      </w:r>
    </w:p>
    <w:p>
      <w:pPr>
        <w:pStyle w:val="BodyText"/>
      </w:pPr>
      <w:r>
        <w:rPr>
          <w:b/>
          <w:bCs/>
        </w:rPr>
        <w:t xml:space="preserve">E il contrappeso.</w:t>
      </w:r>
      <w:r>
        <w:t xml:space="preserve"> </w:t>
      </w:r>
      <w:r>
        <w:t xml:space="preserve">Un reperto positivo giustifica il tuo lavoro,</w:t>
      </w:r>
      <w:r>
        <w:t xml:space="preserve"> </w:t>
      </w:r>
      <w:r>
        <w:rPr>
          <w:b/>
          <w:bCs/>
        </w:rPr>
        <w:t xml:space="preserve">non sostituisce l’inquadramento medico</w:t>
      </w:r>
      <w:r>
        <w:t xml:space="preserve">: hai</w:t>
      </w:r>
      <w:r>
        <w:t xml:space="preserve"> </w:t>
      </w:r>
      <w:r>
        <w:rPr>
          <w:b/>
          <w:bCs/>
        </w:rPr>
        <w:t xml:space="preserve">qualcosa da trattare</w:t>
      </w:r>
      <w:r>
        <w:t xml:space="preserve">, non</w:t>
      </w:r>
      <w:r>
        <w:t xml:space="preserve"> </w:t>
      </w:r>
      <w:r>
        <w:rPr>
          <w:b/>
          <w:bCs/>
        </w:rPr>
        <w:t xml:space="preserve">sai cosa ha il paziente</w:t>
      </w:r>
      <w:r>
        <w:t xml:space="preserve">. Le due cose convivono, e vanno dette al paziente come conviventi.</w:t>
      </w:r>
    </w:p>
    <w:p>
      <w:pPr>
        <w:pStyle w:val="BodyText"/>
      </w:pPr>
      <w:r>
        <w:rPr>
          <w:b/>
          <w:bCs/>
        </w:rPr>
        <w:t xml:space="preserve">🔴 ROSSO — stop.</w:t>
      </w:r>
      <w:r>
        <w:t xml:space="preserve"> </w:t>
      </w:r>
      <w:r>
        <w:t xml:space="preserve">Basta una sola bandiera a uscita ROSSA. Non si apre un ciclo e non si rimanda alla prossima seduta: il paziente esce con un’indicazione medica</w:t>
      </w:r>
      <w:r>
        <w:t xml:space="preserve"> </w:t>
      </w:r>
      <w:r>
        <w:rPr>
          <w:b/>
          <w:bCs/>
        </w:rPr>
        <w:t xml:space="preserve">esplicita e scritta</w:t>
      </w:r>
      <w:r>
        <w:t xml:space="preserve"> </w:t>
      </w:r>
      <w:r>
        <w:t xml:space="preserve">e con i tempi dichiarati. Se coesiste una disfunzione muscolo-scheletrica autonoma la si può trattare. Ma il documento del trattamento dichiara che il sintomo digestivo è in attesa di inquadramento e</w:t>
      </w:r>
      <w:r>
        <w:t xml:space="preserve"> </w:t>
      </w:r>
      <w:r>
        <w:rPr>
          <w:b/>
          <w:bCs/>
        </w:rPr>
        <w:t xml:space="preserve">non è il bersaglio</w:t>
      </w:r>
      <w:r>
        <w:t xml:space="preserve"> </w:t>
      </w:r>
      <w:r>
        <w:t xml:space="preserve">— e</w:t>
      </w:r>
      <w:r>
        <w:t xml:space="preserve"> </w:t>
      </w:r>
      <w:r>
        <w:rPr>
          <w:b/>
          <w:bCs/>
        </w:rPr>
        <w:t xml:space="preserve">gli strumenti attivi mirati alla distensione si sospendono insieme al bersaglio</w:t>
      </w:r>
      <w:r>
        <w:t xml:space="preserve">. Nessun reperto positivo scavalca questa uscita.</w:t>
      </w:r>
    </w:p>
    <w:p>
      <w:pPr>
        <w:pStyle w:val="BodyText"/>
      </w:pPr>
      <w:r>
        <w:rPr>
          <w:b/>
          <w:bCs/>
        </w:rPr>
        <w:t xml:space="preserve">🟡 GIALLO — si lavora, in parallelo.</w:t>
      </w:r>
      <w:r>
        <w:t xml:space="preserve"> </w:t>
      </w:r>
      <w:r>
        <w:t xml:space="preserve">Nessuna bandiera a uscita ROSSA, inquadramento assente o incompleto.</w:t>
      </w:r>
      <w:r>
        <w:t xml:space="preserve"> </w:t>
      </w:r>
      <w:r>
        <w:rPr>
          <w:b/>
          <w:bCs/>
        </w:rPr>
        <w:t xml:space="preserve">È la situazione più frequente su questa condizione.</w:t>
      </w:r>
      <w:r>
        <w:t xml:space="preserve"> </w:t>
      </w:r>
      <w:r>
        <w:t xml:space="preserve">Quattro condizioni, tutte verificabili.</w:t>
      </w:r>
    </w:p>
    <w:p>
      <w:pPr>
        <w:pStyle w:val="Compact"/>
        <w:numPr>
          <w:ilvl w:val="0"/>
          <w:numId w:val="1027"/>
        </w:numPr>
      </w:pPr>
      <w:r>
        <w:rPr>
          <w:b/>
          <w:bCs/>
        </w:rPr>
        <w:t xml:space="preserve">Un reperto tuo, meccanico, positivo e scritto in cartella.</w:t>
      </w:r>
      <w:r>
        <w:t xml:space="preserve"> </w:t>
      </w:r>
      <w:r>
        <w:t xml:space="preserve">Per esempio: escursione costale inferiore ridotta e asimmetrica, parete che sporge invece di attivarsi sotto carico, mancanza di scorrimento fra i piani superficiali dell’epigastrio. Non «il paziente ha dispepsia».</w:t>
      </w:r>
    </w:p>
    <w:p>
      <w:pPr>
        <w:pStyle w:val="Compact"/>
        <w:numPr>
          <w:ilvl w:val="0"/>
          <w:numId w:val="1027"/>
        </w:numPr>
      </w:pPr>
      <w:r>
        <w:rPr>
          <w:b/>
          <w:bCs/>
        </w:rPr>
        <w:t xml:space="preserve">Il paziente sa cosa tratti e cosa no:</w:t>
      </w:r>
      <w:r>
        <w:t xml:space="preserve"> </w:t>
      </w:r>
      <w:r>
        <w:rPr>
          <w:i/>
          <w:iCs/>
        </w:rPr>
        <w:t xml:space="preserve">«io lavoro sulla componente meccanica che ho trovato. I sintomi digestivi vanno comunque inquadrati dal tuo medico, e nel frattempo io non aspetto.»</w:t>
      </w:r>
    </w:p>
    <w:p>
      <w:pPr>
        <w:pStyle w:val="Compact"/>
        <w:numPr>
          <w:ilvl w:val="0"/>
          <w:numId w:val="1027"/>
        </w:numPr>
      </w:pPr>
      <w:r>
        <w:rPr>
          <w:b/>
          <w:bCs/>
        </w:rPr>
        <w:t xml:space="preserve">Comunicazione scritta al curante</w:t>
      </w:r>
      <w:r>
        <w:t xml:space="preserve">, non un rinvio del paziente: cosa hai trovato, quale sottotipo presumi e perché, quale marker segui. Non contiene giudizi sulla terapia in corso né richieste di esami: la richiesta di accertamenti non è nostra.</w:t>
      </w:r>
    </w:p>
    <w:p>
      <w:pPr>
        <w:pStyle w:val="Compact"/>
        <w:numPr>
          <w:ilvl w:val="0"/>
          <w:numId w:val="1027"/>
        </w:numPr>
      </w:pPr>
      <w:r>
        <w:rPr>
          <w:b/>
          <w:bCs/>
        </w:rPr>
        <w:t xml:space="preserve">Tempo contato in calendario e non in sedute.</w:t>
      </w:r>
      <w:r>
        <w:t xml:space="preserve"> </w:t>
      </w:r>
      <w:r>
        <w:t xml:space="preserve">La data della revisione si scrive in cartella il giorno in cui il GIALLO si apre, e cade entro</w:t>
      </w:r>
      <w:r>
        <w:t xml:space="preserve"> </w:t>
      </w:r>
      <w:r>
        <w:rPr>
          <w:b/>
          <w:bCs/>
        </w:rPr>
        <w:t xml:space="preserve">sei settimane</w:t>
      </w:r>
      <w:r>
        <w:t xml:space="preserve"> </w:t>
      </w:r>
      <w:r>
        <w:t xml:space="preserve">dalla prima seduta.</w:t>
      </w:r>
    </w:p>
    <w:p>
      <w:pPr>
        <w:pStyle w:val="FirstParagraph"/>
      </w:pPr>
      <w:r>
        <w:rPr>
          <w:b/>
          <w:bCs/>
        </w:rPr>
        <w:t xml:space="preserve">🟠 GIALLO PRIORITARIO — si lavora, con metà del tempo.</w:t>
      </w:r>
      <w:r>
        <w:t xml:space="preserve"> </w:t>
      </w:r>
      <w:r>
        <w:t xml:space="preserve">Stesse quattro condizioni, tetto di</w:t>
      </w:r>
      <w:r>
        <w:t xml:space="preserve"> </w:t>
      </w:r>
      <w:r>
        <w:rPr>
          <w:b/>
          <w:bCs/>
        </w:rPr>
        <w:t xml:space="preserve">tre settimane</w:t>
      </w:r>
      <w:r>
        <w:t xml:space="preserve"> </w:t>
      </w:r>
      <w:r>
        <w:t xml:space="preserve">invece di sei, e comunicazione scritta al curante all’apertura del ciclo.</w:t>
      </w:r>
    </w:p>
    <w:p>
      <w:pPr>
        <w:pStyle w:val="BodyText"/>
      </w:pPr>
      <w:r>
        <w:rPr>
          <w:b/>
          <w:bCs/>
        </w:rPr>
        <w:t xml:space="preserve">🟢 VERDE — si procede.</w:t>
      </w:r>
      <w:r>
        <w:t xml:space="preserve"> </w:t>
      </w:r>
      <w:r>
        <w:t xml:space="preserve">Nessuna bandiera a uscita ROSSA, e una fra queste tre condizioni: gastroscopia negativa o con reperti che non spiegano i sintomi; valutazione gastroenterologica con diagnosi di disturbo funzionale; terapia per la dispepsia in corso o conclusa</w:t>
      </w:r>
      <w:r>
        <w:t xml:space="preserve"> </w:t>
      </w:r>
      <w:r>
        <w:rPr>
          <w:b/>
          <w:bCs/>
        </w:rPr>
        <w:t xml:space="preserve">dopo</w:t>
      </w:r>
      <w:r>
        <w:t xml:space="preserve"> </w:t>
      </w:r>
      <w:r>
        <w:t xml:space="preserve">che l’Helicobacter è stato cercato con un test valutabile e, se positivo, eradicato.</w:t>
      </w:r>
    </w:p>
    <w:p>
      <w:pPr>
        <w:pStyle w:val="BodyText"/>
      </w:pPr>
      <w:r>
        <w:rPr>
          <w:b/>
          <w:bCs/>
        </w:rPr>
        <w:t xml:space="preserve">Perché quattro uscite e non un cancello binario.</w:t>
      </w:r>
      <w:r>
        <w:t xml:space="preserve"> </w:t>
      </w:r>
      <w:r>
        <w:t xml:space="preserve">Il cancello binario dichiarava un requisito: l’inquadramento completo prima di lavorare. Nella pratica veniva aggirato, perché su questa condizione la situazione più frequente è proprio quella in cui l’inquadramento non c’è ancora.</w:t>
      </w:r>
      <w:r>
        <w:t xml:space="preserve"> </w:t>
      </w:r>
      <w:r>
        <w:rPr>
          <w:b/>
          <w:bCs/>
        </w:rPr>
        <w:t xml:space="preserve">Una regola scritta e disattesa protegge meno di nessuna regola, perché fa credere che un controllo esista.</w:t>
      </w:r>
      <w:r>
        <w:t xml:space="preserve"> </w:t>
      </w:r>
      <w:r>
        <w:t xml:space="preserve">Il triage a quattro uscite non chiede di meno: chiede di dichiarare cosa fai davvero in ciascuna situazione. Tiene il ROSSO rigido e senza eccezioni, e mette per iscritto le quattro cose che rendono difendibile il GIALLO — il reperto tuo, il marker, il canale medico aperto, il tempo che scade sul calendario. È lo standard più alto, non la concessione a chi non vuole rimandare fuori il paziente.</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Un quadro che cambia forma</w:t>
      </w:r>
      <w:r>
        <w:t xml:space="preserve"> </w:t>
      </w:r>
      <w:r>
        <w:rPr>
          <w:b/>
          <w:bCs/>
        </w:rPr>
        <w:t xml:space="preserve">torna al triage, dall’inizio</w:t>
      </w:r>
      <w:r>
        <w:t xml:space="preserve">. Chi passa dalla pesantezza al dolore, o dal gonfiore al vomito, è un paziente nuovo.</w:t>
      </w:r>
    </w:p>
    <w:bookmarkEnd w:id="61"/>
    <w:bookmarkStart w:id="62" w:name="cosa-fanno-i-farmaci-che-prende"/>
    <w:p>
      <w:pPr>
        <w:pStyle w:val="Heading3"/>
      </w:pPr>
      <w:r>
        <w:t xml:space="preserve">Cosa fanno i farmaci che prende</w:t>
      </w:r>
    </w:p>
    <w:p>
      <w:pPr>
        <w:pStyle w:val="FirstParagraph"/>
      </w:pPr>
      <w:r>
        <w:t xml:space="preserve">Non li commenti, non li valuti, non ne suggerisci la modifica: decide il prescrittore. Ma sapere cosa fanno cambia cosa ti aspetti.</w:t>
      </w:r>
    </w:p>
    <w:p>
      <w:pPr>
        <w:pStyle w:val="Compact"/>
        <w:numPr>
          <w:ilvl w:val="0"/>
          <w:numId w:val="1028"/>
        </w:numPr>
      </w:pPr>
      <w:r>
        <w:rPr>
          <w:b/>
          <w:bCs/>
        </w:rPr>
        <w:t xml:space="preserve">Inibitori di pompa protonica.</w:t>
      </w:r>
      <w:r>
        <w:t xml:space="preserve"> </w:t>
      </w:r>
      <w:r>
        <w:t xml:space="preserve">Riducono la secrezione acida, e nella dispepsia funzionale il guadagno oltre il placebo è piccolo. Ma nel paziente in antiaggreganti, antinfiammatori o anticoagulanti sono lì per</w:t>
      </w:r>
      <w:r>
        <w:t xml:space="preserve"> </w:t>
      </w:r>
      <w:r>
        <w:rPr>
          <w:b/>
          <w:bCs/>
        </w:rPr>
        <w:t xml:space="preserve">gastroprotezione</w:t>
      </w:r>
      <w:r>
        <w:t xml:space="preserve"> </w:t>
      </w:r>
      <w:r>
        <w:t xml:space="preserve">e non per il sintomo: l’uso intermittente invece che continuativo aumenta il rischio di ulcera o sanguinamento (rapporto di rischio 1,83 su 648.807 pazienti; Hedberg,</w:t>
      </w:r>
      <w:r>
        <w:t xml:space="preserve"> </w:t>
      </w:r>
      <w:r>
        <w:rPr>
          <w:i/>
          <w:iCs/>
        </w:rPr>
        <w:t xml:space="preserve">J Intern Med</w:t>
      </w:r>
      <w:r>
        <w:t xml:space="preserve"> </w:t>
      </w:r>
      <w:r>
        <w:t xml:space="preserve">2013, PMID 23800296). E negativizzano i test per Helicobacter.</w:t>
      </w:r>
    </w:p>
    <w:p>
      <w:pPr>
        <w:pStyle w:val="Compact"/>
        <w:numPr>
          <w:ilvl w:val="0"/>
          <w:numId w:val="1028"/>
        </w:numPr>
      </w:pPr>
      <w:r>
        <w:rPr>
          <w:b/>
          <w:bCs/>
        </w:rPr>
        <w:t xml:space="preserve">Procinetici</w:t>
      </w:r>
      <w:r>
        <w:t xml:space="preserve">, che accelerano lo svuotamento gastrico.</w:t>
      </w:r>
      <w:r>
        <w:t xml:space="preserve"> </w:t>
      </w:r>
      <w:r>
        <w:rPr>
          <w:b/>
          <w:bCs/>
        </w:rPr>
        <w:t xml:space="preserve">Antispastici</w:t>
      </w:r>
      <w:r>
        <w:t xml:space="preserve">, sulla muscolatura liscia intestinale.</w:t>
      </w:r>
      <w:r>
        <w:t xml:space="preserve"> </w:t>
      </w:r>
      <w:r>
        <w:rPr>
          <w:b/>
          <w:bCs/>
        </w:rPr>
        <w:t xml:space="preserve">Enzimi e alfa-galattosidasi</w:t>
      </w:r>
      <w:r>
        <w:t xml:space="preserve"> </w:t>
      </w:r>
      <w:r>
        <w:t xml:space="preserve">da banco, aiuto puntuale sul singolo pasto.</w:t>
      </w:r>
    </w:p>
    <w:p>
      <w:pPr>
        <w:pStyle w:val="Compact"/>
        <w:numPr>
          <w:ilvl w:val="0"/>
          <w:numId w:val="1028"/>
        </w:numPr>
      </w:pPr>
      <w:r>
        <w:rPr>
          <w:b/>
          <w:bCs/>
        </w:rPr>
        <w:t xml:space="preserve">Neuromodulatori a basso dosaggio.</w:t>
      </w:r>
      <w:r>
        <w:t xml:space="preserve"> </w:t>
      </w:r>
      <w:r>
        <w:t xml:space="preserve">Sono prescritti per</w:t>
      </w:r>
      <w:r>
        <w:t xml:space="preserve"> </w:t>
      </w:r>
      <w:r>
        <w:rPr>
          <w:b/>
          <w:bCs/>
        </w:rPr>
        <w:t xml:space="preserve">alzare</w:t>
      </w:r>
      <w:r>
        <w:t xml:space="preserve"> </w:t>
      </w:r>
      <w:r>
        <w:t xml:space="preserve">la soglia a cui un segnale viscerale diventa sintomo, non per l’umore (Hanna-Jairala e Drossman,</w:t>
      </w:r>
      <w:r>
        <w:t xml:space="preserve"> </w:t>
      </w:r>
      <w:r>
        <w:rPr>
          <w:i/>
          <w:iCs/>
        </w:rPr>
        <w:t xml:space="preserve">Am J Gastroenterol</w:t>
      </w:r>
      <w:r>
        <w:t xml:space="preserve"> </w:t>
      </w:r>
      <w:r>
        <w:t xml:space="preserve">2024, PMID 38595149). Quando li vedi in terapia, il prescrittore sta lavorando sullo stesso meccanismo del quarto guasto. Dirlo evita che il paziente li legga come «mi ha dato un antidepressivo».</w:t>
      </w:r>
    </w:p>
    <w:bookmarkEnd w:id="62"/>
    <w:bookmarkStart w:id="63" w:name="il-perimetro-per-questa-condizione"/>
    <w:p>
      <w:pPr>
        <w:pStyle w:val="Heading3"/>
      </w:pPr>
      <w:r>
        <w:t xml:space="preserve">Il perimetro, per questa condizione</w:t>
      </w:r>
    </w:p>
    <w:p>
      <w:pPr>
        <w:pStyle w:val="FirstParagraph"/>
      </w:pPr>
      <w:r>
        <w:rPr>
          <w:b/>
          <w:bCs/>
        </w:rPr>
        <w:t xml:space="preserve">Cosa dichiari nel consenso, qui e non altrove.</w:t>
      </w:r>
      <w:r>
        <w:t xml:space="preserve"> </w:t>
      </w:r>
      <w:r>
        <w:t xml:space="preserve">Tre righe che in un’altra Bibbia non scriveresti.</w:t>
      </w:r>
    </w:p>
    <w:p>
      <w:pPr>
        <w:pStyle w:val="Compact"/>
        <w:numPr>
          <w:ilvl w:val="0"/>
          <w:numId w:val="1029"/>
        </w:numPr>
      </w:pPr>
      <w:r>
        <w:t xml:space="preserve">Che l’oggetto del trattamento è la</w:t>
      </w:r>
      <w:r>
        <w:t xml:space="preserve"> </w:t>
      </w:r>
      <w:r>
        <w:rPr>
          <w:b/>
          <w:bCs/>
        </w:rPr>
        <w:t xml:space="preserve">disfunzione somatica</w:t>
      </w:r>
      <w:r>
        <w:t xml:space="preserve"> </w:t>
      </w:r>
      <w:r>
        <w:t xml:space="preserve">documentata — la meccanica di diaframma e parete addominale — e non la cura del disturbo digestivo.</w:t>
      </w:r>
    </w:p>
    <w:p>
      <w:pPr>
        <w:pStyle w:val="Compact"/>
        <w:numPr>
          <w:ilvl w:val="0"/>
          <w:numId w:val="1029"/>
        </w:numPr>
      </w:pPr>
      <w:r>
        <w:t xml:space="preserve">Che l’osteopatia non modifica lo svuotamento gastrico né l’accomodazione dello stomaco: quelle grandezze non sono mai state misurate prima e dopo un trattamento manuale.</w:t>
      </w:r>
    </w:p>
    <w:p>
      <w:pPr>
        <w:pStyle w:val="Compact"/>
        <w:numPr>
          <w:ilvl w:val="0"/>
          <w:numId w:val="1029"/>
        </w:numPr>
      </w:pPr>
      <w:r>
        <w:t xml:space="preserve">Che il trattamento</w:t>
      </w:r>
      <w:r>
        <w:t xml:space="preserve"> </w:t>
      </w:r>
      <w:r>
        <w:rPr>
          <w:b/>
          <w:bCs/>
        </w:rPr>
        <w:t xml:space="preserve">si affianca</w:t>
      </w:r>
      <w:r>
        <w:t xml:space="preserve"> </w:t>
      </w:r>
      <w:r>
        <w:t xml:space="preserve">all’inquadramento e alla terapia medica e non li sostituisce.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Il confine di atto, dove questa condizione lo mette alla prova.</w:t>
      </w:r>
      <w:r>
        <w:t xml:space="preserve"> </w:t>
      </w:r>
      <w:r>
        <w:t xml:space="preserve">Il perimetro non si definisce sul gesto, ma sull’</w:t>
      </w:r>
      <w:r>
        <w:rPr>
          <w:b/>
          <w:bCs/>
        </w:rPr>
        <w:t xml:space="preserve">unità in cui scrivi l’esito</w:t>
      </w:r>
      <w:r>
        <w:t xml:space="preserve">.</w:t>
      </w:r>
    </w:p>
    <w:p>
      <w:pPr>
        <w:pStyle w:val="Compact"/>
        <w:numPr>
          <w:ilvl w:val="0"/>
          <w:numId w:val="1030"/>
        </w:numPr>
      </w:pPr>
      <w:r>
        <w:rPr>
          <w:b/>
          <w:bCs/>
        </w:rPr>
        <w:t xml:space="preserve">Produrre una misura diagnostica è fuori.</w:t>
      </w:r>
      <w:r>
        <w:t xml:space="preserve"> </w:t>
      </w:r>
      <w:r>
        <w:t xml:space="preserve">La palpazione addominale non stabilisce se c’è una gastrite, se lo stomaco è disceso, se il fegato è congestionato. Scrivere «ptosi gastrica» in cartella è scrivere una diagnosi con uno strumento che non la produce.</w:t>
      </w:r>
      <w:r>
        <w:t xml:space="preserve"> </w:t>
      </w:r>
      <w:r>
        <w:rPr>
          <w:b/>
          <w:bCs/>
        </w:rPr>
        <w:t xml:space="preserve">Una sola eccezione:</w:t>
      </w:r>
      <w:r>
        <w:t xml:space="preserve"> </w:t>
      </w:r>
      <w:r>
        <w:t xml:space="preserve">una massa pulsante ed espansibile non è un reperto da interpretare. È un’uscita ROSSA immediata, e non si continua a palpare.</w:t>
      </w:r>
    </w:p>
    <w:p>
      <w:pPr>
        <w:pStyle w:val="Compact"/>
        <w:numPr>
          <w:ilvl w:val="0"/>
          <w:numId w:val="1030"/>
        </w:numPr>
      </w:pPr>
      <w:r>
        <w:rPr>
          <w:b/>
          <w:bCs/>
        </w:rPr>
        <w:t xml:space="preserve">Provocare una risposta è nostro.</w:t>
      </w:r>
      <w:r>
        <w:t xml:space="preserve"> </w:t>
      </w:r>
      <w:r>
        <w:t xml:space="preserve">Circonferenza, volume del test di bevuta, escursione costale: l’esito si scrive nell’unità del marker — centimetri, millilitri — mai in unità diagnostiche. «La circonferenza è passata da 92 a 95 centimetri novanta minuti dopo il pasto» è un dato. «Ha un rallentamento dello svuotamento gastrico» non lo è.</w:t>
      </w:r>
    </w:p>
    <w:p>
      <w:pPr>
        <w:pStyle w:val="Compact"/>
        <w:numPr>
          <w:ilvl w:val="0"/>
          <w:numId w:val="1030"/>
        </w:numPr>
      </w:pPr>
      <w:r>
        <w:rPr>
          <w:b/>
          <w:bCs/>
        </w:rPr>
        <w:t xml:space="preserve">Anche l’educazione ha un confine.</w:t>
      </w:r>
      <w:r>
        <w:t xml:space="preserve"> </w:t>
      </w:r>
      <w:r>
        <w:t xml:space="preserve">La fine della restrizione alimentare è un messaggio giusto. Nel paziente con calo di peso involontario, però,</w:t>
      </w:r>
      <w:r>
        <w:t xml:space="preserve"> </w:t>
      </w:r>
      <w:r>
        <w:rPr>
          <w:b/>
          <w:bCs/>
        </w:rPr>
        <w:t xml:space="preserve">si segnala al curante e non si eroga come indicazione autonoma</w:t>
      </w:r>
      <w:r>
        <w:t xml:space="preserve">: lì la restrizione può essere il sintomo di qualcosa che nessuno ha ancora guardato.</w:t>
      </w:r>
    </w:p>
    <w:p>
      <w:pPr>
        <w:pStyle w:val="FirstParagraph"/>
      </w:pPr>
      <w:r>
        <w:rPr>
          <w:b/>
          <w:bCs/>
        </w:rPr>
        <w:t xml:space="preserve">Se sbagli campo.</w:t>
      </w:r>
      <w:r>
        <w:t xml:space="preserve"> </w:t>
      </w:r>
      <w:r>
        <w:t xml:space="preserve">Il danno qui non è una manovra pericolosa: è il tempo. Un paziente con una bandiera rossa che passa sei settimane sul tuo lettino è un paziente a cui hai tolto sei settimane. Riferimento normativo:</w:t>
      </w:r>
      <w:r>
        <w:t xml:space="preserve"> </w:t>
      </w:r>
      <w:r>
        <w:rPr>
          <w:b/>
          <w:bCs/>
        </w:rPr>
        <w:t xml:space="preserve">DPR 131/2021</w:t>
      </w:r>
      <w:r>
        <w:t xml:space="preserve">, che definisce l’ambito dell’attività.</w:t>
      </w:r>
    </w:p>
    <w:p>
      <w:pPr>
        <w:pStyle w:val="BodyText"/>
      </w:pPr>
      <w:r>
        <w:rPr>
          <w:b/>
          <w:bCs/>
        </w:rPr>
        <w:t xml:space="preserve">Le tre cose da ricordare, più una</w:t>
      </w:r>
    </w:p>
    <w:p>
      <w:pPr>
        <w:pStyle w:val="Compact"/>
        <w:numPr>
          <w:ilvl w:val="0"/>
          <w:numId w:val="1031"/>
        </w:numPr>
      </w:pPr>
      <w:r>
        <w:t xml:space="preserve">Il calo di peso involontario è la bandiera che si perde più spesso, perché chi ha ristretto la dieta lo considera normale. Chiedilo con parole tue, non aspettare che lo dica.</w:t>
      </w:r>
    </w:p>
    <w:p>
      <w:pPr>
        <w:pStyle w:val="Compact"/>
        <w:numPr>
          <w:ilvl w:val="0"/>
          <w:numId w:val="1031"/>
        </w:numPr>
      </w:pPr>
      <w:r>
        <w:t xml:space="preserve">Il GIALLO si conta in settimane sul calendario, non in sedute. La data si scrive il giorno in cui il GIALLO si apre.</w:t>
      </w:r>
    </w:p>
    <w:p>
      <w:pPr>
        <w:pStyle w:val="Compact"/>
        <w:numPr>
          <w:ilvl w:val="0"/>
          <w:numId w:val="1031"/>
        </w:numPr>
      </w:pPr>
      <w:r>
        <w:t xml:space="preserve">La circonferenza addominale è un marker che produci tu. La gastroparesi è una diagnosi che non è tua. Non scriverle nella stessa riga.</w:t>
      </w:r>
    </w:p>
    <w:p>
      <w:pPr>
        <w:pStyle w:val="Compact"/>
        <w:numPr>
          <w:ilvl w:val="0"/>
          <w:numId w:val="1031"/>
        </w:numPr>
      </w:pPr>
      <w:r>
        <w:rPr>
          <w:b/>
          <w:bCs/>
        </w:rPr>
        <w:t xml:space="preserve">Perché ci sei tu.</w:t>
      </w:r>
      <w:r>
        <w:t xml:space="preserve"> </w:t>
      </w:r>
      <w:r>
        <w:t xml:space="preserve">Ci sono due righe che il filtro gastroenterologico non copre: la sindrome coronarica che si presenta come peso epigastrico, e la massa pulsante. Su quelle il tuo triage vale più di quello del percorso già fatto, perché tu lo vedi dopo e con le mani addosso.</w:t>
      </w:r>
      <w:r>
        <w:t xml:space="preserve"> </w:t>
      </w:r>
      <w:r>
        <w:rPr>
          <w:b/>
          <w:bCs/>
        </w:rPr>
        <w:t xml:space="preserve">Per te:</w:t>
      </w:r>
      <w:r>
        <w:t xml:space="preserve"> </w:t>
      </w:r>
      <w:r>
        <w:t xml:space="preserve">guardare le sclere e sentire una pulsazione mediana costa dieci secondi. Questo ti autorizza a considerare il triage parte del tuo atto, non una formalità che precede il trattamento. Non ti autorizza a diagnosticare niente di quello che sospetti.</w:t>
      </w:r>
    </w:p>
    <w:p>
      <w:r>
        <w:pict>
          <v:rect style="width:0;height:1.5pt" o:hralign="center" o:hrstd="t" o:hr="t"/>
        </w:pict>
      </w:r>
    </w:p>
    <w:bookmarkEnd w:id="63"/>
    <w:bookmarkEnd w:id="64"/>
    <w:bookmarkStart w:id="71"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esiste una leva con due studi randomizzati controllati con placebo alle spalle, e non è il tocco — è l’insegnamento di una manovra muscolare.</w:t>
      </w:r>
    </w:p>
    <w:bookmarkStart w:id="65" w:name="le-due-ancore"/>
    <w:p>
      <w:pPr>
        <w:pStyle w:val="Heading3"/>
      </w:pPr>
      <w:r>
        <w:t xml:space="preserve">Le due ancore</w:t>
      </w:r>
    </w:p>
    <w:p>
      <w:pPr>
        <w:pStyle w:val="FirstParagraph"/>
      </w:pPr>
      <w:r>
        <w:t xml:space="preserve">Le ancore sono due invece di una, perché su questa condizione il razionale fisiologico e la stratificazione clinica hanno paternità distinte.</w:t>
      </w:r>
    </w:p>
    <w:p>
      <w:pPr>
        <w:pStyle w:val="BodyText"/>
      </w:pPr>
      <w:r>
        <w:rPr>
          <w:b/>
          <w:bCs/>
        </w:rPr>
        <w:t xml:space="preserve">L’ancora clinica è Jan Tack</w:t>
      </w:r>
      <w:r>
        <w:t xml:space="preserve">, KU Leuven: il barostato dentro lo stomaco dei pazienti, l’accomodazione alterata e la soglia abbassata. Regge «Cosa si rompe» e i sottotipi. Il suo limite, dichiarato: il suo lavoro è di fisiopatologia e di farmacologia, non di terapia manuale.</w:t>
      </w:r>
    </w:p>
    <w:p>
      <w:pPr>
        <w:pStyle w:val="BodyText"/>
      </w:pPr>
      <w:r>
        <w:rPr>
          <w:b/>
          <w:bCs/>
        </w:rPr>
        <w:t xml:space="preserve">L’ancora fisiologica e meccanica è Fernando Azpiroz</w:t>
      </w:r>
      <w:r>
        <w:t xml:space="preserve">, Hospital Universitari Vall d’Hebron, con Elizabeth Barba e Anna Accarino: la dissinergia addomino-frenica filmata e registrata, e i due studi controllati con placebo che la correggono. Regge «Le strutture in gioco», il primo meccanismo e i capitoli sulle leve. Il suo limite, dichiarato: è un gastroenterologo, non un terapista manuale, e i suoi pazienti avevano disturbi</w:t>
      </w:r>
      <w:r>
        <w:t xml:space="preserve"> </w:t>
      </w:r>
      <w:r>
        <w:rPr>
          <w:b/>
          <w:bCs/>
        </w:rPr>
        <w:t xml:space="preserve">intestinali</w:t>
      </w:r>
      <w:r>
        <w:t xml:space="preserve"> </w:t>
      </w:r>
      <w:r>
        <w:t xml:space="preserve">funzionali.</w:t>
      </w:r>
    </w:p>
    <w:bookmarkEnd w:id="65"/>
    <w:bookmarkStart w:id="66"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 e in chi</w:t>
            </w:r>
          </w:p>
        </w:tc>
        <w:tc>
          <w:tcPr/>
          <w:p>
            <w:pPr>
              <w:pStyle w:val="Compact"/>
            </w:pPr>
            <w:r>
              <w:t xml:space="preserve">Cosa ti autorizza a fare</w:t>
            </w:r>
          </w:p>
        </w:tc>
      </w:tr>
      <w:tr>
        <w:tc>
          <w:tcPr/>
          <w:p>
            <w:pPr>
              <w:pStyle w:val="Compact"/>
            </w:pPr>
            <w:r>
              <w:t xml:space="preserve">Barba 2015 (25500424)</w:t>
            </w:r>
          </w:p>
        </w:tc>
        <w:tc>
          <w:tcPr/>
          <w:p>
            <w:pPr>
              <w:pStyle w:val="Compact"/>
            </w:pPr>
            <w:r>
              <w:t xml:space="preserve">Diaframma e parete, 45 pazienti intestinali funzionali</w:t>
            </w:r>
          </w:p>
        </w:tc>
        <w:tc>
          <w:tcPr/>
          <w:p>
            <w:pPr>
              <w:pStyle w:val="Compact"/>
            </w:pPr>
            <w:r>
              <w:t xml:space="preserve">Guardare la parete, non solo la pancia</w:t>
            </w:r>
          </w:p>
        </w:tc>
      </w:tr>
      <w:tr>
        <w:tc>
          <w:tcPr/>
          <w:p>
            <w:pPr>
              <w:pStyle w:val="Compact"/>
            </w:pPr>
            <w:r>
              <w:t xml:space="preserve">Barba 2024 (38467383)</w:t>
            </w:r>
          </w:p>
        </w:tc>
        <w:tc>
          <w:tcPr/>
          <w:p>
            <w:pPr>
              <w:pStyle w:val="Compact"/>
            </w:pPr>
            <w:r>
              <w:t xml:space="preserve">Biofeedback di parete contro placebo, 42 con distensione</w:t>
            </w:r>
          </w:p>
        </w:tc>
        <w:tc>
          <w:tcPr/>
          <w:p>
            <w:pPr>
              <w:pStyle w:val="Compact"/>
            </w:pPr>
            <w:r>
              <w:t xml:space="preserve">Insegnare la manovra corretta</w:t>
            </w:r>
          </w:p>
        </w:tc>
      </w:tr>
      <w:tr>
        <w:tc>
          <w:tcPr/>
          <w:p>
            <w:pPr>
              <w:pStyle w:val="Compact"/>
            </w:pPr>
            <w:r>
              <w:t xml:space="preserve">Tack 1998 (9834261)</w:t>
            </w:r>
          </w:p>
        </w:tc>
        <w:tc>
          <w:tcPr/>
          <w:p>
            <w:pPr>
              <w:pStyle w:val="Compact"/>
            </w:pPr>
            <w:r>
              <w:t xml:space="preserve">Accomodazione gastrica al barostato, 40 dispeptici</w:t>
            </w:r>
          </w:p>
        </w:tc>
        <w:tc>
          <w:tcPr/>
          <w:p>
            <w:pPr>
              <w:pStyle w:val="Compact"/>
            </w:pPr>
            <w:r>
              <w:t xml:space="preserve">Riconoscere la sazietà precoce</w:t>
            </w:r>
          </w:p>
        </w:tc>
      </w:tr>
      <w:tr>
        <w:tc>
          <w:tcPr/>
          <w:p>
            <w:pPr>
              <w:pStyle w:val="Compact"/>
            </w:pPr>
            <w:r>
              <w:t xml:space="preserve">Tack 2001 (11522735)</w:t>
            </w:r>
          </w:p>
        </w:tc>
        <w:tc>
          <w:tcPr/>
          <w:p>
            <w:pPr>
              <w:pStyle w:val="Compact"/>
            </w:pPr>
            <w:r>
              <w:t xml:space="preserve">Soglia percettiva al barostato, 160 dispeptici</w:t>
            </w:r>
          </w:p>
        </w:tc>
        <w:tc>
          <w:tcPr/>
          <w:p>
            <w:pPr>
              <w:pStyle w:val="Compact"/>
            </w:pPr>
            <w:r>
              <w:t xml:space="preserve">Riconoscere la soglia abbassata</w:t>
            </w:r>
          </w:p>
        </w:tc>
      </w:tr>
      <w:tr>
        <w:tc>
          <w:tcPr/>
          <w:p>
            <w:pPr>
              <w:pStyle w:val="Compact"/>
            </w:pPr>
            <w:r>
              <w:t xml:space="preserve">Stanghellini 1996 (8612991)</w:t>
            </w:r>
          </w:p>
        </w:tc>
        <w:tc>
          <w:tcPr/>
          <w:p>
            <w:pPr>
              <w:pStyle w:val="Compact"/>
            </w:pPr>
            <w:r>
              <w:t xml:space="preserve">Svuotamento gastrico, 343 dispeptici di centro</w:t>
            </w:r>
          </w:p>
        </w:tc>
        <w:tc>
          <w:tcPr/>
          <w:p>
            <w:pPr>
              <w:pStyle w:val="Compact"/>
            </w:pPr>
            <w:r>
              <w:t xml:space="preserve">Sospettare il sottotipo lento</w:t>
            </w:r>
          </w:p>
        </w:tc>
      </w:tr>
      <w:tr>
        <w:tc>
          <w:tcPr/>
          <w:p>
            <w:pPr>
              <w:pStyle w:val="Compact"/>
            </w:pPr>
            <w:r>
              <w:t xml:space="preserve">Attali 2013 (23981319)</w:t>
            </w:r>
          </w:p>
        </w:tc>
        <w:tc>
          <w:tcPr/>
          <w:p>
            <w:pPr>
              <w:pStyle w:val="Compact"/>
            </w:pPr>
            <w:r>
              <w:t xml:space="preserve">Osteopatia viscerale contro placebo, 31 intestini irritabili refrattari</w:t>
            </w:r>
          </w:p>
        </w:tc>
        <w:tc>
          <w:tcPr/>
          <w:p>
            <w:pPr>
              <w:pStyle w:val="Compact"/>
            </w:pPr>
            <w:r>
              <w:t xml:space="preserve">Parlare della sensibilità viscerale</w:t>
            </w:r>
          </w:p>
        </w:tc>
      </w:tr>
      <w:tr>
        <w:tc>
          <w:tcPr/>
          <w:p>
            <w:pPr>
              <w:pStyle w:val="Compact"/>
            </w:pPr>
            <w:r>
              <w:t xml:space="preserve">Hjelland 2007 (17710670)</w:t>
            </w:r>
          </w:p>
        </w:tc>
        <w:tc>
          <w:tcPr/>
          <w:p>
            <w:pPr>
              <w:pStyle w:val="Compact"/>
            </w:pPr>
            <w:r>
              <w:t xml:space="preserve">Respiro lento, 40 dispeptici, senza gruppo simulato</w:t>
            </w:r>
          </w:p>
        </w:tc>
        <w:tc>
          <w:tcPr/>
          <w:p>
            <w:pPr>
              <w:pStyle w:val="Compact"/>
            </w:pPr>
            <w:r>
              <w:t xml:space="preserve">Insegnare il respiro lento</w:t>
            </w:r>
          </w:p>
        </w:tc>
      </w:tr>
      <w:tr>
        <w:tc>
          <w:tcPr/>
          <w:p>
            <w:pPr>
              <w:pStyle w:val="Compact"/>
            </w:pPr>
            <w:r>
              <w:t xml:space="preserve">Wei 2022 (35465581)</w:t>
            </w:r>
          </w:p>
        </w:tc>
        <w:tc>
          <w:tcPr/>
          <w:p>
            <w:pPr>
              <w:pStyle w:val="Compact"/>
            </w:pPr>
            <w:r>
              <w:t xml:space="preserve">Terapie psicologiche, 1.434 dispeptici</w:t>
            </w:r>
          </w:p>
        </w:tc>
        <w:tc>
          <w:tcPr/>
          <w:p>
            <w:pPr>
              <w:pStyle w:val="Compact"/>
            </w:pPr>
            <w:r>
              <w:t xml:space="preserve">Prendere sul serio il piano comportamentale</w:t>
            </w:r>
          </w:p>
        </w:tc>
      </w:tr>
      <w:tr>
        <w:tc>
          <w:tcPr/>
          <w:p>
            <w:pPr>
              <w:pStyle w:val="Compact"/>
            </w:pPr>
            <w:r>
              <w:t xml:space="preserve">Vanheel 2014 (23474421)</w:t>
            </w:r>
          </w:p>
        </w:tc>
        <w:tc>
          <w:tcPr/>
          <w:p>
            <w:pPr>
              <w:pStyle w:val="Compact"/>
            </w:pPr>
            <w:r>
              <w:t xml:space="preserve">Barriera duodenale, 15 dispeptici</w:t>
            </w:r>
          </w:p>
        </w:tc>
        <w:tc>
          <w:tcPr/>
          <w:p>
            <w:pPr>
              <w:pStyle w:val="Compact"/>
            </w:pPr>
            <w:r>
              <w:t xml:space="preserve">Riconoscere il meccanismo non tuo</w:t>
            </w:r>
          </w:p>
        </w:tc>
      </w:tr>
    </w:tbl>
    <w:bookmarkEnd w:id="66"/>
    <w:bookmarkStart w:id="67" w:name="i-tre-cerchi"/>
    <w:p>
      <w:pPr>
        <w:pStyle w:val="Heading3"/>
      </w:pPr>
      <w:r>
        <w:t xml:space="preserve">I tre cerchi</w:t>
      </w:r>
    </w:p>
    <w:p>
      <w:pPr>
        <w:pStyle w:val="FirstParagraph"/>
      </w:pPr>
      <w:r>
        <w:t xml:space="preserve">Non sono un inventario delle prove esistenti. Sono il metodo con cui giudicherai qualunque studio ti capiterà in mano dopo questa Bibbia.</w:t>
      </w:r>
    </w:p>
    <w:p>
      <w:pPr>
        <w:pStyle w:val="BodyText"/>
      </w:pPr>
      <w:r>
        <w:rPr>
          <w:b/>
          <w:bCs/>
        </w:rPr>
        <w:t xml:space="preserve">Cerchio 1 — le prove specifiche.</w:t>
      </w:r>
      <w:r>
        <w:t xml:space="preserve"> </w:t>
      </w:r>
      <w:r>
        <w:t xml:space="preserve">Non è vuoto, ed è la buona notizia di questa Bibbia. Ci sono due studi randomizzati controllati con placebo sulla rieducazione di parete e diaframma (Barba 2017, PMID 28705783; Barba 2024, PMID 38467383). C’è un crossover controllato con placebo di osteopatia viscerale su 31 pazienti con intestino irritabile refrattario (Attali,</w:t>
      </w:r>
      <w:r>
        <w:t xml:space="preserve"> </w:t>
      </w:r>
      <w:r>
        <w:rPr>
          <w:i/>
          <w:iCs/>
        </w:rPr>
        <w:t xml:space="preserve">J Dig Dis</w:t>
      </w:r>
      <w:r>
        <w:t xml:space="preserve"> </w:t>
      </w:r>
      <w:r>
        <w:t xml:space="preserve">2013, PMID 23981319) — salto di</w:t>
      </w:r>
      <w:r>
        <w:t xml:space="preserve"> </w:t>
      </w:r>
      <w:r>
        <w:rPr>
          <w:b/>
          <w:bCs/>
        </w:rPr>
        <w:t xml:space="preserve">popolazione e di sede</w:t>
      </w:r>
      <w:r>
        <w:t xml:space="preserve">. C’è una meta-analisi di cinque studi randomizzati di trattamento osteopatico nell’intestino irritabile (Buffone, 2023, PMID 37685480) — salto di</w:t>
      </w:r>
      <w:r>
        <w:t xml:space="preserve"> </w:t>
      </w:r>
      <w:r>
        <w:rPr>
          <w:b/>
          <w:bCs/>
        </w:rPr>
        <w:t xml:space="preserve">condizione</w:t>
      </w:r>
      <w:r>
        <w:t xml:space="preserve">. C’è una meta-analisi di 14 studi randomizzati di terapie psicologiche nella dispepsia funzionale (Wei, 2022, PMID 35465581) — popolazione giusta, intervento non nostro. E c’è una revisione sulle terapie fisiche nella dispepsia: da 12.217 studi identificati ne restano</w:t>
      </w:r>
      <w:r>
        <w:t xml:space="preserve"> </w:t>
      </w:r>
      <w:r>
        <w:rPr>
          <w:b/>
          <w:bCs/>
        </w:rPr>
        <w:t xml:space="preserve">cinque</w:t>
      </w:r>
      <w:r>
        <w:t xml:space="preserve">, per 266 partecipanti (Liptak,</w:t>
      </w:r>
      <w:r>
        <w:t xml:space="preserve"> </w:t>
      </w:r>
      <w:r>
        <w:rPr>
          <w:i/>
          <w:iCs/>
        </w:rPr>
        <w:t xml:space="preserve">Clin J Gastroenterol</w:t>
      </w:r>
      <w:r>
        <w:t xml:space="preserve"> </w:t>
      </w:r>
      <w:r>
        <w:t xml:space="preserve">2026, PMID 41670783).</w:t>
      </w:r>
    </w:p>
    <w:p>
      <w:pPr>
        <w:pStyle w:val="BodyText"/>
      </w:pPr>
      <w:r>
        <w:rPr>
          <w:b/>
          <w:bCs/>
        </w:rPr>
        <w:t xml:space="preserve">E la terapia manuale su questa condizione è stata studiata</w:t>
      </w:r>
      <w:r>
        <w:t xml:space="preserve">, al contrario di quello che si sente ripetere. Ci sono quattordici studi randomizzati e 1.128 pazienti con dispepsia funzionale trattati con tuina (Dai,</w:t>
      </w:r>
      <w:r>
        <w:t xml:space="preserve"> </w:t>
      </w:r>
      <w:r>
        <w:rPr>
          <w:i/>
          <w:iCs/>
        </w:rPr>
        <w:t xml:space="preserve">Qual Life Res</w:t>
      </w:r>
      <w:r>
        <w:t xml:space="preserve"> </w:t>
      </w:r>
      <w:r>
        <w:t xml:space="preserve">2023, PMID 35976600). E dodici studi su 1.161 bambini (Lin,</w:t>
      </w:r>
      <w:r>
        <w:t xml:space="preserve"> </w:t>
      </w:r>
      <w:r>
        <w:rPr>
          <w:i/>
          <w:iCs/>
        </w:rPr>
        <w:t xml:space="preserve">Front Pharmacol</w:t>
      </w:r>
      <w:r>
        <w:t xml:space="preserve"> </w:t>
      </w:r>
      <w:r>
        <w:t xml:space="preserve">2025, PMID 40331196).</w:t>
      </w:r>
      <w:r>
        <w:t xml:space="preserve"> </w:t>
      </w:r>
      <w:r>
        <w:rPr>
          <w:b/>
          <w:bCs/>
        </w:rPr>
        <w:t xml:space="preserve">Misurato contro terapia convenzionale, non contro un simulato, con certezza bassa, e non con le tecniche di questa Bibbia: l’effetto non è separato dall’attenzione né dal decorso.</w:t>
      </w:r>
    </w:p>
    <w:p>
      <w:pPr>
        <w:pStyle w:val="BodyText"/>
      </w:pPr>
      <w:r>
        <w:rPr>
          <w:b/>
          <w:bCs/>
        </w:rPr>
        <w:t xml:space="preserve">Per te:</w:t>
      </w:r>
      <w:r>
        <w:t xml:space="preserve"> </w:t>
      </w:r>
      <w:r>
        <w:t xml:space="preserve">cinque studi e 266 pazienti sulle terapie fisiche sono pochi, e quattordici studi di tuina senza simulato non sono una prova. Sapere entrambi i numeri prima di parlare con un gastroenterologo vale più che saperne uno: chi cita solo il primo viene smentito da chi conosce il secondo. Ma i due studi di Barba sono controllati con placebo. La conclusione onesta non è «non si può dire niente»: è «si può dire una cosa sola, e va detta bene».</w:t>
      </w:r>
    </w:p>
    <w:p>
      <w:pPr>
        <w:pStyle w:val="BodyText"/>
      </w:pPr>
      <w:r>
        <w:rPr>
          <w:b/>
          <w:bCs/>
        </w:rPr>
        <w:t xml:space="preserve">Cerchio 2 — le prove trasversali sul meccanismo.</w:t>
      </w:r>
      <w:r>
        <w:t xml:space="preserve"> </w:t>
      </w:r>
      <w:r>
        <w:t xml:space="preserve">Ogni voce porta il salto che le appartiene.</w:t>
      </w:r>
    </w:p>
    <w:p>
      <w:pPr>
        <w:pStyle w:val="Compact"/>
        <w:numPr>
          <w:ilvl w:val="0"/>
          <w:numId w:val="1032"/>
        </w:numPr>
      </w:pPr>
      <w:r>
        <w:t xml:space="preserve">Il respiro lento e la variabilità cardiaca (Laborde, 2022, PMID 35623448) — salto di</w:t>
      </w:r>
      <w:r>
        <w:t xml:space="preserve"> </w:t>
      </w:r>
      <w:r>
        <w:rPr>
          <w:b/>
          <w:bCs/>
        </w:rPr>
        <w:t xml:space="preserve">popolazione</w:t>
      </w:r>
      <w:r>
        <w:t xml:space="preserve"> </w:t>
      </w:r>
      <w:r>
        <w:t xml:space="preserve">e di</w:t>
      </w:r>
      <w:r>
        <w:t xml:space="preserve"> </w:t>
      </w:r>
      <w:r>
        <w:rPr>
          <w:b/>
          <w:bCs/>
        </w:rPr>
        <w:t xml:space="preserve">organo</w:t>
      </w:r>
      <w:r>
        <w:t xml:space="preserve">.</w:t>
      </w:r>
    </w:p>
    <w:p>
      <w:pPr>
        <w:pStyle w:val="Compact"/>
        <w:numPr>
          <w:ilvl w:val="0"/>
          <w:numId w:val="1032"/>
        </w:numPr>
      </w:pPr>
      <w:r>
        <w:t xml:space="preserve">La componente relazionale della cura (Kaptchuk, 2008, PMID 18390493) — salti di</w:t>
      </w:r>
      <w:r>
        <w:t xml:space="preserve"> </w:t>
      </w:r>
      <w:r>
        <w:rPr>
          <w:b/>
          <w:bCs/>
        </w:rPr>
        <w:t xml:space="preserve">intervento</w:t>
      </w:r>
      <w:r>
        <w:t xml:space="preserve"> </w:t>
      </w:r>
      <w:r>
        <w:t xml:space="preserve">e di</w:t>
      </w:r>
      <w:r>
        <w:t xml:space="preserve"> </w:t>
      </w:r>
      <w:r>
        <w:rPr>
          <w:b/>
          <w:bCs/>
        </w:rPr>
        <w:t xml:space="preserve">popolazione</w:t>
      </w:r>
      <w:r>
        <w:t xml:space="preserve">.</w:t>
      </w:r>
    </w:p>
    <w:p>
      <w:pPr>
        <w:pStyle w:val="Compact"/>
        <w:numPr>
          <w:ilvl w:val="0"/>
          <w:numId w:val="1032"/>
        </w:numPr>
      </w:pPr>
      <w:r>
        <w:t xml:space="preserve">La strada a doppio senso fra testa e pancia (Koloski, 2012, PMID 22234979) — salto di</w:t>
      </w:r>
      <w:r>
        <w:t xml:space="preserve"> </w:t>
      </w:r>
      <w:r>
        <w:rPr>
          <w:b/>
          <w:bCs/>
        </w:rPr>
        <w:t xml:space="preserve">popolazione</w:t>
      </w:r>
      <w:r>
        <w:t xml:space="preserve"> </w:t>
      </w:r>
      <w:r>
        <w:t xml:space="preserve">sul sottogruppo dispepsia, dove il predittore era la depressione e non l’ansia.</w:t>
      </w:r>
    </w:p>
    <w:p>
      <w:pPr>
        <w:pStyle w:val="Compact"/>
        <w:numPr>
          <w:ilvl w:val="0"/>
          <w:numId w:val="1032"/>
        </w:numPr>
      </w:pPr>
      <w:r>
        <w:t xml:space="preserve">La stimolazione vagale auricolare transcutanea nella dispepsia funzionale (Shi, 2024, PMID 37787432; Lee, 2025, PMID 40967422) — salto di</w:t>
      </w:r>
      <w:r>
        <w:t xml:space="preserve"> </w:t>
      </w:r>
      <w:r>
        <w:rPr>
          <w:b/>
          <w:bCs/>
        </w:rPr>
        <w:t xml:space="preserve">intervento</w:t>
      </w:r>
      <w:r>
        <w:t xml:space="preserve">: popolazione giusta e meccanismo giusto, misurato con un elettrostimolatore applicato all’orecchio, non con le mani.</w:t>
      </w:r>
    </w:p>
    <w:p>
      <w:pPr>
        <w:pStyle w:val="Compact"/>
        <w:numPr>
          <w:ilvl w:val="0"/>
          <w:numId w:val="1032"/>
        </w:numPr>
      </w:pPr>
      <w:r>
        <w:t xml:space="preserve">Il massaggio addominale e il tempo di transito intestinale (Huang SY,</w:t>
      </w:r>
      <w:r>
        <w:t xml:space="preserve"> </w:t>
      </w:r>
      <w:r>
        <w:rPr>
          <w:i/>
          <w:iCs/>
        </w:rPr>
        <w:t xml:space="preserve">Int J Nurs Stud</w:t>
      </w:r>
      <w:r>
        <w:t xml:space="preserve"> </w:t>
      </w:r>
      <w:r>
        <w:t xml:space="preserve">2025, PMID 39531948) — su adulti con stipsi cronica, sul colon, con la defecazione come esito: salti di</w:t>
      </w:r>
      <w:r>
        <w:t xml:space="preserve"> </w:t>
      </w:r>
      <w:r>
        <w:rPr>
          <w:b/>
          <w:bCs/>
        </w:rPr>
        <w:t xml:space="preserve">organo</w:t>
      </w:r>
      <w:r>
        <w:t xml:space="preserve"> </w:t>
      </w:r>
      <w:r>
        <w:t xml:space="preserve">e di</w:t>
      </w:r>
      <w:r>
        <w:t xml:space="preserve"> </w:t>
      </w:r>
      <w:r>
        <w:rPr>
          <w:b/>
          <w:bCs/>
        </w:rPr>
        <w:t xml:space="preserve">condizione</w:t>
      </w:r>
      <w:r>
        <w:t xml:space="preserve">.</w:t>
      </w:r>
    </w:p>
    <w:p>
      <w:pPr>
        <w:pStyle w:val="FirstParagraph"/>
      </w:pPr>
      <w:r>
        <w:t xml:space="preserve">E tre fonti vanno nella direzione opposta a quella che il razionale osteopatico suppone. La prima sono gli effetti psicofisiologici del trattamento osteopatico. Lì la conduttanza cutanea</w:t>
      </w:r>
      <w:r>
        <w:t xml:space="preserve"> </w:t>
      </w:r>
      <w:r>
        <w:rPr>
          <w:b/>
          <w:bCs/>
        </w:rPr>
        <w:t xml:space="preserve">aumenta</w:t>
      </w:r>
      <w:r>
        <w:t xml:space="preserve"> </w:t>
      </w:r>
      <w:r>
        <w:t xml:space="preserve">invece di scendere, non c’è effetto su ansia e stress, e il solo risultato positivo è la riduzione della depressione (Gordon, 2025, PMID 39920074). La seconda è la mobilizzazione dorsale, dove nessun effetto sui marcatori autonomici è stato trovato (Hansen, 2025, PMID 40232939). La terza è la revisione dedicata all’</w:t>
      </w:r>
      <w:r>
        <w:rPr>
          <w:b/>
          <w:bCs/>
        </w:rPr>
        <w:t xml:space="preserve">osteopatia viscerale</w:t>
      </w:r>
      <w:r>
        <w:t xml:space="preserve">, che conclude che prove solide di affidabilità ed efficacia sono assenti (Guillaud,</w:t>
      </w:r>
      <w:r>
        <w:t xml:space="preserve"> </w:t>
      </w:r>
      <w:r>
        <w:rPr>
          <w:i/>
          <w:iCs/>
        </w:rPr>
        <w:t xml:space="preserve">PLoS One</w:t>
      </w:r>
      <w:r>
        <w:t xml:space="preserve"> </w:t>
      </w:r>
      <w:r>
        <w:t xml:space="preserve">2018, PMID 29452579).</w:t>
      </w:r>
    </w:p>
    <w:p>
      <w:pPr>
        <w:pStyle w:val="BodyText"/>
      </w:pPr>
      <w:r>
        <w:rPr>
          <w:b/>
          <w:bCs/>
        </w:rPr>
        <w:t xml:space="preserve">Cerchio 3 — la fisiologia.</w:t>
      </w:r>
      <w:r>
        <w:t xml:space="preserve"> </w:t>
      </w:r>
      <w:r>
        <w:t xml:space="preserve">Le quattro misure dirette nell’uomo sono le righe della tabella qui sopra. Si aggiungono la risposta della colecistochinina al lipide duodenale (van Boxel, 2014, PMID 24252886); l’anatomia funzionale delle afferenze vagali, con salto di</w:t>
      </w:r>
      <w:r>
        <w:t xml:space="preserve"> </w:t>
      </w:r>
      <w:r>
        <w:rPr>
          <w:b/>
          <w:bCs/>
        </w:rPr>
        <w:t xml:space="preserve">specie</w:t>
      </w:r>
      <w:r>
        <w:t xml:space="preserve"> </w:t>
      </w:r>
      <w:r>
        <w:t xml:space="preserve">(Berthoud, 2000, PMID 11189015); e l’esercizio acuto sullo svuotamento gastrico, su 20 studi e 221 partecipanti, dove l’effetto medio è</w:t>
      </w:r>
      <w:r>
        <w:t xml:space="preserve"> </w:t>
      </w:r>
      <w:r>
        <w:rPr>
          <w:b/>
          <w:bCs/>
        </w:rPr>
        <w:t xml:space="preserve">nullo</w:t>
      </w:r>
      <w:r>
        <w:t xml:space="preserve"> </w:t>
      </w:r>
      <w:r>
        <w:t xml:space="preserve">su tutte le variabili (Horner,</w:t>
      </w:r>
      <w:r>
        <w:t xml:space="preserve"> </w:t>
      </w:r>
      <w:r>
        <w:rPr>
          <w:i/>
          <w:iCs/>
        </w:rPr>
        <w:t xml:space="preserve">Sports Med</w:t>
      </w:r>
      <w:r>
        <w:t xml:space="preserve"> </w:t>
      </w:r>
      <w:r>
        <w:t xml:space="preserve">2015, PMID 25398225).</w:t>
      </w:r>
    </w:p>
    <w:bookmarkEnd w:id="67"/>
    <w:bookmarkStart w:id="68" w:name="cosa-possiamo-dire"/>
    <w:p>
      <w:pPr>
        <w:pStyle w:val="Heading3"/>
      </w:pPr>
      <w:r>
        <w:t xml:space="preserve">Cosa possiamo dire</w:t>
      </w:r>
    </w:p>
    <w:p>
      <w:pPr>
        <w:pStyle w:val="FirstParagraph"/>
      </w:pPr>
      <w:r>
        <w:t xml:space="preserve">Quattro cose, e sono quelle del cerchio 1 qui sopra. Che la distensione visibile è, in una parte dei pazienti, una manovra muscolare sbagliata. Che insegnare a correggerla riduce il sintomo più di un placebo, su pazienti con disturbi intestinali funzionali. Che il respiro lento ha migliorato capacità di assunzione e qualità di vita in dispeptici. E che le terapie psicologiche e la relazione terapeutica producono un effetto clinico misurabile.</w:t>
      </w:r>
    </w:p>
    <w:bookmarkEnd w:id="68"/>
    <w:bookmarkStart w:id="69" w:name="cosa-non-possiamo-dire"/>
    <w:p>
      <w:pPr>
        <w:pStyle w:val="Heading3"/>
      </w:pPr>
      <w:r>
        <w:t xml:space="preserve">Cosa non possiamo dire</w:t>
      </w:r>
    </w:p>
    <w:p>
      <w:pPr>
        <w:pStyle w:val="Compact"/>
        <w:numPr>
          <w:ilvl w:val="0"/>
          <w:numId w:val="1033"/>
        </w:numPr>
      </w:pPr>
      <w:r>
        <w:t xml:space="preserve">Che il trattamento manuale modifichi lo</w:t>
      </w:r>
      <w:r>
        <w:t xml:space="preserve"> </w:t>
      </w:r>
      <w:r>
        <w:rPr>
          <w:b/>
          <w:bCs/>
        </w:rPr>
        <w:t xml:space="preserve">svuotamento gastrico</w:t>
      </w:r>
      <w:r>
        <w:t xml:space="preserve"> </w:t>
      </w:r>
      <w:r>
        <w:t xml:space="preserve">o l’</w:t>
      </w:r>
      <w:r>
        <w:rPr>
          <w:b/>
          <w:bCs/>
        </w:rPr>
        <w:t xml:space="preserve">accomodazione gastrica</w:t>
      </w:r>
      <w:r>
        <w:t xml:space="preserve">: non sono mai stati misurati.</w:t>
      </w:r>
    </w:p>
    <w:p>
      <w:pPr>
        <w:pStyle w:val="Compact"/>
        <w:numPr>
          <w:ilvl w:val="0"/>
          <w:numId w:val="1033"/>
        </w:numPr>
      </w:pPr>
      <w:r>
        <w:t xml:space="preserve">Che</w:t>
      </w:r>
      <w:r>
        <w:t xml:space="preserve"> </w:t>
      </w:r>
      <w:r>
        <w:rPr>
          <w:b/>
          <w:bCs/>
        </w:rPr>
        <w:t xml:space="preserve">regoli il sistema nervoso autonomo</w:t>
      </w:r>
      <w:r>
        <w:t xml:space="preserve">. Dove è stato cercato non è stato trovato, e dove un cambiamento c’è va nella direzione dell’attivazione.</w:t>
      </w:r>
    </w:p>
    <w:p>
      <w:pPr>
        <w:pStyle w:val="Compact"/>
        <w:numPr>
          <w:ilvl w:val="0"/>
          <w:numId w:val="1033"/>
        </w:numPr>
      </w:pPr>
      <w:r>
        <w:t xml:space="preserve">Che le tecniche</w:t>
      </w:r>
      <w:r>
        <w:t xml:space="preserve"> </w:t>
      </w:r>
      <w:r>
        <w:rPr>
          <w:b/>
          <w:bCs/>
        </w:rPr>
        <w:t xml:space="preserve">viscerali</w:t>
      </w:r>
      <w:r>
        <w:t xml:space="preserve"> </w:t>
      </w:r>
      <w:r>
        <w:t xml:space="preserve">abbiano prove solide di affidabilità o di efficacia: la revisione dedicata dice il contrario (Guillaud, 2018, PMID 29452579).</w:t>
      </w:r>
    </w:p>
    <w:p>
      <w:pPr>
        <w:pStyle w:val="Compact"/>
        <w:numPr>
          <w:ilvl w:val="0"/>
          <w:numId w:val="1033"/>
        </w:numPr>
      </w:pPr>
      <w:r>
        <w:t xml:space="preserve">Che il lavoro manuale sull’addome agisca sul</w:t>
      </w:r>
      <w:r>
        <w:t xml:space="preserve"> </w:t>
      </w:r>
      <w:r>
        <w:rPr>
          <w:b/>
          <w:bCs/>
        </w:rPr>
        <w:t xml:space="preserve">drenaggio venoso o linfatico</w:t>
      </w:r>
      <w:r>
        <w:t xml:space="preserve">. Nessuna misura, prima o dopo.</w:t>
      </w:r>
    </w:p>
    <w:p>
      <w:pPr>
        <w:pStyle w:val="Compact"/>
        <w:numPr>
          <w:ilvl w:val="0"/>
          <w:numId w:val="1033"/>
        </w:numPr>
      </w:pPr>
      <w:r>
        <w:t xml:space="preserve">Che l’osteopatia migliori il</w:t>
      </w:r>
      <w:r>
        <w:t xml:space="preserve"> </w:t>
      </w:r>
      <w:r>
        <w:rPr>
          <w:b/>
          <w:bCs/>
        </w:rPr>
        <w:t xml:space="preserve">quadro complessivo</w:t>
      </w:r>
      <w:r>
        <w:t xml:space="preserve"> </w:t>
      </w:r>
      <w:r>
        <w:t xml:space="preserve">dell’intestino irritabile: la meta-analisi non lo trova.</w:t>
      </w:r>
    </w:p>
    <w:p>
      <w:pPr>
        <w:pStyle w:val="Compact"/>
        <w:numPr>
          <w:ilvl w:val="0"/>
          <w:numId w:val="1033"/>
        </w:numPr>
      </w:pPr>
      <w:r>
        <w:t xml:space="preserve">Che il trattamento agisca sulla</w:t>
      </w:r>
      <w:r>
        <w:t xml:space="preserve"> </w:t>
      </w:r>
      <w:r>
        <w:rPr>
          <w:b/>
          <w:bCs/>
        </w:rPr>
        <w:t xml:space="preserve">barriera duodenale</w:t>
      </w:r>
      <w:r>
        <w:t xml:space="preserve"> </w:t>
      </w:r>
      <w:r>
        <w:t xml:space="preserve">o sull’infiammazione di basso grado.</w:t>
      </w:r>
    </w:p>
    <w:p>
      <w:pPr>
        <w:pStyle w:val="Compact"/>
        <w:numPr>
          <w:ilvl w:val="0"/>
          <w:numId w:val="1033"/>
        </w:numPr>
      </w:pPr>
      <w:r>
        <w:t xml:space="preserve">Che «gli studi confermano» l’efficacia dell’osteopatia sulla dispepsia funzionale. Di studi di</w:t>
      </w:r>
      <w:r>
        <w:t xml:space="preserve"> </w:t>
      </w:r>
      <w:r>
        <w:rPr>
          <w:b/>
          <w:bCs/>
        </w:rPr>
        <w:t xml:space="preserve">osteopatia</w:t>
      </w:r>
      <w:r>
        <w:t xml:space="preserve"> </w:t>
      </w:r>
      <w:r>
        <w:t xml:space="preserve">su questa condizione non ce ne sono, e quelli di terapia manuale che esistono non hanno un simulato.</w:t>
      </w:r>
    </w:p>
    <w:p>
      <w:pPr>
        <w:pStyle w:val="Compact"/>
        <w:numPr>
          <w:ilvl w:val="0"/>
          <w:numId w:val="1033"/>
        </w:numPr>
      </w:pPr>
      <w:r>
        <w:t xml:space="preserve">Che il vantaggio del tuina sulla dispepsia sia attribuibile al</w:t>
      </w:r>
      <w:r>
        <w:t xml:space="preserve"> </w:t>
      </w:r>
      <w:r>
        <w:rPr>
          <w:b/>
          <w:bCs/>
        </w:rPr>
        <w:t xml:space="preserve">gesto</w:t>
      </w:r>
      <w:r>
        <w:t xml:space="preserve">: il confronto è con la terapia convenzionale, non con un simulato, e l’effetto non è separato dall’attenzione, dal tempo e dall’aspettativa che lo accompagnano.</w:t>
      </w:r>
    </w:p>
    <w:p>
      <w:pPr>
        <w:pStyle w:val="Compact"/>
        <w:numPr>
          <w:ilvl w:val="0"/>
          <w:numId w:val="1033"/>
        </w:numPr>
      </w:pPr>
      <w:r>
        <w:t xml:space="preserve">Che i risultati della</w:t>
      </w:r>
      <w:r>
        <w:t xml:space="preserve"> </w:t>
      </w:r>
      <w:r>
        <w:rPr>
          <w:b/>
          <w:bCs/>
        </w:rPr>
        <w:t xml:space="preserve">stimolazione vagale auricolare</w:t>
      </w:r>
      <w:r>
        <w:t xml:space="preserve"> </w:t>
      </w:r>
      <w:r>
        <w:t xml:space="preserve">valgano per le mani. Sono un altro strumento, e l’unica cosa che dimostrano di noi è che la strada che invochiamo esiste.</w:t>
      </w:r>
    </w:p>
    <w:p>
      <w:pPr>
        <w:pStyle w:val="Compact"/>
        <w:numPr>
          <w:ilvl w:val="0"/>
          <w:numId w:val="1033"/>
        </w:numPr>
      </w:pPr>
      <w:r>
        <w:t xml:space="preserve">Che il lavoro manuale sull’addome cambi il</w:t>
      </w:r>
      <w:r>
        <w:t xml:space="preserve"> </w:t>
      </w:r>
      <w:r>
        <w:rPr>
          <w:b/>
          <w:bCs/>
        </w:rPr>
        <w:t xml:space="preserve">transito colico di questi pazienti</w:t>
      </w:r>
      <w:r>
        <w:t xml:space="preserve">: è stato misurato nella stipsi cronica, non qui.</w:t>
      </w:r>
    </w:p>
    <w:bookmarkEnd w:id="69"/>
    <w:bookmarkStart w:id="70" w:name="quando-la-scienza-tace"/>
    <w:p>
      <w:pPr>
        <w:pStyle w:val="Heading3"/>
      </w:pPr>
      <w:r>
        <w:t xml:space="preserve">Quando la scienza tace</w:t>
      </w:r>
    </w:p>
    <w:p>
      <w:pPr>
        <w:pStyle w:val="FirstParagraph"/>
      </w:pPr>
      <w:r>
        <w:rPr>
          <w:b/>
          <w:bCs/>
        </w:rPr>
        <w:t xml:space="preserve">1. Assenza di prove non è prova di assenza.</w:t>
      </w:r>
      <w:r>
        <w:t xml:space="preserve"> </w:t>
      </w:r>
      <w:r>
        <w:t xml:space="preserve">Che nessuno abbia misurato lo svuotamento gastrico prima e dopo un trattamento manuale non dice niente sull’efficacia: dice che nessuno l’ha misurata. Sono due affermazioni diverse, e confonderle è un errore di logica.</w:t>
      </w:r>
    </w:p>
    <w:p>
      <w:pPr>
        <w:pStyle w:val="BodyText"/>
      </w:pPr>
      <w:r>
        <w:rPr>
          <w:b/>
          <w:bCs/>
        </w:rPr>
        <w:t xml:space="preserve">2. Perché quella letteratura non esiste — e qui l’assenza è più stretta di quello che si dice.</w:t>
      </w:r>
      <w:r>
        <w:t xml:space="preserve"> </w:t>
      </w:r>
      <w:r>
        <w:t xml:space="preserve">Nella forma corrente non è vera. Gli studi sono stati fatti, e una parte dei risultati è negativa. La meta-analisi sull’intestino irritabile non trova effetto sui sintomi globali. Le due revisioni sugli effetti autonomici non trovano quello che il razionale prevede. E la revisione dedicata alle tecniche viscerali conclude che le prove solide sono assenti.</w:t>
      </w:r>
      <w:r>
        <w:t xml:space="preserve"> </w:t>
      </w:r>
      <w:r>
        <w:rPr>
          <w:b/>
          <w:bCs/>
        </w:rPr>
        <w:t xml:space="preserve">E non è vero nemmeno che un pacchetto manuale non sia mai stato misurato qui:</w:t>
      </w:r>
      <w:r>
        <w:t xml:space="preserve"> </w:t>
      </w:r>
      <w:r>
        <w:t xml:space="preserve">quattordici studi randomizzati su 1.128 pazienti hanno confrontato il tuina con la terapia convenzionale e trovato un vantaggio piccolo, a certezza bassa (Dai, 2023, PMID 35976600).</w:t>
      </w:r>
    </w:p>
    <w:p>
      <w:pPr>
        <w:pStyle w:val="BodyText"/>
      </w:pPr>
      <w:r>
        <w:t xml:space="preserve">Quello che manca, allora, sono due cose sole. La misura del</w:t>
      </w:r>
      <w:r>
        <w:t xml:space="preserve"> </w:t>
      </w:r>
      <w:r>
        <w:rPr>
          <w:b/>
          <w:bCs/>
        </w:rPr>
        <w:t xml:space="preserve">nostro</w:t>
      </w:r>
      <w:r>
        <w:t xml:space="preserve"> </w:t>
      </w:r>
      <w:r>
        <w:t xml:space="preserve">pacchetto — l’osteopatia, con le tecniche di questa Bibbia — che nessuno ha fatto. E, in tutti quei quattordici studi,</w:t>
      </w:r>
      <w:r>
        <w:t xml:space="preserve"> </w:t>
      </w:r>
      <w:r>
        <w:rPr>
          <w:b/>
          <w:bCs/>
        </w:rPr>
        <w:t xml:space="preserve">il confronto con un simulato credibile</w:t>
      </w:r>
      <w:r>
        <w:t xml:space="preserve">: la sola cosa che separerebbe il gesto dall’attenzione, dal tempo e dall’aspettativa che lo accompagnano.</w:t>
      </w:r>
    </w:p>
    <w:p>
      <w:pPr>
        <w:pStyle w:val="BodyText"/>
      </w:pPr>
      <w:r>
        <w:t xml:space="preserve">Le ragioni per cui entrambe mancano sono tre. Non esiste un placebo credibile per il tocco addominale. Molti pazienti migliorano da soli e quasi metà migliora nel braccio placebo, e quella quota richiede campioni che nessuno finanzia. E gli esiti fisiopatologici richiedono strumenti che stanno in pochi centri in Europa. Qui non stai riempiendo un silenzio: stai lavorando accanto a una letteratura che su alcune cose ha già detto di no, e che su altre non ha mai messo un comparatore.</w:t>
      </w:r>
    </w:p>
    <w:p>
      <w:pPr>
        <w:pStyle w:val="BodyText"/>
      </w:pPr>
      <w:r>
        <w:rPr>
          <w:b/>
          <w:bCs/>
        </w:rPr>
        <w:t xml:space="preserve">3. Su cosa ti basi, allora.</w:t>
      </w:r>
      <w:r>
        <w:t xml:space="preserve"> </w:t>
      </w:r>
      <w:r>
        <w:t xml:space="preserve">Sul</w:t>
      </w:r>
      <w:r>
        <w:t xml:space="preserve"> </w:t>
      </w:r>
      <w:r>
        <w:rPr>
          <w:b/>
          <w:bCs/>
        </w:rPr>
        <w:t xml:space="preserve">meccanismo fisiologico</w:t>
      </w:r>
      <w:r>
        <w:t xml:space="preserve"> </w:t>
      </w:r>
      <w:r>
        <w:t xml:space="preserve">documentato — e qui lo è bene, con misura diretta nell’uomo su quattro meccanismi su cinque. Sul</w:t>
      </w:r>
      <w:r>
        <w:t xml:space="preserve"> </w:t>
      </w:r>
      <w:r>
        <w:rPr>
          <w:b/>
          <w:bCs/>
        </w:rPr>
        <w:t xml:space="preserve">ragionamento clinico</w:t>
      </w:r>
      <w:r>
        <w:t xml:space="preserve">, dichiarato come tale e con la sua etichetta. E sulla</w:t>
      </w:r>
      <w:r>
        <w:t xml:space="preserve"> </w:t>
      </w:r>
      <w:r>
        <w:rPr>
          <w:b/>
          <w:bCs/>
        </w:rPr>
        <w:t xml:space="preserve">verifica sul singolo paziente</w:t>
      </w:r>
      <w:r>
        <w:t xml:space="preserve">: un marker scelto</w:t>
      </w:r>
      <w:r>
        <w:t xml:space="preserve"> </w:t>
      </w:r>
      <w:r>
        <w:rPr>
          <w:b/>
          <w:bCs/>
        </w:rPr>
        <w:t xml:space="preserve">prima</w:t>
      </w:r>
      <w:r>
        <w:t xml:space="preserve"> </w:t>
      </w:r>
      <w:r>
        <w:t xml:space="preserve">di trattare, con la soglia scritta prima.</w:t>
      </w:r>
    </w:p>
    <w:p>
      <w:pPr>
        <w:pStyle w:val="BodyText"/>
      </w:pPr>
      <w:r>
        <w:rPr>
          <w:b/>
          <w:bCs/>
        </w:rPr>
        <w:t xml:space="preserve">4. Cosa separa tutto questo dal pensiero magico.</w:t>
      </w:r>
      <w:r>
        <w:t xml:space="preserve"> </w:t>
      </w:r>
      <w:r>
        <w:t xml:space="preserve">La verifica. Scegliere il marker prima e accettarne il verdetto è scienza applicata a un caso singolo; sceglierlo dopo aver visto il paziente migliorare, no. Qui quella distinzione è l’unica cosa che ti separa dal cassetto degli integratori.</w:t>
      </w:r>
    </w:p>
    <w:p>
      <w:pPr>
        <w:pStyle w:val="BodyText"/>
      </w:pPr>
      <w:r>
        <w:rPr>
          <w:b/>
          <w:bCs/>
        </w:rPr>
        <w:t xml:space="preserve">5. Cosa questo non autorizza.</w:t>
      </w:r>
      <w:r>
        <w:t xml:space="preserve"> </w:t>
      </w:r>
      <w:r>
        <w:t xml:space="preserve">Non a promettere un esito. Non a scrivere DIMOSTRATO dove c’è IPOTESI. Non a dire al paziente che «gli studi lo confermano».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34"/>
        </w:numPr>
      </w:pPr>
      <w:r>
        <w:t xml:space="preserve">Su questa condizione il cerchio 1 non è vuoto: cinque studi e 266 pazienti sulle terapie fisiche, quattordici studi randomizzati e 1.128 pazienti di tuina senza simulato, due studi controllati con placebo sulla distensione e una meta-analisi sulle terapie psicologiche. Se sai i numeri, reggi una conversazione con uno specialista.</w:t>
      </w:r>
    </w:p>
    <w:p>
      <w:pPr>
        <w:pStyle w:val="Compact"/>
        <w:numPr>
          <w:ilvl w:val="0"/>
          <w:numId w:val="1034"/>
        </w:numPr>
      </w:pPr>
      <w:r>
        <w:t xml:space="preserve">Tre fonti importanti vanno nella direzione opposta al nostro razionale, e stanno in questa Bibbia. Citarle tu, prima che le citi qualcun altro, è quello che rende credibile il resto.</w:t>
      </w:r>
    </w:p>
    <w:p>
      <w:pPr>
        <w:pStyle w:val="Compact"/>
        <w:numPr>
          <w:ilvl w:val="0"/>
          <w:numId w:val="1034"/>
        </w:numPr>
      </w:pPr>
      <w:r>
        <w:t xml:space="preserve">L’assenza qui non è generale: è di due tipi, e sono entrambi più stretti. Non dire «nessuno ha studiato». Di’ «hanno studiato, su una parte hanno detto di no, e dove hanno detto di sì non c’era un simulato».</w:t>
      </w:r>
    </w:p>
    <w:p>
      <w:pPr>
        <w:pStyle w:val="Compact"/>
        <w:numPr>
          <w:ilvl w:val="0"/>
          <w:numId w:val="1034"/>
        </w:numPr>
      </w:pPr>
      <w:r>
        <w:rPr>
          <w:b/>
          <w:bCs/>
        </w:rPr>
        <w:t xml:space="preserve">Perché ci sei tu.</w:t>
      </w:r>
      <w:r>
        <w:t xml:space="preserve"> </w:t>
      </w:r>
      <w:r>
        <w:t xml:space="preserve">Nello studio sul respiro lento capacità di assunzione e qualità di vita sono migliorate, ma</w:t>
      </w:r>
      <w:r>
        <w:t xml:space="preserve"> </w:t>
      </w:r>
      <w:r>
        <w:rPr>
          <w:b/>
          <w:bCs/>
        </w:rPr>
        <w:t xml:space="preserve">il tono vagale basale non è cambiato</w:t>
      </w:r>
      <w:r>
        <w:t xml:space="preserve"> </w:t>
      </w:r>
      <w:r>
        <w:t xml:space="preserve">(Hjelland, 2007, PMID 17710670).</w:t>
      </w:r>
      <w:r>
        <w:t xml:space="preserve"> </w:t>
      </w:r>
      <w:r>
        <w:rPr>
          <w:b/>
          <w:bCs/>
        </w:rPr>
        <w:t xml:space="preserve">Per te:</w:t>
      </w:r>
      <w:r>
        <w:t xml:space="preserve"> </w:t>
      </w:r>
      <w:r>
        <w:t xml:space="preserve">lo strumento ha funzionato, e il meccanismo con cui gli autori pensavano che funzionasse non si è mosso. Questo ti autorizza a insegnare lo strumento. Non ti autorizza a spiegarlo al paziente con il meccanismo che quello stesso studio non ha trovato.</w:t>
      </w:r>
    </w:p>
    <w:p>
      <w:r>
        <w:pict>
          <v:rect style="width:0;height:1.5pt" o:hralign="center" o:hrstd="t" o:hr="t"/>
        </w:pict>
      </w:r>
    </w:p>
    <w:bookmarkEnd w:id="70"/>
    <w:bookmarkEnd w:id="71"/>
    <w:bookmarkStart w:id="78"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cinque meccanismi le mani hanno un bersaglio vero su uno, un bersaglio plausibile su due, e nessun bersaglio sugli altri due — e dirlo in quest’ordine è quello che rende usabile il primo.</w:t>
      </w:r>
    </w:p>
    <w:p>
      <w:pPr>
        <w:pStyle w:val="FirstParagraph"/>
      </w:pPr>
      <w:r>
        <w:rPr>
          <w:b/>
          <w:bCs/>
        </w:rPr>
        <w:t xml:space="preserve">Cosa non possono fare le mani, detto per primo.</w:t>
      </w:r>
      <w:r>
        <w:t xml:space="preserve"> </w:t>
      </w:r>
      <w:r>
        <w:t xml:space="preserve">Non possono accelerare lo svuotamento gastrico né ripristinare l’accomodazione del fondo: nessuno l’ha misurato, e il secondo difetto è di efferenza vagale. Non possono riparare la barriera duodenale né spegnere l’infiammazione di basso grado. E non possono, sulla base di quello che è stato misurato, essere presentate come un regolatore del sistema nervoso autonomo.</w:t>
      </w:r>
    </w:p>
    <w:p>
      <w:pPr>
        <w:pStyle w:val="BodyText"/>
      </w:pPr>
      <w:r>
        <w:t xml:space="preserve">Ecco cosa possono.</w:t>
      </w:r>
    </w:p>
    <w:bookmarkStart w:id="72" w:name="Xf36c8ba89b500c909399e50fc6dad7102268641"/>
    <w:p>
      <w:pPr>
        <w:pStyle w:val="Heading3"/>
      </w:pPr>
      <w:r>
        <w:t xml:space="preserve">Sul primo meccanismo — la manovra sbagliata della parete</w:t>
      </w:r>
    </w:p>
    <w:p>
      <w:pPr>
        <w:pStyle w:val="FirstParagraph"/>
      </w:pPr>
      <w:r>
        <w:rPr>
          <w:b/>
          <w:bCs/>
        </w:rPr>
        <w:t xml:space="preserve">Su cosa può agire una mano.</w:t>
      </w:r>
      <w:r>
        <w:t xml:space="preserve"> </w:t>
      </w:r>
      <w:r>
        <w:t xml:space="preserve">Sulla coordinazione fra diaframma, intercostali e parete anteriore. Non sul contenuto, ma sulla forma che il contenitore prende quando il contenuto aumenta.</w:t>
      </w:r>
    </w:p>
    <w:p>
      <w:pPr>
        <w:pStyle w:val="BodyText"/>
      </w:pPr>
      <w:r>
        <w:rPr>
          <w:b/>
          <w:bCs/>
        </w:rPr>
        <w:t xml:space="preserve">Che effetto ci si aspetta.</w:t>
      </w:r>
      <w:r>
        <w:t xml:space="preserve"> </w:t>
      </w:r>
      <w:r>
        <w:t xml:space="preserve">Meno discesa del diaframma, meno attività intercostale, più attivazione degli obliqui. E quindi la riduzione della circonferenza a parità di contenuto.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Negli studi la correzione è ottenuta</w:t>
      </w:r>
      <w:r>
        <w:t xml:space="preserve"> </w:t>
      </w:r>
      <w:r>
        <w:rPr>
          <w:b/>
          <w:bCs/>
        </w:rPr>
        <w:t xml:space="preserve">insegnando al paziente</w:t>
      </w:r>
      <w:r>
        <w:t xml:space="preserve">, con un segnale strumentale che gli mostra cosa sta facendo (Barba, 2017, PMID 28705783; Barba, 2024, PMID 38467383). Che il</w:t>
      </w:r>
      <w:r>
        <w:t xml:space="preserve"> </w:t>
      </w:r>
      <w:r>
        <w:rPr>
          <w:b/>
          <w:bCs/>
        </w:rPr>
        <w:t xml:space="preserve">contatto manuale</w:t>
      </w:r>
      <w:r>
        <w:t xml:space="preserve"> </w:t>
      </w:r>
      <w:r>
        <w:t xml:space="preserve">produca lo stesso riorientamento senza quel segnale non è stato misurato: le prove parziali che esistono riguardano un altro intervento, ed è quello che «Cosa può fare il paziente da solo» etichetta DIMOSTRATO. L’apprendimento della manovra è la leva forte di questa condizione; la mano che la accompagna non lo è ancora.</w:t>
      </w:r>
    </w:p>
    <w:p>
      <w:pPr>
        <w:pStyle w:val="FirstParagraph"/>
      </w:pPr>
      <w:r>
        <w:rPr>
          <w:b/>
          <w:bCs/>
        </w:rPr>
        <w:t xml:space="preserve">In quanto tempo si vedrebbe.</w:t>
      </w:r>
      <w:r>
        <w:t xml:space="preserve"> </w:t>
      </w:r>
      <w:r>
        <w:t xml:space="preserve">Dentro la sessione guidata il paziente</w:t>
      </w:r>
      <w:r>
        <w:t xml:space="preserve"> </w:t>
      </w:r>
      <w:r>
        <w:rPr>
          <w:b/>
          <w:bCs/>
        </w:rPr>
        <w:t xml:space="preserve">esegue</w:t>
      </w:r>
      <w:r>
        <w:t xml:space="preserve"> </w:t>
      </w:r>
      <w:r>
        <w:t xml:space="preserve">la manovra corretta e la circonferenza scende subito: è prestazione sotto segnale, non effetto di stato. È la differenza fra guidare con l’istruttore accanto e guidare da soli. Quello che richiede ripetizione è la</w:t>
      </w:r>
      <w:r>
        <w:t xml:space="preserve"> </w:t>
      </w:r>
      <w:r>
        <w:rPr>
          <w:b/>
          <w:bCs/>
        </w:rPr>
        <w:t xml:space="preserve">ritenzione</w:t>
      </w:r>
      <w:r>
        <w:t xml:space="preserve"> </w:t>
      </w:r>
      <w:r>
        <w:t xml:space="preserve">senza segnale e il</w:t>
      </w:r>
      <w:r>
        <w:t xml:space="preserve"> </w:t>
      </w:r>
      <w:r>
        <w:rPr>
          <w:b/>
          <w:bCs/>
        </w:rPr>
        <w:t xml:space="preserve">trasferimento</w:t>
      </w:r>
      <w:r>
        <w:t xml:space="preserve"> </w:t>
      </w:r>
      <w:r>
        <w:t xml:space="preserve">al pasto vero, che negli studi si costruisce in tre sessioni.</w:t>
      </w:r>
    </w:p>
    <w:bookmarkEnd w:id="72"/>
    <w:bookmarkStart w:id="73" w:name="Xa6dcfadbf0264562952f208b4f774204c5299dd"/>
    <w:p>
      <w:pPr>
        <w:pStyle w:val="Heading3"/>
      </w:pPr>
      <w:r>
        <w:t xml:space="preserve">Sul secondo meccanismo — il serbatoio che non si allarga</w:t>
      </w:r>
    </w:p>
    <w:p>
      <w:pPr>
        <w:pStyle w:val="FirstParagraph"/>
      </w:pPr>
      <w:r>
        <w:rPr>
          <w:b/>
          <w:bCs/>
        </w:rPr>
        <w:t xml:space="preserve">Su cosa può agire una mano.</w:t>
      </w:r>
      <w:r>
        <w:t xml:space="preserve"> </w:t>
      </w:r>
      <w:r>
        <w:t xml:space="preserve">Non sulla resistenza allo spazio: quello che manca qui è un’efferenza, non uno spazio. L’unico anello aggredibile è l’ingresso — il segnale afferente e il contesto in cui il pasto arriva — e su quello non esiste una via manuale formulata in modo testabile.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L’accomodazione gastrica è stata misurata solo con il barostato, e nessuno ha mai messo un barostato prima e dopo un trattamento manuale.</w:t>
      </w:r>
    </w:p>
    <w:p>
      <w:pPr>
        <w:pStyle w:val="FirstParagraph"/>
      </w:pPr>
      <w:r>
        <w:rPr>
          <w:b/>
          <w:bCs/>
        </w:rPr>
        <w:t xml:space="preserve">In quanto tempo si vedrebbe.</w:t>
      </w:r>
      <w:r>
        <w:t xml:space="preserve"> </w:t>
      </w:r>
      <w:r>
        <w:t xml:space="preserve">Un riflesso si sposta in secondi. Se l’effetto ci fosse, si vedrebbe sul volume bevuto prima della pienezza dentro la stessa seduta. È il motivo per cui quel marker esiste: rende falsificabile un’ipotesi.</w:t>
      </w:r>
    </w:p>
    <w:p>
      <w:pPr>
        <w:pStyle w:val="BodyText"/>
      </w:pPr>
      <w:r>
        <w:rPr>
          <w:b/>
          <w:bCs/>
        </w:rPr>
        <w:t xml:space="preserve">Sotto la cupola diaframmatica sinistra.</w:t>
      </w:r>
      <w:r>
        <w:t xml:space="preserve"> </w:t>
      </w:r>
      <w:r>
        <w:t xml:space="preserve">Se il bersaglio è quel quadrante, sappi cosa c’è sotto: la milza, che si lesiona con traumi minimi quando è ingrandita, e le ultime coste, flottanti. La scelta di forza e di appoggio lì è materia della Procedura, non un dettaglio di esecuzione.</w:t>
      </w:r>
    </w:p>
    <w:bookmarkEnd w:id="73"/>
    <w:bookmarkStart w:id="74" w:name="sul-terzo-meccanismo-lo-scarico-lento"/>
    <w:p>
      <w:pPr>
        <w:pStyle w:val="Heading3"/>
      </w:pPr>
      <w:r>
        <w:t xml:space="preserve">Sul terzo meccanismo — lo scarico lento</w:t>
      </w:r>
    </w:p>
    <w:p>
      <w:pPr>
        <w:pStyle w:val="FirstParagraph"/>
      </w:pPr>
      <w:r>
        <w:rPr>
          <w:b/>
          <w:bCs/>
        </w:rPr>
        <w:t xml:space="preserve">Su cosa può agire una mano.</w:t>
      </w:r>
      <w:r>
        <w:t xml:space="preserve"> </w:t>
      </w:r>
      <w:r>
        <w:t xml:space="preserve">Su niente di dimostrato in questa condizione. E su una catena i cui anelli a monte sono misurati. Il colon lento rallenta lo stomaco (Boccia, 2008, PMID 18378497; Abdelnaem, 2025, PMID 40851353). E il massaggio addominale accorcia il tempo di transito intestinale di circa ventuno ore e mezza: differenza media −21,53 ore, intervallo −35,94/−7,12, su 23 studi e 1.431 partecipanti con stipsi cronica (Huang SY,</w:t>
      </w:r>
      <w:r>
        <w:t xml:space="preserve"> </w:t>
      </w:r>
      <w:r>
        <w:rPr>
          <w:i/>
          <w:iCs/>
        </w:rPr>
        <w:t xml:space="preserve">Int J Nurs Stud</w:t>
      </w:r>
      <w:r>
        <w:t xml:space="preserve"> </w:t>
      </w:r>
      <w:r>
        <w:t xml:space="preserve">2025, PMID 39531948). Il terzo anello non è mai stato misurato: che accorciare quel transito con le mani cambi lo svuotamento gastrico o il sintomo dispeptico. E nello stesso lavoro</w:t>
      </w:r>
      <w:r>
        <w:t xml:space="preserve"> </w:t>
      </w:r>
      <w:r>
        <w:rPr>
          <w:b/>
          <w:bCs/>
        </w:rPr>
        <w:t xml:space="preserve">l’uso di lassativi non è sceso</w:t>
      </w:r>
      <w:r>
        <w:t xml:space="preserve"> </w:t>
      </w:r>
      <w:r>
        <w:t xml:space="preserve">(rapporto di probabilità 0,43, intervallo 0,14-1,34, p=0,15): il sintomo si muove, il consumo di farmaco no.</w:t>
      </w:r>
    </w:p>
    <w:p>
      <w:pPr>
        <w:pStyle w:val="BodyText"/>
      </w:pPr>
      <w:r>
        <w:t xml:space="preserve">Il resto riguarda il contorno: la parete e il respiro, per la componente di distensione che si somma alla pesantezza. È il lavoro che «Non è una condizione sola» promette al sottotipo «pesantezza postprandiale».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le mani sull’addome accorcino il tempo di transito intestinale —</w:t>
      </w:r>
      <w:r>
        <w:t xml:space="preserve"> </w:t>
      </w:r>
      <w:r>
        <w:rPr>
          <w:b/>
          <w:bCs/>
        </w:rPr>
        <w:t xml:space="preserve">misurato su adulti con stipsi cronica, sul colon e con la defecazione come esito: non su pazienti con dispepsia, non sullo stomaco, e in studi in larga parte non in cieco, con eterogeneità del 65-82%.</w:t>
      </w:r>
      <w:r>
        <w:t xml:space="preserve"> </w:t>
      </w:r>
      <w:r>
        <w:rPr>
          <w:b/>
          <w:bCs/>
        </w:rPr>
        <w:t xml:space="preserve">IPOTESI</w:t>
      </w:r>
      <w:r>
        <w:t xml:space="preserve"> </w:t>
      </w:r>
      <w:r>
        <w:rPr>
          <w:i/>
          <w:iCs/>
        </w:rPr>
        <w:t xml:space="preserve">(meccanismo coerente, nessuno studio)</w:t>
      </w:r>
      <w:r>
        <w:t xml:space="preserve"> </w:t>
      </w:r>
      <w:r>
        <w:t xml:space="preserve">che quell’accorciamento cambi lo svuotamento gastrico o il sintomo dispeptico: nessuna misura prima e dopo trattamento manuale.</w:t>
      </w:r>
    </w:p>
    <w:p>
      <w:pPr>
        <w:pStyle w:val="FirstParagraph"/>
      </w:pPr>
      <w:r>
        <w:rPr>
          <w:b/>
          <w:bCs/>
        </w:rPr>
        <w:t xml:space="preserve">In quanto tempo si vedrebbe.</w:t>
      </w:r>
      <w:r>
        <w:t xml:space="preserve"> </w:t>
      </w:r>
      <w:r>
        <w:t xml:space="preserve">Sullo svuotamento, non si vedrebbe: non hai lo strumento. Su questo sottotipo il ciclo si giustifica solo se un marker del contorno si muove — con la differenza che la catena adesso è un’ipotesi falsificabile, non un vicolo cieco.</w:t>
      </w:r>
    </w:p>
    <w:bookmarkEnd w:id="74"/>
    <w:bookmarkStart w:id="75" w:name="Xf1cbe832bfc9c9a0082a382c11814022000517e"/>
    <w:p>
      <w:pPr>
        <w:pStyle w:val="Heading3"/>
      </w:pPr>
      <w:r>
        <w:t xml:space="preserve">Sul quarto meccanismo — la soglia che si abbassa</w:t>
      </w:r>
    </w:p>
    <w:p>
      <w:pPr>
        <w:pStyle w:val="FirstParagraph"/>
      </w:pPr>
      <w:r>
        <w:t xml:space="preserve">Questo è il paziente su cui hai più da fare che nei sottotipi in cui puoi poco. Fa eccezione il dolore epigastrico, che viaggia sulla via spinale e resta fra quelli su cui puoi poco. Ed è anche il paziente su cui l’onestà costa di più.</w:t>
      </w:r>
    </w:p>
    <w:p>
      <w:pPr>
        <w:pStyle w:val="BodyText"/>
      </w:pPr>
      <w:r>
        <w:rPr>
          <w:b/>
          <w:bCs/>
        </w:rPr>
        <w:t xml:space="preserve">Su cosa può agire una mano.</w:t>
      </w:r>
      <w:r>
        <w:t xml:space="preserve"> </w:t>
      </w:r>
      <w:r>
        <w:t xml:space="preserve">Sul livello di attivazione, attraverso il contatto lento, il ritmo del respiro e il tempo dedicato.</w:t>
      </w:r>
      <w:r>
        <w:t xml:space="preserve"> </w:t>
      </w:r>
      <w:r>
        <w:rPr>
          <w:b/>
          <w:bCs/>
        </w:rPr>
        <w:t xml:space="preserve">Lavorare sull’attivazione è lavoro manuale a tutti gli effetti</w:t>
      </w:r>
      <w:r>
        <w:t xml:space="preserve">, mirato altrove rispetto al sintomo.</w:t>
      </w:r>
    </w:p>
    <w:p>
      <w:pPr>
        <w:pStyle w:val="BodyText"/>
      </w:pPr>
      <w:r>
        <w:rPr>
          <w:b/>
          <w:bCs/>
        </w:rPr>
        <w:t xml:space="preserve">Che effetto ci si aspetta.</w:t>
      </w:r>
      <w:r>
        <w:t xml:space="preserve"> </w:t>
      </w:r>
      <w:r>
        <w:t xml:space="preserve">Il punteggio del sintomo che scende</w:t>
      </w:r>
      <w:r>
        <w:t xml:space="preserve"> </w:t>
      </w:r>
      <w:r>
        <w:rPr>
          <w:b/>
          <w:bCs/>
        </w:rPr>
        <w:t xml:space="preserve">a parità di quello che il paziente mangia</w:t>
      </w:r>
      <w:r>
        <w:t xml:space="preserve">, non un cambiamento nel numero degli eventi digestivi.</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 entrambi i pezzi. Sullo spostamento della sensibilità viscerale: un solo crossover monocentrico su 31 pazienti, operatore non in cieco (Attali, 2013, PMID 23981319) — salto di</w:t>
      </w:r>
      <w:r>
        <w:t xml:space="preserve"> </w:t>
      </w:r>
      <w:r>
        <w:rPr>
          <w:b/>
          <w:bCs/>
        </w:rPr>
        <w:t xml:space="preserve">popolazione e di sede</w:t>
      </w:r>
      <w:r>
        <w:t xml:space="preserve"> </w:t>
      </w:r>
      <w:r>
        <w:t xml:space="preserve">— e la revisione dedicata alle tecniche viscerali conclude che prove solide di efficacia sono assenti (Guillaud, 2018, PMID 29452579). Sulla regolazione autonomica: nessun effetto su ansia e stress e conduttanza cutanea aumentata, con la riduzione della depressione come unico risultato positivo (Gordon, 2025, PMID 39920074).</w:t>
      </w:r>
    </w:p>
    <w:p>
      <w:pPr>
        <w:pStyle w:val="FirstParagraph"/>
      </w:pPr>
      <w:r>
        <w:rPr>
          <w:b/>
          <w:bCs/>
        </w:rPr>
        <w:t xml:space="preserve">In quanto tempo si vedrebbe.</w:t>
      </w:r>
      <w:r>
        <w:t xml:space="preserve"> </w:t>
      </w:r>
      <w:r>
        <w:t xml:space="preserve">Due tempi diversi, e confonderli è l’errore più comune. L’effetto di</w:t>
      </w:r>
      <w:r>
        <w:t xml:space="preserve"> </w:t>
      </w:r>
      <w:r>
        <w:rPr>
          <w:b/>
          <w:bCs/>
        </w:rPr>
        <w:t xml:space="preserve">stato</w:t>
      </w:r>
      <w:r>
        <w:t xml:space="preserve"> </w:t>
      </w:r>
      <w:r>
        <w:t xml:space="preserve">— il paziente che si scarica sul lettino, il respiro che si allunga — arriva dentro la seduta e non dura. Lo spostamento della</w:t>
      </w:r>
      <w:r>
        <w:t xml:space="preserve"> </w:t>
      </w:r>
      <w:r>
        <w:rPr>
          <w:b/>
          <w:bCs/>
        </w:rPr>
        <w:t xml:space="preserve">soglia</w:t>
      </w:r>
      <w:r>
        <w:t xml:space="preserve"> </w:t>
      </w:r>
      <w:r>
        <w:t xml:space="preserve">si misura in settimane e appartiene alla ripetizione. Attribuire alla singola tecnica un guadagno che appartiene alla ripetizione porta a concludere che qui non funziona niente.</w:t>
      </w:r>
    </w:p>
    <w:bookmarkEnd w:id="75"/>
    <w:bookmarkStart w:id="76" w:name="Xa6ea74f97b2e3e4e95363386f6cd6a7946ef0ed"/>
    <w:p>
      <w:pPr>
        <w:pStyle w:val="Heading3"/>
      </w:pPr>
      <w:r>
        <w:t xml:space="preserve">Sul quinto meccanismo — la barriera duodenale</w:t>
      </w:r>
    </w:p>
    <w:p>
      <w:pPr>
        <w:pStyle w:val="FirstParagraph"/>
      </w:pPr>
      <w:r>
        <w:rPr>
          <w:b/>
          <w:bCs/>
        </w:rPr>
        <w:t xml:space="preserve">Su cosa può agire una mano.</w:t>
      </w:r>
      <w:r>
        <w:t xml:space="preserve"> </w:t>
      </w:r>
      <w:r>
        <w:t xml:space="preserve">Su niente. Si riconosce dalla storia, si nomina nella comunicazione al curante, e si lascia lì — mentre si lavora sugli altri meccanismi che quello stesso paziente porta con sé.</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e nessuno l’ha nemmeno formulata in forma testabile per le mani.</w:t>
      </w:r>
    </w:p>
    <w:bookmarkEnd w:id="76"/>
    <w:bookmarkStart w:id="77" w:name="X313a9305afc17cefd332a43187892ca69ddea55"/>
    <w:p>
      <w:pPr>
        <w:pStyle w:val="Heading3"/>
      </w:pPr>
      <w:r>
        <w:t xml:space="preserve">Cosa fa l’osteopata che il resto del percorso non fa</w:t>
      </w:r>
    </w:p>
    <w:p>
      <w:pPr>
        <w:pStyle w:val="FirstParagraph"/>
      </w:pPr>
      <w:r>
        <w:t xml:space="preserve">Tre punti, e riguardano meccanismi, non persone.</w:t>
      </w:r>
    </w:p>
    <w:p>
      <w:pPr>
        <w:pStyle w:val="Compact"/>
        <w:numPr>
          <w:ilvl w:val="0"/>
          <w:numId w:val="1035"/>
        </w:numPr>
      </w:pPr>
      <w:r>
        <w:rPr>
          <w:b/>
          <w:bCs/>
        </w:rPr>
        <w:t xml:space="preserve">Guarda il contenitore.</w:t>
      </w:r>
      <w:r>
        <w:t xml:space="preserve"> </w:t>
      </w:r>
      <w:r>
        <w:t xml:space="preserve">Il percorso medico misura il contenuto: acidità, motilità, mucosa, batteri. Nessuno di quegli esami guarda cosa fanno diaframma e parete durante un episodio, e in una parte dei pazienti il meccanismo sta lì.</w:t>
      </w:r>
    </w:p>
    <w:p>
      <w:pPr>
        <w:pStyle w:val="Compact"/>
        <w:numPr>
          <w:ilvl w:val="0"/>
          <w:numId w:val="1035"/>
        </w:numPr>
      </w:pPr>
      <w:r>
        <w:rPr>
          <w:b/>
          <w:bCs/>
        </w:rPr>
        <w:t xml:space="preserve">Separa il gonfiore percepito dalla distensione misurata.</w:t>
      </w:r>
      <w:r>
        <w:t xml:space="preserve"> </w:t>
      </w:r>
      <w:r>
        <w:t xml:space="preserve">I criteri internazionali fanno questa distinzione e quasi nessuno la applica, perché richiede un metro e novanta minuti di attesa.</w:t>
      </w:r>
    </w:p>
    <w:p>
      <w:pPr>
        <w:pStyle w:val="Compact"/>
        <w:numPr>
          <w:ilvl w:val="0"/>
          <w:numId w:val="1035"/>
        </w:numPr>
      </w:pPr>
      <w:r>
        <w:rPr>
          <w:b/>
          <w:bCs/>
        </w:rPr>
        <w:t xml:space="preserve">Insegna una manovra invece di somministrarla.</w:t>
      </w:r>
      <w:r>
        <w:t xml:space="preserve"> </w:t>
      </w:r>
      <w:r>
        <w:t xml:space="preserve">La leva con le prove migliori è un apprendimento motorio, e l’apprendimento motorio è mestiere nostro più che di chiunque altro nel percorso del paziente.</w:t>
      </w:r>
    </w:p>
    <w:p>
      <w:pPr>
        <w:pStyle w:val="FirstParagraph"/>
      </w:pPr>
      <w:r>
        <w:t xml:space="preserve">Il come si fa sta nella Procedura dei Problemi digestivi.</w:t>
      </w:r>
    </w:p>
    <w:p>
      <w:pPr>
        <w:pStyle w:val="BodyText"/>
      </w:pPr>
      <w:r>
        <w:rPr>
          <w:b/>
          <w:bCs/>
        </w:rPr>
        <w:t xml:space="preserve">Le tre cose da ricordare, più una</w:t>
      </w:r>
    </w:p>
    <w:p>
      <w:pPr>
        <w:pStyle w:val="Compact"/>
        <w:numPr>
          <w:ilvl w:val="0"/>
          <w:numId w:val="1036"/>
        </w:numPr>
      </w:pPr>
      <w:r>
        <w:t xml:space="preserve">Su cinque meccanismi, due non hanno un bersaglio manuale. Dirlo al paziente alla prima seduta è quello che rende credibile quello che dici sugli altri tre.</w:t>
      </w:r>
    </w:p>
    <w:p>
      <w:pPr>
        <w:pStyle w:val="Compact"/>
        <w:numPr>
          <w:ilvl w:val="0"/>
          <w:numId w:val="1036"/>
        </w:numPr>
      </w:pPr>
      <w:r>
        <w:t xml:space="preserve">La leva forte di questa condizione è l’apprendimento della manovra, non il contatto che l’accompagna. Le due cose portano etichette diverse e non si scambiano.</w:t>
      </w:r>
    </w:p>
    <w:p>
      <w:pPr>
        <w:pStyle w:val="Compact"/>
        <w:numPr>
          <w:ilvl w:val="0"/>
          <w:numId w:val="1036"/>
        </w:numPr>
      </w:pPr>
      <w:r>
        <w:t xml:space="preserve">Effetto di stato dentro la seduta e spostamento di soglia in settimane sono due cose diverse. Non promettere il secondo mostrando il primo.</w:t>
      </w:r>
    </w:p>
    <w:p>
      <w:pPr>
        <w:pStyle w:val="Compact"/>
        <w:numPr>
          <w:ilvl w:val="0"/>
          <w:numId w:val="1036"/>
        </w:numPr>
      </w:pPr>
      <w:r>
        <w:rPr>
          <w:b/>
          <w:bCs/>
        </w:rPr>
        <w:t xml:space="preserve">Perché ci sei tu.</w:t>
      </w:r>
      <w:r>
        <w:t xml:space="preserve"> </w:t>
      </w:r>
      <w:r>
        <w:t xml:space="preserve">La revisione dedicata alla mobilizzazione e manipolazione dorsale non trova nessun effetto sui marcatori del sistema nervoso autonomo (Hansen, 2025, PMID 40232939).</w:t>
      </w:r>
      <w:r>
        <w:t xml:space="preserve"> </w:t>
      </w:r>
      <w:r>
        <w:rPr>
          <w:b/>
          <w:bCs/>
        </w:rPr>
        <w:t xml:space="preserve">Per te:</w:t>
      </w:r>
      <w:r>
        <w:t xml:space="preserve"> </w:t>
      </w:r>
      <w:r>
        <w:t xml:space="preserve">il meccanismo con cui spieghi abitualmente il tuo effetto calmante non è stato trovato dove è stato cercato. Questo ti autorizza a usare il contatto lento come parte del contesto terapeutico e a dichiararlo come tale. Non ti autorizza a dire al paziente che gli stai «riequilibrando il sistema nervoso».</w:t>
      </w:r>
    </w:p>
    <w:p>
      <w:r>
        <w:pict>
          <v:rect style="width:0;height:1.5pt" o:hralign="center" o:hrstd="t" o:hr="t"/>
        </w:pict>
      </w:r>
    </w:p>
    <w:bookmarkEnd w:id="77"/>
    <w:bookmarkEnd w:id="78"/>
    <w:bookmarkStart w:id="83"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il tocco, è una manovra che il paziente impara a fare da sé — e il tuo mestiere è insegnarla, non somministrarla.</w:t>
      </w:r>
    </w:p>
    <w:p>
      <w:pPr>
        <w:pStyle w:val="FirstParagraph"/>
      </w:pPr>
      <w:r>
        <w:t xml:space="preserve">Il capitolo esiste perché</w:t>
      </w:r>
      <w:r>
        <w:t xml:space="preserve"> </w:t>
      </w:r>
      <w:r>
        <w:rPr>
          <w:b/>
          <w:bCs/>
        </w:rPr>
        <w:t xml:space="preserve">uno</w:t>
      </w:r>
      <w:r>
        <w:t xml:space="preserve"> </w:t>
      </w:r>
      <w:r>
        <w:t xml:space="preserve">strumento attivo regge DIMOSTRATO su due studi controllati con placebo. Gli altri tre reggono PROBABILE e stanno qui perché il paziente li userà comunque: meglio che li usi sapendo cosa hanno misurato.</w:t>
      </w:r>
    </w:p>
    <w:p>
      <w:pPr>
        <w:pStyle w:val="BodyText"/>
      </w:pPr>
      <w:r>
        <w:rPr>
          <w:b/>
          <w:bCs/>
        </w:rPr>
        <w:t xml:space="preserve">Questo capitolo pesa quasi il doppio di quanto lo standard prevede</w:t>
      </w:r>
      <w:r>
        <w:t xml:space="preserve">, e la ragione è dichiarata: su questa condizione la leva con le prove migliori è un apprendimento che fa il paziente, non un gesto che fa l’operatore, e comprimerla lascerebbe fuori dalla Bibbia proprio la parte che regge (registro delle deviazioni, D-065). E vale anche il negativo:</w:t>
      </w:r>
      <w:r>
        <w:t xml:space="preserve"> </w:t>
      </w:r>
      <w:r>
        <w:rPr>
          <w:b/>
          <w:bCs/>
        </w:rPr>
        <w:t xml:space="preserve">nessuno dei quattro strumenti arriva alla barriera duodenale</w:t>
      </w:r>
      <w:r>
        <w:t xml:space="preserve">, né per le tue mani né per il paziente.</w:t>
      </w:r>
    </w:p>
    <w:bookmarkStart w:id="79" w:name="Xf0ec1d4a69ce60279d9e292d9e76a298ea4f420"/>
    <w:p>
      <w:pPr>
        <w:pStyle w:val="Heading3"/>
      </w:pPr>
      <w:r>
        <w:t xml:space="preserve">1. Il controllo volontario del diaframma e della parete addominale</w:t>
      </w:r>
    </w:p>
    <w:p>
      <w:pPr>
        <w:pStyle w:val="FirstParagraph"/>
      </w:pPr>
      <w:r>
        <w:rPr>
          <w:b/>
          <w:bCs/>
        </w:rPr>
        <w:t xml:space="preserve">Cos’è.</w:t>
      </w:r>
      <w:r>
        <w:t xml:space="preserve"> </w:t>
      </w:r>
      <w:r>
        <w:t xml:space="preserve">Imparare a fare, durante e dopo il pasto, il contrario di quello che il corpo fa spontaneamente: alzare il diaframma invece di spingerlo giù, attivare la parete invece di lasciarla sporgere.</w:t>
      </w:r>
    </w:p>
    <w:p>
      <w:pPr>
        <w:pStyle w:val="BodyText"/>
      </w:pPr>
      <w:r>
        <w:rPr>
          <w:b/>
          <w:bCs/>
        </w:rPr>
        <w:t xml:space="preserve">Su quale meccanismo agisce.</w:t>
      </w:r>
      <w:r>
        <w:t xml:space="preserve"> </w:t>
      </w:r>
      <w:r>
        <w:t xml:space="preserve">Sul primo, ed è l’unico strumento di questa Bibbia che agisce direttamente sul meccanismo che gli studi hanno misurato.</w:t>
      </w:r>
    </w:p>
    <w:p>
      <w:pPr>
        <w:pStyle w:val="BodyText"/>
      </w:pPr>
      <w:r>
        <w:rPr>
          <w:b/>
          <w:bCs/>
        </w:rPr>
        <w:t xml:space="preserve">Cosa hanno misurato gli studi.</w:t>
      </w:r>
      <w:r>
        <w:t xml:space="preserve"> </w:t>
      </w:r>
      <w:r>
        <w:t xml:space="preserve">Nel primo studio, 48 pazienti randomizzati, tre sessioni in dieci giorni. Nel braccio che vedeva il proprio segnale elettromiografico l’attività intercostale è scesa del 45% e quella della parete anteriore è salita del 101%. La distensione soggettiva si è ridotta del 56%, contro il 13% del placebo (Barba, 2017, PMID 28705783).</w:t>
      </w:r>
    </w:p>
    <w:p>
      <w:pPr>
        <w:pStyle w:val="BodyText"/>
      </w:pPr>
      <w:r>
        <w:t xml:space="preserve">Nel secondo, 42 pazienti randomizzati, tre sessioni in quattro settimane con esercizi da ripetere a casa. Nei 19 del braccio di intervento gli intercostali sono scesi dell’82% e la parete anteriore è salita del 97%. E</w:t>
      </w:r>
      <w:r>
        <w:t xml:space="preserve"> </w:t>
      </w:r>
      <w:r>
        <w:rPr>
          <w:b/>
          <w:bCs/>
        </w:rPr>
        <w:t xml:space="preserve">l’aumento di circonferenza dopo il pasto scatenante si è azzerato e si è lievemente invertito</w:t>
      </w:r>
      <w:r>
        <w:t xml:space="preserve">: novanta minuti dopo il pasto la circonferenza era di poco inferiore a prima. Punteggio di distensione −66%. Nel gruppo placebo nessuno di questi effetti (Barba, 2024, PMID 38467383).</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sull’esito, con tre salti dichiarati. Di</w:t>
      </w:r>
      <w:r>
        <w:t xml:space="preserve"> </w:t>
      </w:r>
      <w:r>
        <w:rPr>
          <w:b/>
          <w:bCs/>
        </w:rPr>
        <w:t xml:space="preserve">erogatore e strumento</w:t>
      </w:r>
      <w:r>
        <w:t xml:space="preserve">: negli studi il programma è erogato da gastroenterologi in un laboratorio di motilità, con un segnale strumentale che mostra al paziente cosa sta facendo. Di</w:t>
      </w:r>
      <w:r>
        <w:t xml:space="preserve"> </w:t>
      </w:r>
      <w:r>
        <w:rPr>
          <w:b/>
          <w:bCs/>
        </w:rPr>
        <w:t xml:space="preserve">popolazione</w:t>
      </w:r>
      <w:r>
        <w:t xml:space="preserve">: i pazienti avevano disturbi intestinali funzionali con distensione visibile, non dispepsia, ed erano quasi tutte donne. Quello che puoi fare tu è insegnare la manovra usando come segnale il tuo contatto e il metro; il segnale strumentale non è tuo.</w:t>
      </w:r>
    </w:p>
    <w:p>
      <w:pPr>
        <w:pStyle w:val="FirstParagraph"/>
      </w:pPr>
      <w:r>
        <w:rPr>
          <w:b/>
          <w:bCs/>
        </w:rPr>
        <w:t xml:space="preserve">Cosa NON fa, e cosa non si sa.</w:t>
      </w:r>
      <w:r>
        <w:t xml:space="preserve"> </w:t>
      </w:r>
      <w:r>
        <w:t xml:space="preserve">Non cambia il contenuto dell’intestino: non agisce su gas, flora, dieta. Non agisce sul dolore epigastrico né sulla sazietà precoce. Non serve a chi si sente gonfio ma non si gonfia.</w:t>
      </w:r>
      <w:r>
        <w:t xml:space="preserve"> </w:t>
      </w:r>
      <w:r>
        <w:rPr>
          <w:b/>
          <w:bCs/>
        </w:rPr>
        <w:t xml:space="preserve">Nessuno dei due studi ha seguito i pazienti oltre la fine dell’intervento</w:t>
      </w:r>
      <w:r>
        <w:t xml:space="preserve">: quanto dura l’apprendimento non è misurato. E in tutti e due i pazienti avevano l’inquadramento gastroenterologico completo: questo strumento non lo sostituisce e non giustifica di rimandarlo.</w:t>
      </w:r>
    </w:p>
    <w:bookmarkEnd w:id="79"/>
    <w:bookmarkStart w:id="80" w:name="il-respiro-lento"/>
    <w:p>
      <w:pPr>
        <w:pStyle w:val="Heading3"/>
      </w:pPr>
      <w:r>
        <w:t xml:space="preserve">2. Il respiro lento</w:t>
      </w:r>
    </w:p>
    <w:p>
      <w:pPr>
        <w:pStyle w:val="FirstParagraph"/>
      </w:pPr>
      <w:r>
        <w:rPr>
          <w:b/>
          <w:bCs/>
        </w:rPr>
        <w:t xml:space="preserve">Cos’è.</w:t>
      </w:r>
      <w:r>
        <w:t xml:space="preserve"> </w:t>
      </w:r>
      <w:r>
        <w:t xml:space="preserve">Respirare a ritmo rallentato, con l’espirazione più lunga dell’inspirazione.</w:t>
      </w:r>
    </w:p>
    <w:p>
      <w:pPr>
        <w:pStyle w:val="BodyText"/>
      </w:pPr>
      <w:r>
        <w:rPr>
          <w:b/>
          <w:bCs/>
        </w:rPr>
        <w:t xml:space="preserve">Su quale meccanismo agisce.</w:t>
      </w:r>
      <w:r>
        <w:t xml:space="preserve"> </w:t>
      </w:r>
      <w:r>
        <w:t xml:space="preserve">Sul quarto. E per la parte meccanica sul primo, perché il ritmo del respiro governa il diaframma.</w:t>
      </w:r>
    </w:p>
    <w:p>
      <w:pPr>
        <w:pStyle w:val="BodyText"/>
      </w:pPr>
      <w:r>
        <w:rPr>
          <w:b/>
          <w:bCs/>
        </w:rPr>
        <w:t xml:space="preserve">Cosa hanno misurato gli studi.</w:t>
      </w:r>
      <w:r>
        <w:t xml:space="preserve"> </w:t>
      </w:r>
      <w:r>
        <w:t xml:space="preserve">Quaranta pazienti con dispepsia funzionale sono stati randomizzati a due bracci. Il primo faceva esercizi respiratori a</w:t>
      </w:r>
      <w:r>
        <w:t xml:space="preserve"> </w:t>
      </w:r>
      <w:r>
        <w:rPr>
          <w:b/>
          <w:bCs/>
        </w:rPr>
        <w:t xml:space="preserve">6 atti al minuto, cinque minuti al giorno per quattro settimane</w:t>
      </w:r>
      <w:r>
        <w:t xml:space="preserve">, con un segnale di ritorno. Il secondo riceveva cure abituali, non un simulato. Capacità di assunzione e qualità di vita sono migliorate più nel gruppo di intervento (p=0,02 e p=0,01). Tono vagale basale, volume intragastrico e conduttanza cutanea sono rimasti invariati (Hjelland, 2007, PMID 17710670). Sul meccanismo, il respiro lento amplifica l’oscillazione respiratoria del battito (Laborde, 2022, PMID 35623448) — salto di</w:t>
      </w:r>
      <w:r>
        <w:t xml:space="preserve"> </w:t>
      </w:r>
      <w:r>
        <w:rPr>
          <w:b/>
          <w:bCs/>
        </w:rPr>
        <w:t xml:space="preserve">popolazione</w:t>
      </w:r>
      <w:r>
        <w:t xml:space="preserve"> </w:t>
      </w:r>
      <w:r>
        <w:t xml:space="preserve">e di</w:t>
      </w:r>
      <w:r>
        <w:t xml:space="preserve"> </w:t>
      </w:r>
      <w:r>
        <w:rPr>
          <w:b/>
          <w:bCs/>
        </w:rPr>
        <w:t xml:space="preserve">organo</w:t>
      </w:r>
      <w:r>
        <w:t xml:space="preserv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clinico in questa condizione: uno studio randomizzato, 40 pazienti, senza gruppo simulato, con esito riferito da pazienti non in cieco.</w:t>
      </w:r>
      <w:r>
        <w:t xml:space="preserve"> </w:t>
      </w:r>
      <w:r>
        <w:rPr>
          <w:b/>
          <w:bCs/>
        </w:rPr>
        <w:t xml:space="preserve">DIMOSTRATO</w:t>
      </w:r>
      <w:r>
        <w:t xml:space="preserve"> </w:t>
      </w:r>
      <w:r>
        <w:rPr>
          <w:i/>
          <w:iCs/>
        </w:rPr>
        <w:t xml:space="preserve">(studi sull’uomo, solidi)</w:t>
      </w:r>
      <w:r>
        <w:t xml:space="preserve"> </w:t>
      </w:r>
      <w:r>
        <w:t xml:space="preserve">l’effetto sulla variabilità cardiaca, misurato fuori da questa condizione e su un organo diverso.</w:t>
      </w:r>
    </w:p>
    <w:p>
      <w:pPr>
        <w:pStyle w:val="FirstParagraph"/>
      </w:pPr>
      <w:r>
        <w:rPr>
          <w:b/>
          <w:bCs/>
        </w:rPr>
        <w:t xml:space="preserve">Cosa NON fa, e cosa non si sa.</w:t>
      </w:r>
      <w:r>
        <w:t xml:space="preserve"> </w:t>
      </w:r>
      <w:r>
        <w:t xml:space="preserve">Non modifica il tono vagale di base: lo studio l’ha misurato e non è cambiato. Non modifica il volume che lo stomaco riesce a contenere. Sul respiro lento nella dispepsia il follow-up si ferma a quattro settimane.</w:t>
      </w:r>
    </w:p>
    <w:p>
      <w:pPr>
        <w:pStyle w:val="BodyText"/>
      </w:pPr>
      <w:r>
        <w:t xml:space="preserve">E l’unico dato che esiste in questa famiglia su cosa succede quando il paziente smette viene da un’altra condizione. 19 pazienti con reflusso non erosivo sono stati randomizzati a quattro settimane di allenamento respiratorio, e il tempo di esposizione acida dell’esofago è sceso dal 9,1% al 4,7%.</w:t>
      </w:r>
      <w:r>
        <w:t xml:space="preserve"> </w:t>
      </w:r>
      <w:r>
        <w:rPr>
          <w:b/>
          <w:bCs/>
        </w:rPr>
        <w:t xml:space="preserve">A nove mesi gli undici che avevano continuato a esercitarsi miglioravano ancora, e usavano meno farmaco: da 98 a 25 milligrammi la settimana. Chi non si era esercitato non aveva alcun effetto a lungo termine</w:t>
      </w:r>
      <w:r>
        <w:t xml:space="preserve"> </w:t>
      </w:r>
      <w:r>
        <w:t xml:space="preserve">(Eherer,</w:t>
      </w:r>
      <w:r>
        <w:t xml:space="preserve"> </w:t>
      </w:r>
      <w:r>
        <w:rPr>
          <w:i/>
          <w:iCs/>
        </w:rPr>
        <w:t xml:space="preserve">Am J Gastroenterol</w:t>
      </w:r>
      <w:r>
        <w:t xml:space="preserve"> </w:t>
      </w:r>
      <w:r>
        <w:t xml:space="preserve">2012, PMID 22146488). Misurato su 19 pazienti con reflusso non erosivo e con la pH-metria esofagea come esito: non su pazienti con dispepsia funzionale, e non sul gonfiore.</w:t>
      </w:r>
    </w:p>
    <w:bookmarkEnd w:id="80"/>
    <w:bookmarkStart w:id="81" w:name="laumento-dellattività-fisica-regolare"/>
    <w:p>
      <w:pPr>
        <w:pStyle w:val="Heading3"/>
      </w:pPr>
      <w:r>
        <w:t xml:space="preserve">3. L’aumento dell’attività fisica regolare</w:t>
      </w:r>
    </w:p>
    <w:p>
      <w:pPr>
        <w:pStyle w:val="FirstParagraph"/>
      </w:pPr>
      <w:r>
        <w:rPr>
          <w:b/>
          <w:bCs/>
        </w:rPr>
        <w:t xml:space="preserve">Cos’è.</w:t>
      </w:r>
      <w:r>
        <w:t xml:space="preserve"> </w:t>
      </w:r>
      <w:r>
        <w:t xml:space="preserve">Portare l’attività fisica quotidiana a un livello più alto e mantenerlo nel tempo. È la famiglia del</w:t>
      </w:r>
      <w:r>
        <w:t xml:space="preserve"> </w:t>
      </w:r>
      <w:r>
        <w:rPr>
          <w:b/>
          <w:bCs/>
        </w:rPr>
        <w:t xml:space="preserve">carico</w:t>
      </w:r>
      <w:r>
        <w:t xml:space="preserve">.</w:t>
      </w:r>
    </w:p>
    <w:p>
      <w:pPr>
        <w:pStyle w:val="BodyText"/>
      </w:pPr>
      <w:r>
        <w:rPr>
          <w:b/>
          <w:bCs/>
        </w:rPr>
        <w:t xml:space="preserve">Su quale meccanismo agisce.</w:t>
      </w:r>
      <w:r>
        <w:t xml:space="preserve"> </w:t>
      </w:r>
      <w:r>
        <w:t xml:space="preserve">Sul quarto, e sul terzo per la componente di transito.</w:t>
      </w:r>
    </w:p>
    <w:p>
      <w:pPr>
        <w:pStyle w:val="BodyText"/>
      </w:pPr>
      <w:r>
        <w:rPr>
          <w:b/>
          <w:bCs/>
        </w:rPr>
        <w:t xml:space="preserve">Cosa hanno misurato gli studi.</w:t>
      </w:r>
      <w:r>
        <w:t xml:space="preserve"> </w:t>
      </w:r>
      <w:r>
        <w:t xml:space="preserve">Centodue pazienti con sindrome dell’intestino irritabile sono stati randomizzati ad aumentare l’attività fisica con la guida di un fisioterapista, oppure a mantenere lo stile di vita. Il punteggio complessivo dei sintomi è sceso di 51 punti contro 5 (p=0,003) (Johannesson,</w:t>
      </w:r>
      <w:r>
        <w:t xml:space="preserve"> </w:t>
      </w:r>
      <w:r>
        <w:rPr>
          <w:i/>
          <w:iCs/>
        </w:rPr>
        <w:t xml:space="preserve">Am J Gastroenterol</w:t>
      </w:r>
      <w:r>
        <w:t xml:space="preserve"> </w:t>
      </w:r>
      <w:r>
        <w:t xml:space="preserve">2011, PMID 21206488). A mediana 5,2 anni i sintomi erano ancora migliori del basale (Johannesson, 2015, PMID 25593485). È l’unico dato di durata a cinque anni di tutta questa Bibbia.</w:t>
      </w:r>
    </w:p>
    <w:p>
      <w:pPr>
        <w:pStyle w:val="BodyText"/>
      </w:pPr>
      <w:r>
        <w:t xml:space="preserve">Sul</w:t>
      </w:r>
      <w:r>
        <w:t xml:space="preserve"> </w:t>
      </w:r>
      <w:r>
        <w:rPr>
          <w:b/>
          <w:bCs/>
        </w:rPr>
        <w:t xml:space="preserve">cammino subito dopo il pasto</w:t>
      </w:r>
      <w:r>
        <w:t xml:space="preserve"> </w:t>
      </w:r>
      <w:r>
        <w:t xml:space="preserve">il dato è debole. La meta-analisi di 20 studi e 221 partecipanti</w:t>
      </w:r>
      <w:r>
        <w:t xml:space="preserve"> </w:t>
      </w:r>
      <w:r>
        <w:rPr>
          <w:b/>
          <w:bCs/>
        </w:rPr>
        <w:t xml:space="preserve">non trova nessun effetto medio</w:t>
      </w:r>
      <w:r>
        <w:t xml:space="preserve"> </w:t>
      </w:r>
      <w:r>
        <w:t xml:space="preserve">dell’esercizio acuto sullo svuotamento gastrico. Il contrasto fra camminare e pedalare è un’analisi di sottogruppo dentro quel risultato nullo, su soggetti allenati (Horner, 2015, PMID 25398225).</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clinico dell’attività regolare, con salto di</w:t>
      </w:r>
      <w:r>
        <w:t xml:space="preserve"> </w:t>
      </w:r>
      <w:r>
        <w:rPr>
          <w:b/>
          <w:bCs/>
        </w:rPr>
        <w:t xml:space="preserve">popolazione</w:t>
      </w:r>
      <w:r>
        <w:t xml:space="preserve"> </w:t>
      </w:r>
      <w:r>
        <w:t xml:space="preserve">dichiarato: intestino irritabile, non dispepsia funzionale.</w:t>
      </w:r>
      <w:r>
        <w:t xml:space="preserve"> </w:t>
      </w:r>
      <w:r>
        <w:rPr>
          <w:b/>
          <w:bCs/>
        </w:rPr>
        <w:t xml:space="preserve">IPOTESI</w:t>
      </w:r>
      <w:r>
        <w:t xml:space="preserve"> </w:t>
      </w:r>
      <w:r>
        <w:rPr>
          <w:i/>
          <w:iCs/>
        </w:rPr>
        <w:t xml:space="preserve">(meccanismo coerente, nessuno studio)</w:t>
      </w:r>
      <w:r>
        <w:t xml:space="preserve"> </w:t>
      </w:r>
      <w:r>
        <w:t xml:space="preserve">che il cammino postprandiale acceleri lo svuotamento gastrico: l’effetto medio della meta-analisi è nullo.</w:t>
      </w:r>
    </w:p>
    <w:p>
      <w:pPr>
        <w:pStyle w:val="FirstParagraph"/>
      </w:pPr>
      <w:r>
        <w:rPr>
          <w:b/>
          <w:bCs/>
        </w:rPr>
        <w:t xml:space="preserve">Cosa NON fa, e cosa non si sa.</w:t>
      </w:r>
      <w:r>
        <w:t xml:space="preserve"> </w:t>
      </w:r>
      <w:r>
        <w:t xml:space="preserve">L’intensità alta va nella direzione opposta sullo svuotamento: non è «più muovi meglio è». Sui sintomi della dispepsia funzionale non è stato misurato. E ha un rischio fisico proprio, l’unico dei quattro strumenti.</w:t>
      </w:r>
      <w:r>
        <w:t xml:space="preserve"> </w:t>
      </w:r>
      <w:r>
        <w:rPr>
          <w:b/>
          <w:bCs/>
        </w:rPr>
        <w:t xml:space="preserve">Nell’anziano e in chi prende antipertensivi la fase dopo il pasto è quella in cui la pressione scende.</w:t>
      </w:r>
      <w:r>
        <w:t xml:space="preserve"> </w:t>
      </w:r>
      <w:r>
        <w:t xml:space="preserve">L’ipotensione postprandiale ha una prevalenza aggregata del 40,5% negli anziani, ed è causa di sincopi e cadute (Huang,</w:t>
      </w:r>
      <w:r>
        <w:t xml:space="preserve"> </w:t>
      </w:r>
      <w:r>
        <w:rPr>
          <w:i/>
          <w:iCs/>
        </w:rPr>
        <w:t xml:space="preserve">Age Ageing</w:t>
      </w:r>
      <w:r>
        <w:t xml:space="preserve"> </w:t>
      </w:r>
      <w:r>
        <w:t xml:space="preserve">2024, PMID 38411408). Vertigini, debolezza o testa leggera dopo il pasto non sono un effetto dello strumento: sono un motivo per fermarsi e segnalare al curante.</w:t>
      </w:r>
    </w:p>
    <w:bookmarkEnd w:id="81"/>
    <w:bookmarkStart w:id="82" w:name="leducazione-smettere-di-restringere"/>
    <w:p>
      <w:pPr>
        <w:pStyle w:val="Heading3"/>
      </w:pPr>
      <w:r>
        <w:t xml:space="preserve">4. L’educazione: smettere di restringere</w:t>
      </w:r>
    </w:p>
    <w:p>
      <w:pPr>
        <w:pStyle w:val="FirstParagraph"/>
      </w:pPr>
      <w:r>
        <w:rPr>
          <w:b/>
          <w:bCs/>
        </w:rPr>
        <w:t xml:space="preserve">Cos’è.</w:t>
      </w:r>
      <w:r>
        <w:t xml:space="preserve"> </w:t>
      </w:r>
      <w:r>
        <w:t xml:space="preserve">Spiegare cos’è un disturbo funzionale, perché gli esami negativi sono un risultato e non un vuoto, e perché togliere cibi ha smesso di produrre informazione, come la riunione che non decide più niente e si continua a fare.</w:t>
      </w:r>
    </w:p>
    <w:p>
      <w:pPr>
        <w:pStyle w:val="BodyText"/>
      </w:pPr>
      <w:r>
        <w:rPr>
          <w:b/>
          <w:bCs/>
        </w:rPr>
        <w:t xml:space="preserve">Su quale meccanismo agisce.</w:t>
      </w:r>
      <w:r>
        <w:t xml:space="preserve"> </w:t>
      </w:r>
      <w:r>
        <w:t xml:space="preserve">Sul quarto, attraverso l’ipervigilanza e la restrizione alimentare che lo alimentano.</w:t>
      </w:r>
    </w:p>
    <w:p>
      <w:pPr>
        <w:pStyle w:val="BodyText"/>
      </w:pPr>
      <w:r>
        <w:rPr>
          <w:b/>
          <w:bCs/>
        </w:rPr>
        <w:t xml:space="preserve">Cosa hanno misurato gli studi.</w:t>
      </w:r>
      <w:r>
        <w:t xml:space="preserve"> </w:t>
      </w:r>
      <w:r>
        <w:t xml:space="preserve">Cinquantatré pazienti con sindrome da distress postprandiale sono stati randomizzati a due bracci: rassicurazione e spiegazione diagnostica da sole, oppure le stesse più il consiglio dietetico tradizionale. Sollievo adeguato nel 33% con la sola spiegazione e nel 39% aggiungendo la dieta (p=0,70), senza differenza neppure sulla scala dei sintomi postprandiali (Buckle,</w:t>
      </w:r>
      <w:r>
        <w:t xml:space="preserve"> </w:t>
      </w:r>
      <w:r>
        <w:rPr>
          <w:i/>
          <w:iCs/>
        </w:rPr>
        <w:t xml:space="preserve">Neurogastroenterol Motil</w:t>
      </w:r>
      <w:r>
        <w:t xml:space="preserve"> </w:t>
      </w:r>
      <w:r>
        <w:t xml:space="preserve">2024, PMID 38178367). È la prova diretta della frase che dà il titolo allo strumento: togliere cibi non aggiunge, la spiegazione sì.</w:t>
      </w:r>
    </w:p>
    <w:p>
      <w:pPr>
        <w:pStyle w:val="BodyText"/>
      </w:pPr>
      <w:r>
        <w:rPr>
          <w:b/>
          <w:bCs/>
        </w:rPr>
        <w:t xml:space="preserve">E il limite, attaccato.</w:t>
      </w:r>
      <w:r>
        <w:t xml:space="preserve"> </w:t>
      </w:r>
      <w:r>
        <w:t xml:space="preserve">Il confronto su 126 pazienti metteva a paragone ipnoterapia diretta all’intestino, terapia di supporto e terapia medica. Il braccio che somiglia a quello che eroghi tu — attenzione, ascolto, spiegazione — ha</w:t>
      </w:r>
      <w:r>
        <w:t xml:space="preserve"> </w:t>
      </w:r>
      <w:r>
        <w:rPr>
          <w:b/>
          <w:bCs/>
        </w:rPr>
        <w:t xml:space="preserve">perso</w:t>
      </w:r>
      <w:r>
        <w:t xml:space="preserve">: 41% contro il 59% dell’ipnoterapia a sedici settimane, e</w:t>
      </w:r>
      <w:r>
        <w:t xml:space="preserve"> </w:t>
      </w:r>
      <w:r>
        <w:rPr>
          <w:b/>
          <w:bCs/>
        </w:rPr>
        <w:t xml:space="preserve">34% contro 73% e 43%</w:t>
      </w:r>
      <w:r>
        <w:t xml:space="preserve"> </w:t>
      </w:r>
      <w:r>
        <w:t xml:space="preserve">a cinquantasei (Calvert,</w:t>
      </w:r>
      <w:r>
        <w:t xml:space="preserve"> </w:t>
      </w:r>
      <w:r>
        <w:rPr>
          <w:i/>
          <w:iCs/>
        </w:rPr>
        <w:t xml:space="preserve">Gastroenterology</w:t>
      </w:r>
      <w:r>
        <w:t xml:space="preserve"> </w:t>
      </w:r>
      <w:r>
        <w:t xml:space="preserve">2002, PMID 12454833). Il programma che vince lì è l’ipnoterapia, e non è nostra.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Lo studio che misura lo strumento giusto non ha un braccio senza educazione — entrambi i bracci l’hanno ricevuta — quindi l’effetto non è isolato dal placebo né dal decorso naturale. Il salto è di</w:t>
      </w:r>
      <w:r>
        <w:t xml:space="preserve"> </w:t>
      </w:r>
      <w:r>
        <w:rPr>
          <w:b/>
          <w:bCs/>
        </w:rPr>
        <w:t xml:space="preserve">erogatore</w:t>
      </w:r>
      <w:r>
        <w:t xml:space="preserve">: gastroenterologi in ambulatorio specialistico. E la prova contraria è nella frase qui sopra.</w:t>
      </w:r>
    </w:p>
    <w:p>
      <w:pPr>
        <w:pStyle w:val="FirstParagraph"/>
      </w:pPr>
      <w:r>
        <w:rPr>
          <w:b/>
          <w:bCs/>
        </w:rPr>
        <w:t xml:space="preserve">Cosa NON fa, e cosa non si sa.</w:t>
      </w:r>
      <w:r>
        <w:t xml:space="preserve"> </w:t>
      </w:r>
      <w:r>
        <w:t xml:space="preserve">Non sostituisce l’inquadramento medico e non giustifica di ritardarlo. Quanto duri l’effetto oltre le settimane misurate non si sa.</w:t>
      </w:r>
      <w:r>
        <w:t xml:space="preserve"> </w:t>
      </w:r>
      <w:r>
        <w:rPr>
          <w:b/>
          <w:bCs/>
        </w:rPr>
        <w:t xml:space="preserve">E non è un argomento sui farmaci:</w:t>
      </w:r>
      <w:r>
        <w:t xml:space="preserve"> </w:t>
      </w:r>
      <w:r>
        <w:t xml:space="preserve">il dato di Calvert sull’inizio di terapie nel follow-up è un dato di studio, non si dice al paziente, e la terapia la decide il prescrittore.</w:t>
      </w:r>
    </w:p>
    <w:p>
      <w:pPr>
        <w:pStyle w:val="BodyText"/>
      </w:pPr>
      <w:r>
        <w:rPr>
          <w:b/>
          <w:bCs/>
        </w:rPr>
        <w:t xml:space="preserve">La chiusura di confine, e vale per tutti e quattro.</w:t>
      </w:r>
      <w:r>
        <w:t xml:space="preserve"> </w:t>
      </w:r>
      <w:r>
        <w:t xml:space="preserve">Come e quando consegnarli al tuo paziente sta nella Procedura.</w:t>
      </w:r>
    </w:p>
    <w:p>
      <w:pPr>
        <w:pStyle w:val="BodyText"/>
      </w:pPr>
      <w:r>
        <w:rPr>
          <w:b/>
          <w:bCs/>
        </w:rPr>
        <w:t xml:space="preserve">Le tre cose da ricordare, più una</w:t>
      </w:r>
    </w:p>
    <w:p>
      <w:pPr>
        <w:pStyle w:val="Compact"/>
        <w:numPr>
          <w:ilvl w:val="0"/>
          <w:numId w:val="1037"/>
        </w:numPr>
      </w:pPr>
      <w:r>
        <w:t xml:space="preserve">La leva con le prove migliori di questa Bibbia è un apprendimento motorio che il paziente fa da solo: il tuo lavoro è insegnarlo bene, non sostituirlo.</w:t>
      </w:r>
    </w:p>
    <w:p>
      <w:pPr>
        <w:pStyle w:val="Compact"/>
        <w:numPr>
          <w:ilvl w:val="0"/>
          <w:numId w:val="1037"/>
        </w:numPr>
      </w:pPr>
      <w:r>
        <w:t xml:space="preserve">Il respiro lento ha funzionato in uno studio randomizzato senza cambiare il meccanismo con cui gli autori pensavano funzionasse. Insegnalo, e spiegalo per quello che ha fatto.</w:t>
      </w:r>
    </w:p>
    <w:p>
      <w:pPr>
        <w:pStyle w:val="Compact"/>
        <w:numPr>
          <w:ilvl w:val="0"/>
          <w:numId w:val="1037"/>
        </w:numPr>
      </w:pPr>
      <w:r>
        <w:rPr>
          <w:b/>
          <w:bCs/>
        </w:rPr>
        <w:t xml:space="preserve">Una parte dei pazienti smetterà, e questa è una conoscenza, non un imprevisto.</w:t>
      </w:r>
      <w:r>
        <w:t xml:space="preserve"> </w:t>
      </w:r>
      <w:r>
        <w:t xml:space="preserve">Nello studio sull’attività fisica i randomizzati erano 102 e alla fine sono arrivati in 75; al controllo a cinque anni si sono presentati 39 dei 76 invitati, e chi si è presentato faceva il doppio del movimento di prima (Johannesson, 2011 e 2015). Nessuno dei due studi di Barba ha seguito i pazienti dopo la fine dell’intervento: della durata dell’apprendimento non si sa niente. L’unico studio che ha guardato cosa succede a chi smette lo ha fatto su un’altra condizione, e il beneficio a nove mesi era di chi aveva continuato (Eherer, 2012, PMID 22146488).</w:t>
      </w:r>
    </w:p>
    <w:p>
      <w:pPr>
        <w:pStyle w:val="Compact"/>
        <w:numPr>
          <w:ilvl w:val="0"/>
          <w:numId w:val="1037"/>
        </w:numPr>
      </w:pPr>
      <w:r>
        <w:rPr>
          <w:b/>
          <w:bCs/>
        </w:rPr>
        <w:t xml:space="preserve">Perché ci sei tu.</w:t>
      </w:r>
      <w:r>
        <w:t xml:space="preserve"> </w:t>
      </w:r>
      <w:r>
        <w:t xml:space="preserve">Quello che è cambiato negli studi sono due muscoli scheletrici, non un organo (Barba, 2017, PMID 28705783).</w:t>
      </w:r>
      <w:r>
        <w:t xml:space="preserve"> </w:t>
      </w:r>
      <w:r>
        <w:rPr>
          <w:b/>
          <w:bCs/>
        </w:rPr>
        <w:t xml:space="preserve">Per te:</w:t>
      </w:r>
      <w:r>
        <w:t xml:space="preserve"> </w:t>
      </w:r>
      <w:r>
        <w:t xml:space="preserve">è esattamente il materiale su cui lavori. Questo ti autorizza a considerare l’apprendimento di quella manovra parte del tuo mestiere. Non ti autorizza a dire che stai facendo biofeedback: negli studi il paziente vedeva un segnale strumentale, e tu non ce l’hai.</w:t>
      </w:r>
    </w:p>
    <w:p>
      <w:r>
        <w:pict>
          <v:rect style="width:0;height:1.5pt" o:hralign="center" o:hrstd="t" o:hr="t"/>
        </w:pict>
      </w:r>
    </w:p>
    <w:bookmarkEnd w:id="82"/>
    <w:bookmarkEnd w:id="83"/>
    <w:bookmarkStart w:id="87"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spiegazione che funziona non è quella che nomina un organo, è quella che sposta l’attenzione dal contenuto al contenitore.</w:t>
      </w:r>
    </w:p>
    <w:bookmarkStart w:id="84" w:name="lo-script"/>
    <w:p>
      <w:pPr>
        <w:pStyle w:val="Heading3"/>
      </w:pPr>
      <w:r>
        <w:t xml:space="preserve">Lo script</w:t>
      </w:r>
    </w:p>
    <w:p>
      <w:pPr>
        <w:pStyle w:val="BlockText"/>
      </w:pPr>
      <w:r>
        <w:rPr>
          <w:i/>
          <w:iCs/>
        </w:rPr>
        <w:t xml:space="preserve">«Quando mangi, la pancia deve fare spazio: il muscolo del respiro sale e la parete tiene. Nel tuo caso succede il contrario: spinge in giù e la parete si molla. Dentro non è entrato niente in più: è come un sacco della spesa che schiacci dall’alto e si allarga di lato. Il corpo l’ha imparato, e si può reimparare. Gli esami cercavano una malattia, e non l’hanno trovata: per questo si lavora su come funziona. Io lavoro sulla componente meccanica che ho trovato; i sintomi digestivi vanno comunque inquadrati dal tuo medico, e nel frattempo io non aspetto.»</w:t>
      </w:r>
    </w:p>
    <w:p>
      <w:pPr>
        <w:pStyle w:val="FirstParagraph"/>
      </w:pPr>
      <w:r>
        <w:t xml:space="preserve">Zero parole tecniche. La metafora è la stessa del primo meccanismo. E la convivenza fra quello che tratti e quello che non tratti sta dentro lo script, non in una risposta che si dà solo se il paziente la solleva.</w:t>
      </w:r>
      <w:r>
        <w:t xml:space="preserve"> </w:t>
      </w:r>
      <w:r>
        <w:rPr>
          <w:b/>
          <w:bCs/>
        </w:rPr>
        <w:t xml:space="preserve">La frase che non si dice è «le hanno escluse»:</w:t>
      </w:r>
      <w:r>
        <w:t xml:space="preserve"> </w:t>
      </w:r>
      <w:r>
        <w:t xml:space="preserve">«Dove finisce il nostro campo» spiega, con i numeri di Vakil in mano, perché non ci compete rassicurare nessuno sull’assenza di malattia.</w:t>
      </w:r>
    </w:p>
    <w:p>
      <w:pPr>
        <w:pStyle w:val="BlockText"/>
      </w:pPr>
      <w:r>
        <w:rPr>
          <w:b/>
          <w:bCs/>
        </w:rPr>
        <w:t xml:space="preserve">Attenzione — quello che il paziente si porta a casa.</w:t>
      </w:r>
      <w:r>
        <w:t xml:space="preserve"> </w:t>
      </w:r>
      <w:r>
        <w:t xml:space="preserve">Un paziente in GIALLO resta con te fino a sei settimane, e deve uscire sapendo cosa lo riporta indietro:</w:t>
      </w:r>
      <w:r>
        <w:t xml:space="preserve"> </w:t>
      </w:r>
      <w:r>
        <w:rPr>
          <w:b/>
          <w:bCs/>
        </w:rPr>
        <w:t xml:space="preserve">sangue nel vomito o feci nere; peso o dolore alla bocca dello stomaco che arriva col sudore freddo o col fiato corto, o che sale al braccio, al collo o alla mandibola; dolore addominale forte e improvviso con febbre; vomito che non si ferma; difficoltà a mandare giù che peggiora; peso che cala senza volerlo; il bianco degli occhi che ingiallisce.</w:t>
      </w:r>
      <w:r>
        <w:t xml:space="preserve"> </w:t>
      </w:r>
      <w:r>
        <w:t xml:space="preserve">Si consegnano a voce, e si scrive in cartella che sono stati consegnati.</w:t>
      </w:r>
    </w:p>
    <w:bookmarkEnd w:id="84"/>
    <w:bookmarkStart w:id="85" w:name="le-obiezioni-e-le-risposte-oneste"/>
    <w:p>
      <w:pPr>
        <w:pStyle w:val="Heading3"/>
      </w:pPr>
      <w:r>
        <w:t xml:space="preserve">Le obiezioni, e le risposte oneste</w:t>
      </w:r>
    </w:p>
    <w:p>
      <w:pPr>
        <w:pStyle w:val="FirstParagraph"/>
      </w:pPr>
      <w:r>
        <w:rPr>
          <w:b/>
          <w:bCs/>
        </w:rPr>
        <w:t xml:space="preserve">«Cosa c’entrano le mani con la digestione?»</w:t>
      </w:r>
      <w:r>
        <w:t xml:space="preserve"> </w:t>
      </w:r>
      <w:r>
        <w:rPr>
          <w:i/>
          <w:iCs/>
        </w:rPr>
        <w:t xml:space="preserve">«Con la digestione in sé, poco. Con lo spazio che il tuo stomaco ha per lavorare e con il modo in cui il tuo diaframma si muove, molto — e quelle due cose sono state misurate con la TAC e con l’elettromiografia. Non ti sto proponendo di curare lo stomaco con le mani. Ti sto proponendo di lavorare sul contenitore.»</w:t>
      </w:r>
    </w:p>
    <w:p>
      <w:pPr>
        <w:pStyle w:val="BodyText"/>
      </w:pPr>
      <w:r>
        <w:rPr>
          <w:b/>
          <w:bCs/>
        </w:rPr>
        <w:t xml:space="preserve">«Gli esami sono tutti a posto.»</w:t>
      </w:r>
      <w:r>
        <w:t xml:space="preserve"> </w:t>
      </w:r>
      <w:r>
        <w:rPr>
          <w:i/>
          <w:iCs/>
        </w:rPr>
        <w:t xml:space="preserve">«E sono la ragione per cui possiamo lavorare. Cercavano una malattia che spiegasse i sintomi e non l’hanno trovata; non misurano il funzionamento, e il funzionamento è la parte che ti è rimasta addosso. Quello che ho trovato io non sostituisce il controllo del tuo medico: io lavoro sulla componente meccanica, il sintomo va comunque inquadrato da lui, e nel frattempo io non aspetto.»</w:t>
      </w:r>
    </w:p>
    <w:p>
      <w:pPr>
        <w:pStyle w:val="BodyText"/>
      </w:pPr>
      <w:r>
        <w:rPr>
          <w:b/>
          <w:bCs/>
        </w:rPr>
        <w:t xml:space="preserve">«Ho già tolto mille cibi.»</w:t>
      </w:r>
      <w:r>
        <w:t xml:space="preserve"> </w:t>
      </w:r>
      <w:r>
        <w:rPr>
          <w:i/>
          <w:iCs/>
        </w:rPr>
        <w:t xml:space="preserve">«E non è cambiato molto — che è un’informazione, non un fallimento. Se il problema fosse solo in cosa mangi, togliendo metà delle cose saresti stato bene. Vuol dire che una parte sta in come il corpo lo lavora, e quella parte non si toglie dalla dispensa.»</w:t>
      </w:r>
    </w:p>
    <w:p>
      <w:pPr>
        <w:pStyle w:val="BodyText"/>
      </w:pPr>
      <w:r>
        <w:rPr>
          <w:b/>
          <w:bCs/>
        </w:rPr>
        <w:t xml:space="preserve">«È stress, mi hanno detto.»</w:t>
      </w:r>
      <w:r>
        <w:t xml:space="preserve"> </w:t>
      </w:r>
      <w:r>
        <w:rPr>
          <w:i/>
          <w:iCs/>
        </w:rPr>
        <w:t xml:space="preserve">«In parte sì, e questo non vuol dire che te lo stia inventando. Lo stress abbassa la soglia a cui senti quello che il tuo intestino fa sempre, e va nei due sensi: chi ha una fatica psicologica sviluppa più spesso questi disturbi, e chi ha questi disturbi diventa più affaticato. In tutti e due i sensi passa da cose concrete: il respiro, il diaframma, la parete. Concreto il problema, concreto il lavoro.»</w:t>
      </w:r>
    </w:p>
    <w:p>
      <w:pPr>
        <w:pStyle w:val="BodyText"/>
      </w:pPr>
      <w:r>
        <w:rPr>
          <w:b/>
          <w:bCs/>
        </w:rPr>
        <w:t xml:space="preserve">«Quindi devo fare tutto io.»</w:t>
      </w:r>
      <w:r>
        <w:t xml:space="preserve"> </w:t>
      </w:r>
      <w:r>
        <w:rPr>
          <w:i/>
          <w:iCs/>
        </w:rPr>
        <w:t xml:space="preserve">«No, e non funzionerebbe. Negli studi i pazienti non hanno imparato questa cosa da un foglio: l’hanno imparata con qualcuno che gli mostrava cosa stavano facendo. La parte guidata è la mia, la ripetizione è la tua, e senza una delle due non succede niente.»</w:t>
      </w:r>
    </w:p>
    <w:bookmarkEnd w:id="85"/>
    <w:bookmarkStart w:id="86" w:name="cosa-non-promettere-mai"/>
    <w:p>
      <w:pPr>
        <w:pStyle w:val="Heading3"/>
      </w:pPr>
      <w:r>
        <w:t xml:space="preserve">Cosa non promettere mai</w:t>
      </w:r>
    </w:p>
    <w:p>
      <w:pPr>
        <w:pStyle w:val="Compact"/>
        <w:numPr>
          <w:ilvl w:val="0"/>
          <w:numId w:val="1038"/>
        </w:numPr>
      </w:pPr>
      <w:r>
        <w:rPr>
          <w:b/>
          <w:bCs/>
        </w:rPr>
        <w:t xml:space="preserve">Non promettere che il gonfiore sparisca.</w:t>
      </w:r>
      <w:r>
        <w:t xml:space="preserve"> </w:t>
      </w:r>
      <w:r>
        <w:t xml:space="preserve">Prometti di misurarlo e di dire se si è mosso.</w:t>
      </w:r>
    </w:p>
    <w:p>
      <w:pPr>
        <w:pStyle w:val="Compact"/>
        <w:numPr>
          <w:ilvl w:val="0"/>
          <w:numId w:val="1038"/>
        </w:numPr>
      </w:pPr>
      <w:r>
        <w:rPr>
          <w:b/>
          <w:bCs/>
        </w:rPr>
        <w:t xml:space="preserve">Non promettere che potrà rimangiare tutto.</w:t>
      </w:r>
      <w:r>
        <w:t xml:space="preserve"> </w:t>
      </w:r>
      <w:r>
        <w:t xml:space="preserve">L’obiettivo è tornare ad aggiungere, e chi decide cosa si aggiunge non sei tu.</w:t>
      </w:r>
    </w:p>
    <w:p>
      <w:pPr>
        <w:pStyle w:val="Compact"/>
        <w:numPr>
          <w:ilvl w:val="0"/>
          <w:numId w:val="1038"/>
        </w:numPr>
      </w:pPr>
      <w:r>
        <w:rPr>
          <w:b/>
          <w:bCs/>
        </w:rPr>
        <w:t xml:space="preserve">Non dire mai che così eviterà i farmaci.</w:t>
      </w:r>
      <w:r>
        <w:t xml:space="preserve"> </w:t>
      </w:r>
      <w:r>
        <w:t xml:space="preserve">Non è una cosa che decidi tu, e non è una cosa che è stata misurata su quello che fai tu.</w:t>
      </w:r>
    </w:p>
    <w:p>
      <w:pPr>
        <w:pStyle w:val="Compact"/>
        <w:numPr>
          <w:ilvl w:val="0"/>
          <w:numId w:val="1038"/>
        </w:numPr>
      </w:pPr>
      <w:r>
        <w:rPr>
          <w:b/>
          <w:bCs/>
        </w:rPr>
        <w:t xml:space="preserve">Non dire mai che «gli studi confermano».</w:t>
      </w:r>
      <w:r>
        <w:t xml:space="preserve"> </w:t>
      </w:r>
      <w:r>
        <w:t xml:space="preserve">Sulla dispepsia funzionale, di studi di</w:t>
      </w:r>
      <w:r>
        <w:t xml:space="preserve"> </w:t>
      </w:r>
      <w:r>
        <w:rPr>
          <w:b/>
          <w:bCs/>
        </w:rPr>
        <w:t xml:space="preserve">osteopatia</w:t>
      </w:r>
      <w:r>
        <w:t xml:space="preserve"> </w:t>
      </w:r>
      <w:r>
        <w:t xml:space="preserve">non ce ne sono. Di terapia manuale sì: quattordici studi randomizzati e 1.128 pazienti di tuina, tutti contro terapia convenzionale, nessuno contro un simulato, a certezza bassa (Dai, 2023, PMID 35976600). Non è la stessa cosa di «funziona», e conviene dirlo tu prima che lo dica qualcun altro. Sugli strumenti attivi gli studi ci sono, e si citano per quello che dicono.</w:t>
      </w:r>
    </w:p>
    <w:p>
      <w:pPr>
        <w:pStyle w:val="FirstParagraph"/>
      </w:pPr>
      <w:r>
        <w:rPr>
          <w:b/>
          <w:bCs/>
        </w:rPr>
        <w:t xml:space="preserve">Le tre cose da ricordare, più una</w:t>
      </w:r>
    </w:p>
    <w:p>
      <w:pPr>
        <w:pStyle w:val="Compact"/>
        <w:numPr>
          <w:ilvl w:val="0"/>
          <w:numId w:val="1039"/>
        </w:numPr>
      </w:pPr>
      <w:r>
        <w:t xml:space="preserve">La metafora del sacco della spesa fa metà del lavoro della prima seduta. Usala prima di toccare, non dopo.</w:t>
      </w:r>
    </w:p>
    <w:p>
      <w:pPr>
        <w:pStyle w:val="Compact"/>
        <w:numPr>
          <w:ilvl w:val="0"/>
          <w:numId w:val="1039"/>
        </w:numPr>
      </w:pPr>
      <w:r>
        <w:t xml:space="preserve">La convivenza fra «ho qualcosa da trattare» e «il sintomo va comunque inquadrato» sta dentro lo script, non in fondo. È la cosa che il paziente deve sentire.</w:t>
      </w:r>
    </w:p>
    <w:p>
      <w:pPr>
        <w:pStyle w:val="Compact"/>
        <w:numPr>
          <w:ilvl w:val="0"/>
          <w:numId w:val="1039"/>
        </w:numPr>
      </w:pPr>
      <w:r>
        <w:t xml:space="preserve">I segnali che lo riportano indietro si consegnano a voce e si scrivono in cartella. Un paziente rassicurato e senza quella lista è un paziente a cui hai tolto il suo unico allarme.</w:t>
      </w:r>
    </w:p>
    <w:p>
      <w:pPr>
        <w:pStyle w:val="Compact"/>
        <w:numPr>
          <w:ilvl w:val="0"/>
          <w:numId w:val="1039"/>
        </w:numPr>
      </w:pPr>
      <w:r>
        <w:rPr>
          <w:b/>
          <w:bCs/>
        </w:rPr>
        <w:t xml:space="preserve">Perché ci sei tu.</w:t>
      </w:r>
      <w:r>
        <w:t xml:space="preserve"> </w:t>
      </w:r>
      <w:r>
        <w:t xml:space="preserve">Circa otto dispepsie su dieci non hanno una spiegazione strutturale (Ford, 2020, PMID 33049222).</w:t>
      </w:r>
      <w:r>
        <w:t xml:space="preserve"> </w:t>
      </w:r>
      <w:r>
        <w:rPr>
          <w:b/>
          <w:bCs/>
        </w:rPr>
        <w:t xml:space="preserve">Per te:</w:t>
      </w:r>
      <w:r>
        <w:t xml:space="preserve"> </w:t>
      </w:r>
      <w:r>
        <w:t xml:space="preserve">la maggioranza di chi ha questo disturbo non riceverà mai una diagnosi che spieghi qualcosa, e la spiegazione è la cosa che chiede per prima. Questo ti autorizza a spendere tempo sulla spiegazione, che è una parte misurata dell’effetto. Non ti autorizza a spiegare più di quello che questa Bibbia dice di sapere.</w:t>
      </w:r>
    </w:p>
    <w:p>
      <w:r>
        <w:pict>
          <v:rect style="width:0;height:1.5pt" o:hralign="center" o:hrstd="t" o:hr="t"/>
        </w:pict>
      </w:r>
    </w:p>
    <w:bookmarkEnd w:id="86"/>
    <w:bookmarkEnd w:id="87"/>
    <w:bookmarkStart w:id="88" w:name="capitolo-14-cosa-fare-adesso"/>
    <w:p>
      <w:pPr>
        <w:pStyle w:val="Heading2"/>
      </w:pPr>
      <w:r>
        <w:t xml:space="preserve">Capitolo 14 — Cosa fare adesso</w:t>
      </w:r>
    </w:p>
    <w:p>
      <w:pPr>
        <w:pStyle w:val="BlockText"/>
      </w:pPr>
      <w:r>
        <w:rPr>
          <w:b/>
          <w:bCs/>
        </w:rPr>
        <w:t xml:space="preserve">In una riga:</w:t>
      </w:r>
      <w:r>
        <w:t xml:space="preserve"> </w:t>
      </w:r>
      <w:r>
        <w:t xml:space="preserve">hai un paziente che nessuno ha misurato, un meccanismo che qualcuno ha misurato bene, e un metro da sarto.</w:t>
      </w:r>
    </w:p>
    <w:p>
      <w:pPr>
        <w:pStyle w:val="FirstParagraph"/>
      </w:pPr>
      <w:r>
        <w:t xml:space="preserve">Il paziente arriva con la dispensa dimezzata, gli esami negativi e la convinzione che il problema alla fine sia lui. Non lo è. Sotto quel racconto ci sono cinque guasti diversi, e uno solo è fatto di muscoli: un diaframma che scende quando dovrebbe salire e una parete che si molla quando dovrebbe tenere. Su quello, e solo su quello, due studi controllati con placebo dicono che si può correggere — e la correzione è un apprendimento più che un trattamento. Sugli altri quattro le mani hanno un bersaglio plausibile su due e nessuno su due. Prima di tutto viene il triage, che qui non protegge da una manovra: serve a non togliere sei settimane a chi non ce le ha. Il resto — il marker scelto prima, la soglia scritta prima — ti separa dal cassetto degli integratori.</w:t>
      </w:r>
    </w:p>
    <w:p>
      <w:pPr>
        <w:pStyle w:val="BodyText"/>
      </w:pPr>
      <w:r>
        <w:rPr>
          <w:b/>
          <w:bCs/>
        </w:rPr>
        <w:t xml:space="preserve">Le tre cose che cambi da lunedì</w:t>
      </w:r>
    </w:p>
    <w:p>
      <w:pPr>
        <w:pStyle w:val="Compact"/>
        <w:numPr>
          <w:ilvl w:val="0"/>
          <w:numId w:val="1040"/>
        </w:numPr>
      </w:pPr>
      <w:r>
        <w:rPr>
          <w:b/>
          <w:bCs/>
        </w:rPr>
        <w:t xml:space="preserve">Guarda quello che prima non guardavi:</w:t>
      </w:r>
      <w:r>
        <w:t xml:space="preserve"> </w:t>
      </w:r>
      <w:r>
        <w:t xml:space="preserve">misura la circonferenza addominale prima del pasto scatenante e novanta minuti dopo, e scrivi i due numeri in cartella. È la misura che separa il gonfiore percepito dalla distensione vera, e nessuno gliel’ha mai fatta.</w:t>
      </w:r>
    </w:p>
    <w:p>
      <w:pPr>
        <w:pStyle w:val="Compact"/>
        <w:numPr>
          <w:ilvl w:val="0"/>
          <w:numId w:val="1040"/>
        </w:numPr>
      </w:pPr>
      <w:r>
        <w:rPr>
          <w:b/>
          <w:bCs/>
        </w:rPr>
        <w:t xml:space="preserve">Di’ quello che prima non dicevi:</w:t>
      </w:r>
      <w:r>
        <w:t xml:space="preserve"> </w:t>
      </w:r>
      <w:r>
        <w:rPr>
          <w:i/>
          <w:iCs/>
        </w:rPr>
        <w:t xml:space="preserve">«io lavoro sulla componente meccanica che ho trovato, i sintomi digestivi vanno comunque inquadrati dal tuo medico, e nel frattempo io non aspetto.»</w:t>
      </w:r>
      <w:r>
        <w:t xml:space="preserve"> </w:t>
      </w:r>
      <w:r>
        <w:t xml:space="preserve">Le due cose convivono, e vanno dette come conviventi — dentro lo script, non in fondo.</w:t>
      </w:r>
    </w:p>
    <w:p>
      <w:pPr>
        <w:pStyle w:val="Compact"/>
        <w:numPr>
          <w:ilvl w:val="0"/>
          <w:numId w:val="1040"/>
        </w:numPr>
      </w:pPr>
      <w:r>
        <w:rPr>
          <w:b/>
          <w:bCs/>
        </w:rPr>
        <w:t xml:space="preserve">Smetti di dire che riequilibri il sistema nervoso autonomo.</w:t>
      </w:r>
      <w:r>
        <w:t xml:space="preserve"> </w:t>
      </w:r>
      <w:r>
        <w:t xml:space="preserve">Non perché quella via non porti da nessuna parte: stimolata elettricamente all’orecchio, su 300 pazienti con dispepsia funzionale, ha battuto il simulato (Shi, 2024, PMID 37787432). Il punto è che le</w:t>
      </w:r>
      <w:r>
        <w:t xml:space="preserve"> </w:t>
      </w:r>
      <w:r>
        <w:rPr>
          <w:b/>
          <w:bCs/>
        </w:rPr>
        <w:t xml:space="preserve">mani</w:t>
      </w:r>
      <w:r>
        <w:t xml:space="preserve"> </w:t>
      </w:r>
      <w:r>
        <w:t xml:space="preserve">su quella via non sono state misurate, e dove sono state cercate non sono state trovate. Al suo posto: dici cosa fai al contenitore, e lo misuri.</w:t>
      </w:r>
    </w:p>
    <w:p>
      <w:pPr>
        <w:pStyle w:val="FirstParagraph"/>
      </w:pPr>
      <w:r>
        <w:rPr>
          <w:b/>
          <w:bCs/>
        </w:rPr>
        <w:t xml:space="preserve">Quando sei autonomo su questo quadro.</w:t>
      </w:r>
      <w:r>
        <w:t xml:space="preserve"> </w:t>
      </w:r>
      <w:r>
        <w:t xml:space="preserve">Il gradino zero è la prova del Capitolo 0: chiudi il documento e di’ i cinque meccanismi. Sopra ci sono tre criteri, e valgono per i casi difficili. Distingui senza esitare «mi sento gonfio» da «mi si gonfia», e la sazietà precoce dalla pesantezza postprandiale. Riconosci i tre sottotipi su sei su cui puoi poco, e lo dici alla prima seduta e non alla terza. E davanti a un gastroenterologo dici i due numeri — cinque studi su 266 pazienti sulle terapie fisiche, quattordici studi di tuina senza simulato — invece di «gli studi confermano».</w:t>
      </w:r>
    </w:p>
    <w:p>
      <w:pPr>
        <w:pStyle w:val="BodyText"/>
      </w:pPr>
      <w:r>
        <w:rPr>
          <w:i/>
          <w:iCs/>
        </w:rPr>
        <w:t xml:space="preserve">Nessuno ha mai guardato la parete addominale di questo paziente, e non perché sia difficile: perché nel percorso che ha fatto non c’era nessuno il cui mestiere fosse guardarla. Il metro costa due euro e il gesto richiede novanta secondi.</w:t>
      </w:r>
    </w:p>
    <w:p>
      <w:pPr>
        <w:pStyle w:val="BodyText"/>
      </w:pPr>
      <w:r>
        <w:rPr>
          <w:b/>
          <w:bCs/>
        </w:rPr>
        <w:t xml:space="preserve">Le tre cose da ricordare, più una</w:t>
      </w:r>
    </w:p>
    <w:p>
      <w:pPr>
        <w:pStyle w:val="Compact"/>
        <w:numPr>
          <w:ilvl w:val="0"/>
          <w:numId w:val="1041"/>
        </w:numPr>
      </w:pPr>
      <w:r>
        <w:t xml:space="preserve">Il metro, prima e dopo il pasto, con i due numeri in cartella.</w:t>
      </w:r>
    </w:p>
    <w:p>
      <w:pPr>
        <w:pStyle w:val="Compact"/>
        <w:numPr>
          <w:ilvl w:val="0"/>
          <w:numId w:val="1041"/>
        </w:numPr>
      </w:pPr>
      <w:r>
        <w:t xml:space="preserve">La frase della convivenza, detta dentro lo script.</w:t>
      </w:r>
    </w:p>
    <w:p>
      <w:pPr>
        <w:pStyle w:val="Compact"/>
        <w:numPr>
          <w:ilvl w:val="0"/>
          <w:numId w:val="1041"/>
        </w:numPr>
      </w:pPr>
      <w:r>
        <w:t xml:space="preserve">Nessun claim sul sistema nervoso autonomo attribuito al tocco.</w:t>
      </w:r>
    </w:p>
    <w:p>
      <w:pPr>
        <w:pStyle w:val="Compact"/>
        <w:numPr>
          <w:ilvl w:val="0"/>
          <w:numId w:val="1041"/>
        </w:numPr>
      </w:pPr>
      <w:r>
        <w:rPr>
          <w:b/>
          <w:bCs/>
        </w:rPr>
        <w:t xml:space="preserve">Perché ci sei tu.</w:t>
      </w:r>
      <w:r>
        <w:t xml:space="preserve"> </w:t>
      </w:r>
      <w:r>
        <w:t xml:space="preserve">La pienezza dopo il pasto e il vomito grave sono i due sintomi con l’associazione più forte allo stomaco lento (Stanghellini, 1996, PMID 8612991).</w:t>
      </w:r>
      <w:r>
        <w:t xml:space="preserve"> </w:t>
      </w:r>
      <w:r>
        <w:rPr>
          <w:b/>
          <w:bCs/>
        </w:rPr>
        <w:t xml:space="preserve">Per te:</w:t>
      </w:r>
      <w:r>
        <w:t xml:space="preserve"> </w:t>
      </w:r>
      <w:r>
        <w:t xml:space="preserve">un sintomo che il paziente ti racconta in dieci secondi ti dice in quale sottotipo sei, e quindi quanto puoi promettere. Questo ti autorizza a orientare il ciclo con l’anamnesi. Non ti autorizza a chiamare quella presunzione una diagnosi.</w:t>
      </w:r>
    </w:p>
    <w:p>
      <w:r>
        <w:pict>
          <v:rect style="width:0;height:1.5pt" o:hralign="center" o:hrstd="t" o:hr="t"/>
        </w:pict>
      </w:r>
    </w:p>
    <w:bookmarkEnd w:id="88"/>
    <w:bookmarkStart w:id="89" w:name="appendice-a-glossario"/>
    <w:p>
      <w:pPr>
        <w:pStyle w:val="Heading2"/>
      </w:pPr>
      <w:r>
        <w:t xml:space="preserve">Appendice A — Glossario</w:t>
      </w:r>
    </w:p>
    <w:p>
      <w:pPr>
        <w:pStyle w:val="Compact"/>
        <w:numPr>
          <w:ilvl w:val="0"/>
          <w:numId w:val="1042"/>
        </w:numPr>
      </w:pPr>
      <w:r>
        <w:rPr>
          <w:b/>
          <w:bCs/>
        </w:rPr>
        <w:t xml:space="preserve">Accomodazione addominale</w:t>
      </w:r>
      <w:r>
        <w:t xml:space="preserve"> </w:t>
      </w:r>
      <w:r>
        <w:t xml:space="preserve">— la risposta normale della parete e del diaframma a un aumento di volume interno: la parete si contrae, il diaframma sale, e il volume si redistribuisce verso l’alto.</w:t>
      </w:r>
    </w:p>
    <w:p>
      <w:pPr>
        <w:pStyle w:val="Compact"/>
        <w:numPr>
          <w:ilvl w:val="0"/>
          <w:numId w:val="1042"/>
        </w:numPr>
      </w:pPr>
      <w:r>
        <w:rPr>
          <w:b/>
          <w:bCs/>
        </w:rPr>
        <w:t xml:space="preserve">Accomodazione gastrica</w:t>
      </w:r>
      <w:r>
        <w:t xml:space="preserve"> </w:t>
      </w:r>
      <w:r>
        <w:t xml:space="preserve">— il rilasciamento attivo del fondo dello stomaco all’arrivo del pasto, che fa aumentare il volume senza far salire la pressione.</w:t>
      </w:r>
    </w:p>
    <w:p>
      <w:pPr>
        <w:pStyle w:val="Compact"/>
        <w:numPr>
          <w:ilvl w:val="0"/>
          <w:numId w:val="1042"/>
        </w:numPr>
      </w:pPr>
      <w:r>
        <w:rPr>
          <w:b/>
          <w:bCs/>
        </w:rPr>
        <w:t xml:space="preserve">Afferenza</w:t>
      </w:r>
      <w:r>
        <w:t xml:space="preserve"> </w:t>
      </w:r>
      <w:r>
        <w:t xml:space="preserve">— fibra nervosa che porta informazione dalla periferia al sistema nervoso centrale. L’</w:t>
      </w:r>
      <w:r>
        <w:rPr>
          <w:b/>
          <w:bCs/>
        </w:rPr>
        <w:t xml:space="preserve">efferenza</w:t>
      </w:r>
      <w:r>
        <w:t xml:space="preserve"> </w:t>
      </w:r>
      <w:r>
        <w:t xml:space="preserve">fa il contrario: porta il comando dal centro alla periferia.</w:t>
      </w:r>
    </w:p>
    <w:p>
      <w:pPr>
        <w:pStyle w:val="Compact"/>
        <w:numPr>
          <w:ilvl w:val="0"/>
          <w:numId w:val="1042"/>
        </w:numPr>
      </w:pPr>
      <w:r>
        <w:rPr>
          <w:b/>
          <w:bCs/>
        </w:rPr>
        <w:t xml:space="preserve">Barostato gastrico</w:t>
      </w:r>
      <w:r>
        <w:t xml:space="preserve"> </w:t>
      </w:r>
      <w:r>
        <w:t xml:space="preserve">— strumento sperimentale che misura volume e pressione dentro lo stomaco; è con questo che accomodazione e soglia percettiva sono state misurate.</w:t>
      </w:r>
    </w:p>
    <w:p>
      <w:pPr>
        <w:pStyle w:val="Compact"/>
        <w:numPr>
          <w:ilvl w:val="0"/>
          <w:numId w:val="1042"/>
        </w:numPr>
      </w:pPr>
      <w:r>
        <w:rPr>
          <w:b/>
          <w:bCs/>
        </w:rPr>
        <w:t xml:space="preserve">Camera di Ussing</w:t>
      </w:r>
      <w:r>
        <w:t xml:space="preserve"> </w:t>
      </w:r>
      <w:r>
        <w:t xml:space="preserve">— apparecchio da laboratorio in cui si monta un frammento di mucosa per misurarne la tenuta e il passaggio delle sostanze; è con questo che la barriera duodenale è stata misurata.</w:t>
      </w:r>
    </w:p>
    <w:p>
      <w:pPr>
        <w:pStyle w:val="Compact"/>
        <w:numPr>
          <w:ilvl w:val="0"/>
          <w:numId w:val="1042"/>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42"/>
        </w:numPr>
      </w:pPr>
      <w:r>
        <w:rPr>
          <w:b/>
          <w:bCs/>
        </w:rPr>
        <w:t xml:space="preserve">Colecistochinina</w:t>
      </w:r>
      <w:r>
        <w:t xml:space="preserve"> </w:t>
      </w:r>
      <w:r>
        <w:t xml:space="preserve">— ormone rilasciato dal duodeno in risposta ai grassi; rallenta lo stomaco a monte.</w:t>
      </w:r>
    </w:p>
    <w:p>
      <w:pPr>
        <w:pStyle w:val="Compact"/>
        <w:numPr>
          <w:ilvl w:val="0"/>
          <w:numId w:val="1042"/>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2"/>
        </w:numPr>
      </w:pPr>
      <w:r>
        <w:rPr>
          <w:b/>
          <w:bCs/>
        </w:rPr>
        <w:t xml:space="preserve">Crossover (studio)</w:t>
      </w:r>
      <w:r>
        <w:t xml:space="preserve"> </w:t>
      </w:r>
      <w:r>
        <w:t xml:space="preserve">— studio in cui ogni paziente riceve entrambi i trattamenti, uno dopo l’altro, e fa da controllo a se stesso.</w:t>
      </w:r>
    </w:p>
    <w:p>
      <w:pPr>
        <w:pStyle w:val="Compact"/>
        <w:numPr>
          <w:ilvl w:val="0"/>
          <w:numId w:val="1042"/>
        </w:numPr>
      </w:pPr>
      <w:r>
        <w:rPr>
          <w:b/>
          <w:bCs/>
        </w:rPr>
        <w:t xml:space="preserve">DIMOSTRATO</w:t>
      </w:r>
      <w:r>
        <w:t xml:space="preserve"> </w:t>
      </w:r>
      <w:r>
        <w:t xml:space="preserve">— etichetta di solidità: studi sull’uomo, solidi.</w:t>
      </w:r>
    </w:p>
    <w:p>
      <w:pPr>
        <w:pStyle w:val="Compact"/>
        <w:numPr>
          <w:ilvl w:val="0"/>
          <w:numId w:val="1042"/>
        </w:numPr>
      </w:pPr>
      <w:r>
        <w:rPr>
          <w:b/>
          <w:bCs/>
        </w:rPr>
        <w:t xml:space="preserve">Dimensione dell’effetto (g di Hedges)</w:t>
      </w:r>
      <w:r>
        <w:t xml:space="preserve"> </w:t>
      </w:r>
      <w:r>
        <w:t xml:space="preserve">— quanto è grande una differenza, misurata in deviazioni standard. Intorno a 0,2 è piccola, a 0,5 media, oltre 0,8 grande. Se l’intervallo di confidenza tocca lo zero, la differenza può anche non esserci.</w:t>
      </w:r>
    </w:p>
    <w:p>
      <w:pPr>
        <w:pStyle w:val="Compact"/>
        <w:numPr>
          <w:ilvl w:val="0"/>
          <w:numId w:val="1042"/>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Compact"/>
        <w:numPr>
          <w:ilvl w:val="0"/>
          <w:numId w:val="1042"/>
        </w:numPr>
      </w:pPr>
      <w:r>
        <w:rPr>
          <w:b/>
          <w:bCs/>
        </w:rPr>
        <w:t xml:space="preserve">Dispepsia funzionale</w:t>
      </w:r>
      <w:r>
        <w:t xml:space="preserve"> </w:t>
      </w:r>
      <w:r>
        <w:t xml:space="preserve">— sintomi della regione gastroduodenale che durano da mesi senza una causa strutturale che li spieghi.</w:t>
      </w:r>
    </w:p>
    <w:p>
      <w:pPr>
        <w:pStyle w:val="Compact"/>
        <w:numPr>
          <w:ilvl w:val="0"/>
          <w:numId w:val="1042"/>
        </w:numPr>
      </w:pPr>
      <w:r>
        <w:rPr>
          <w:b/>
          <w:bCs/>
        </w:rPr>
        <w:t xml:space="preserve">Dissinergia addomino-frenica</w:t>
      </w:r>
      <w:r>
        <w:t xml:space="preserve"> </w:t>
      </w:r>
      <w:r>
        <w:t xml:space="preserve">— il diaframma che si contrae e scende mentre la parete addominale si rilascia, durante un episodio di distensione. È un riflesso viscerosomatico paradosso.</w:t>
      </w:r>
    </w:p>
    <w:p>
      <w:pPr>
        <w:pStyle w:val="Compact"/>
        <w:numPr>
          <w:ilvl w:val="0"/>
          <w:numId w:val="1042"/>
        </w:numPr>
      </w:pPr>
      <w:r>
        <w:rPr>
          <w:b/>
          <w:bCs/>
        </w:rPr>
        <w:t xml:space="preserve">Distensione addominale</w:t>
      </w:r>
      <w:r>
        <w:t xml:space="preserve"> </w:t>
      </w:r>
      <w:r>
        <w:t xml:space="preserve">— aumento misurabile della circonferenza dell’addome. Diversa dal gonfiore.</w:t>
      </w:r>
    </w:p>
    <w:p>
      <w:pPr>
        <w:pStyle w:val="Compact"/>
        <w:numPr>
          <w:ilvl w:val="0"/>
          <w:numId w:val="1042"/>
        </w:numPr>
      </w:pPr>
      <w:r>
        <w:rPr>
          <w:b/>
          <w:bCs/>
        </w:rPr>
        <w:t xml:space="preserve">DPR 131/2021</w:t>
      </w:r>
      <w:r>
        <w:t xml:space="preserve"> </w:t>
      </w:r>
      <w:r>
        <w:t xml:space="preserve">— il decreto che definisce il profilo professionale dell’osteopata e l’ambito della sua attività.</w:t>
      </w:r>
    </w:p>
    <w:p>
      <w:pPr>
        <w:pStyle w:val="Compact"/>
        <w:numPr>
          <w:ilvl w:val="0"/>
          <w:numId w:val="1042"/>
        </w:numPr>
      </w:pPr>
      <w:r>
        <w:rPr>
          <w:b/>
          <w:bCs/>
        </w:rPr>
        <w:t xml:space="preserve">Eruttazione sovragastrica</w:t>
      </w:r>
      <w:r>
        <w:t xml:space="preserve"> </w:t>
      </w:r>
      <w:r>
        <w:t xml:space="preserve">— aria che entra in esofago e ne riesce subito senza mai arrivare allo stomaco, in raffiche che non danno sollievo.</w:t>
      </w:r>
    </w:p>
    <w:p>
      <w:pPr>
        <w:pStyle w:val="Compact"/>
        <w:numPr>
          <w:ilvl w:val="0"/>
          <w:numId w:val="1042"/>
        </w:numPr>
      </w:pPr>
      <w:r>
        <w:rPr>
          <w:b/>
          <w:bCs/>
        </w:rPr>
        <w:t xml:space="preserve">Frenico (nervo)</w:t>
      </w:r>
      <w:r>
        <w:t xml:space="preserve"> </w:t>
      </w:r>
      <w:r>
        <w:t xml:space="preserve">— nervo che nasce da C3-C5 e innerva il diaframma; è una via diaframmatica, non gastrica.</w:t>
      </w:r>
    </w:p>
    <w:p>
      <w:pPr>
        <w:pStyle w:val="Compact"/>
        <w:numPr>
          <w:ilvl w:val="0"/>
          <w:numId w:val="1042"/>
        </w:numPr>
      </w:pPr>
      <w:r>
        <w:rPr>
          <w:b/>
          <w:bCs/>
        </w:rPr>
        <w:t xml:space="preserve">Gastroparesi</w:t>
      </w:r>
      <w:r>
        <w:t xml:space="preserve"> </w:t>
      </w:r>
      <w:r>
        <w:t xml:space="preserve">— sintomi digestivi con svuotamento gastrico rallentato documentato, in assenza di ostruzione meccanica. È una diagnosi medica e richiede un test che l’osteopata non ha.</w:t>
      </w:r>
    </w:p>
    <w:p>
      <w:pPr>
        <w:pStyle w:val="Compact"/>
        <w:numPr>
          <w:ilvl w:val="0"/>
          <w:numId w:val="1042"/>
        </w:numPr>
      </w:pPr>
      <w:r>
        <w:rPr>
          <w:b/>
          <w:bCs/>
        </w:rPr>
        <w:t xml:space="preserve">Gonfiore</w:t>
      </w:r>
      <w:r>
        <w:t xml:space="preserve"> </w:t>
      </w:r>
      <w:r>
        <w:t xml:space="preserve">— la sensazione soggettiva di essere gonfio, con o senza aumento della circonferenza.</w:t>
      </w:r>
    </w:p>
    <w:p>
      <w:pPr>
        <w:pStyle w:val="Compact"/>
        <w:numPr>
          <w:ilvl w:val="0"/>
          <w:numId w:val="1042"/>
        </w:numPr>
      </w:pPr>
      <w:r>
        <w:rPr>
          <w:b/>
          <w:bCs/>
        </w:rPr>
        <w:t xml:space="preserve">IPOTESI</w:t>
      </w:r>
      <w:r>
        <w:t xml:space="preserve"> </w:t>
      </w:r>
      <w:r>
        <w:t xml:space="preserve">— etichetta di solidità: meccanismo coerente, nessuno studio.</w:t>
      </w:r>
    </w:p>
    <w:p>
      <w:pPr>
        <w:pStyle w:val="Compact"/>
        <w:numPr>
          <w:ilvl w:val="0"/>
          <w:numId w:val="1042"/>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2"/>
        </w:numPr>
      </w:pPr>
      <w:r>
        <w:rPr>
          <w:b/>
          <w:bCs/>
        </w:rPr>
        <w:t xml:space="preserve">Nociplastico</w:t>
      </w:r>
      <w:r>
        <w:t xml:space="preserve"> </w:t>
      </w:r>
      <w:r>
        <w:t xml:space="preserve">— dolore che nasce da una alterazione del modo in cui il sistema nervoso elabora il segnale, senza lesione dei tessuti e senza lesione del nervo.</w:t>
      </w:r>
    </w:p>
    <w:p>
      <w:pPr>
        <w:pStyle w:val="Compact"/>
        <w:numPr>
          <w:ilvl w:val="0"/>
          <w:numId w:val="1042"/>
        </w:numPr>
      </w:pPr>
      <w:r>
        <w:rPr>
          <w:b/>
          <w:bCs/>
        </w:rPr>
        <w:t xml:space="preserve">Numero necessario da trattare</w:t>
      </w:r>
      <w:r>
        <w:t xml:space="preserve"> </w:t>
      </w:r>
      <w:r>
        <w:t xml:space="preserve">— quante persone bisogna trattare perché una in più migliori rispetto al confronto. Più il numero è alto, più il vantaggio del trattamento sul confronto è piccolo.</w:t>
      </w:r>
    </w:p>
    <w:p>
      <w:pPr>
        <w:pStyle w:val="Compact"/>
        <w:numPr>
          <w:ilvl w:val="0"/>
          <w:numId w:val="1042"/>
        </w:numPr>
      </w:pPr>
      <w:r>
        <w:rPr>
          <w:b/>
          <w:bCs/>
        </w:rPr>
        <w:t xml:space="preserve">Pletismografia</w:t>
      </w:r>
      <w:r>
        <w:t xml:space="preserve"> </w:t>
      </w:r>
      <w:r>
        <w:t xml:space="preserve">— misura della variazione di volume di un segmento del corpo; negli studi citati registra il movimento della parete toraco-addominale.</w:t>
      </w:r>
    </w:p>
    <w:p>
      <w:pPr>
        <w:pStyle w:val="Compact"/>
        <w:numPr>
          <w:ilvl w:val="0"/>
          <w:numId w:val="1042"/>
        </w:numPr>
      </w:pPr>
      <w:r>
        <w:rPr>
          <w:b/>
          <w:bCs/>
        </w:rPr>
        <w:t xml:space="preserve">PROBABILE</w:t>
      </w:r>
      <w:r>
        <w:t xml:space="preserve"> </w:t>
      </w:r>
      <w:r>
        <w:t xml:space="preserve">— etichetta di solidità: razionale forte, prove parziali.</w:t>
      </w:r>
    </w:p>
    <w:p>
      <w:pPr>
        <w:pStyle w:val="Compact"/>
        <w:numPr>
          <w:ilvl w:val="0"/>
          <w:numId w:val="1042"/>
        </w:numPr>
      </w:pPr>
      <w:r>
        <w:rPr>
          <w:b/>
          <w:bCs/>
        </w:rPr>
        <w:t xml:space="preserve">RAGIONAMENTO</w:t>
      </w:r>
      <w:r>
        <w:t xml:space="preserve"> </w:t>
      </w:r>
      <w:r>
        <w:t xml:space="preserve">— etichetta di solidità: cornice clinica, non una prova.</w:t>
      </w:r>
    </w:p>
    <w:p>
      <w:pPr>
        <w:pStyle w:val="Compact"/>
        <w:numPr>
          <w:ilvl w:val="0"/>
          <w:numId w:val="1042"/>
        </w:numPr>
      </w:pPr>
      <w:r>
        <w:rPr>
          <w:b/>
          <w:bCs/>
        </w:rPr>
        <w:t xml:space="preserve">Rapporto di probabilità (odds ratio)</w:t>
      </w:r>
      <w:r>
        <w:t xml:space="preserve"> </w:t>
      </w:r>
      <w:r>
        <w:t xml:space="preserve">— di quante volte una cosa è più probabile in un gruppo rispetto a un altro. 1 significa nessuna differenza; 3,78 significa quasi quattro volte più probabile; 0,4 significa meno della metà.</w:t>
      </w:r>
    </w:p>
    <w:p>
      <w:pPr>
        <w:pStyle w:val="Compact"/>
        <w:numPr>
          <w:ilvl w:val="0"/>
          <w:numId w:val="1042"/>
        </w:numPr>
      </w:pPr>
      <w:r>
        <w:rPr>
          <w:b/>
          <w:bCs/>
        </w:rPr>
        <w:t xml:space="preserve">Rapporto di rischio (hazard ratio)</w:t>
      </w:r>
      <w:r>
        <w:t xml:space="preserve"> </w:t>
      </w:r>
      <w:r>
        <w:t xml:space="preserve">— lo stesso confronto, ma sul rischio che una cosa accada nel tempo.</w:t>
      </w:r>
    </w:p>
    <w:p>
      <w:pPr>
        <w:pStyle w:val="Compact"/>
        <w:numPr>
          <w:ilvl w:val="0"/>
          <w:numId w:val="1042"/>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2"/>
        </w:numPr>
      </w:pPr>
      <w:r>
        <w:rPr>
          <w:b/>
          <w:bCs/>
        </w:rPr>
        <w:t xml:space="preserve">Resistenza elettrica transepiteliale</w:t>
      </w:r>
      <w:r>
        <w:t xml:space="preserve"> </w:t>
      </w:r>
      <w:r>
        <w:t xml:space="preserve">— misura di quanto un epitelio è a tenuta: più è bassa, più passa fra una cellula e l’altra.</w:t>
      </w:r>
    </w:p>
    <w:p>
      <w:pPr>
        <w:pStyle w:val="Compact"/>
        <w:numPr>
          <w:ilvl w:val="0"/>
          <w:numId w:val="1042"/>
        </w:numPr>
      </w:pPr>
      <w:r>
        <w:rPr>
          <w:b/>
          <w:bCs/>
        </w:rPr>
        <w:t xml:space="preserve">Roma IV</w:t>
      </w:r>
      <w:r>
        <w:t xml:space="preserve"> </w:t>
      </w:r>
      <w:r>
        <w:t xml:space="preserve">— i criteri internazionali che definiscono i disturbi dell’interazione intestino-cervello.</w:t>
      </w:r>
    </w:p>
    <w:p>
      <w:pPr>
        <w:pStyle w:val="Compact"/>
        <w:numPr>
          <w:ilvl w:val="0"/>
          <w:numId w:val="1042"/>
        </w:numPr>
      </w:pPr>
      <w:r>
        <w:rPr>
          <w:b/>
          <w:bCs/>
        </w:rPr>
        <w:t xml:space="preserve">Ruminazione</w:t>
      </w:r>
      <w:r>
        <w:t xml:space="preserve"> </w:t>
      </w:r>
      <w:r>
        <w:t xml:space="preserve">— risalita senza sforzo del boccone appena ingerito, senza sapore acido, nella mezz’ora dopo il pasto.</w:t>
      </w:r>
    </w:p>
    <w:p>
      <w:pPr>
        <w:pStyle w:val="Compact"/>
        <w:numPr>
          <w:ilvl w:val="0"/>
          <w:numId w:val="1042"/>
        </w:numPr>
      </w:pPr>
      <w:r>
        <w:rPr>
          <w:b/>
          <w:bCs/>
        </w:rPr>
        <w:t xml:space="preserve">Sindrome da distress postprandiale</w:t>
      </w:r>
      <w:r>
        <w:t xml:space="preserve"> </w:t>
      </w:r>
      <w:r>
        <w:t xml:space="preserve">— il sottotipo di dispepsia funzionale legato al pasto: pienezza e sazietà precoce.</w:t>
      </w:r>
    </w:p>
    <w:p>
      <w:pPr>
        <w:pStyle w:val="Compact"/>
        <w:numPr>
          <w:ilvl w:val="0"/>
          <w:numId w:val="1042"/>
        </w:numPr>
      </w:pPr>
      <w:r>
        <w:rPr>
          <w:b/>
          <w:bCs/>
        </w:rPr>
        <w:t xml:space="preserve">Sindrome del dolore epigastrico</w:t>
      </w:r>
      <w:r>
        <w:t xml:space="preserve"> </w:t>
      </w:r>
      <w:r>
        <w:t xml:space="preserve">— il sottotipo di dispepsia funzionale con dolore o bruciore alla bocca dello stomaco.</w:t>
      </w:r>
    </w:p>
    <w:p>
      <w:pPr>
        <w:pStyle w:val="Compact"/>
        <w:numPr>
          <w:ilvl w:val="0"/>
          <w:numId w:val="1042"/>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2"/>
        </w:numPr>
      </w:pPr>
      <w:r>
        <w:rPr>
          <w:b/>
          <w:bCs/>
        </w:rPr>
        <w:t xml:space="preserve">Splancnico (grande nervo)</w:t>
      </w:r>
      <w:r>
        <w:t xml:space="preserve"> </w:t>
      </w:r>
      <w:r>
        <w:t xml:space="preserve">— la via che porta le afferenze spinali di stomaco ed esofago distale ai segmenti T5-T9. È la strada del dolore viscerale.</w:t>
      </w:r>
    </w:p>
    <w:p>
      <w:pPr>
        <w:pStyle w:val="Compact"/>
        <w:numPr>
          <w:ilvl w:val="0"/>
          <w:numId w:val="1042"/>
        </w:numPr>
      </w:pPr>
      <w:r>
        <w:rPr>
          <w:b/>
          <w:bCs/>
        </w:rPr>
        <w:t xml:space="preserve">Svuotamento gastrico</w:t>
      </w:r>
      <w:r>
        <w:t xml:space="preserve"> </w:t>
      </w:r>
      <w:r>
        <w:t xml:space="preserve">— la velocità con cui lo stomaco passa il suo contenuto al duodeno.</w:t>
      </w:r>
    </w:p>
    <w:p>
      <w:pPr>
        <w:pStyle w:val="Compact"/>
        <w:numPr>
          <w:ilvl w:val="0"/>
          <w:numId w:val="1042"/>
        </w:numPr>
      </w:pPr>
      <w:r>
        <w:rPr>
          <w:b/>
          <w:bCs/>
        </w:rPr>
        <w:t xml:space="preserve">Variabilità della frequenza cardiaca</w:t>
      </w:r>
      <w:r>
        <w:t xml:space="preserve"> </w:t>
      </w:r>
      <w:r>
        <w:t xml:space="preserve">— la variazione degli intervalli fra un battito e l’altro; alcuni suoi indici riflettono l’attività vagale</w:t>
      </w:r>
      <w:r>
        <w:t xml:space="preserve"> </w:t>
      </w:r>
      <w:r>
        <w:rPr>
          <w:b/>
          <w:bCs/>
        </w:rPr>
        <w:t xml:space="preserve">sul cuore</w:t>
      </w:r>
      <w:r>
        <w:t xml:space="preserve">, non sullo stomaco.</w:t>
      </w:r>
    </w:p>
    <w:p>
      <w:r>
        <w:pict>
          <v:rect style="width:0;height:1.5pt" o:hralign="center" o:hrstd="t" o:hr="t"/>
        </w:pict>
      </w:r>
    </w:p>
    <w:bookmarkEnd w:id="89"/>
    <w:bookmarkStart w:id="151" w:name="appendice-b-le-fonti"/>
    <w:p>
      <w:pPr>
        <w:pStyle w:val="Heading2"/>
      </w:pPr>
      <w:r>
        <w:t xml:space="preserve">Appendice B — Le fonti</w:t>
      </w:r>
    </w:p>
    <w:p>
      <w:pPr>
        <w:pStyle w:val="Compact"/>
        <w:numPr>
          <w:ilvl w:val="0"/>
          <w:numId w:val="1043"/>
        </w:numPr>
      </w:pPr>
      <w:r>
        <w:t xml:space="preserve">Barba E et al. Thoracoabdominal Wall Motion-Guided Biofeedback Treatment of Abdominal Distention: A Randomized Placebo-Controlled Trial.</w:t>
      </w:r>
      <w:r>
        <w:t xml:space="preserve"> </w:t>
      </w:r>
      <w:r>
        <w:rPr>
          <w:i/>
          <w:iCs/>
        </w:rPr>
        <w:t xml:space="preserve">Gastroenterology</w:t>
      </w:r>
      <w:r>
        <w:t xml:space="preserve"> </w:t>
      </w:r>
      <w:r>
        <w:t xml:space="preserve">2024;167(3):538-546.</w:t>
      </w:r>
      <w:r>
        <w:t xml:space="preserve"> </w:t>
      </w:r>
      <w:hyperlink r:id="rId90">
        <w:r>
          <w:rPr>
            <w:rStyle w:val="Hyperlink"/>
          </w:rPr>
          <w:t xml:space="preserve">PMID 38467383</w:t>
        </w:r>
      </w:hyperlink>
    </w:p>
    <w:p>
      <w:pPr>
        <w:pStyle w:val="Compact"/>
        <w:numPr>
          <w:ilvl w:val="0"/>
          <w:numId w:val="1043"/>
        </w:numPr>
      </w:pPr>
      <w:r>
        <w:t xml:space="preserve">Barba E et al. Correction of Abdominal Distention by Biofeedback-Guided Control of Abdominothoracic Muscular Activity in a Randomized, Placebo-Controlled Trial.</w:t>
      </w:r>
      <w:r>
        <w:t xml:space="preserve"> </w:t>
      </w:r>
      <w:r>
        <w:rPr>
          <w:i/>
          <w:iCs/>
        </w:rPr>
        <w:t xml:space="preserve">Clin Gastroenterol Hepatol</w:t>
      </w:r>
      <w:r>
        <w:t xml:space="preserve"> </w:t>
      </w:r>
      <w:r>
        <w:t xml:space="preserve">2017;15(12):1922-1929.</w:t>
      </w:r>
      <w:r>
        <w:t xml:space="preserve"> </w:t>
      </w:r>
      <w:hyperlink r:id="rId91">
        <w:r>
          <w:rPr>
            <w:rStyle w:val="Hyperlink"/>
          </w:rPr>
          <w:t xml:space="preserve">PMID 28705783</w:t>
        </w:r>
      </w:hyperlink>
    </w:p>
    <w:p>
      <w:pPr>
        <w:pStyle w:val="Compact"/>
        <w:numPr>
          <w:ilvl w:val="0"/>
          <w:numId w:val="1043"/>
        </w:numPr>
      </w:pPr>
      <w:r>
        <w:t xml:space="preserve">Barba E et al. Abdominothoracic mechanisms of functional abdominal distension and correction by biofeedback.</w:t>
      </w:r>
      <w:r>
        <w:t xml:space="preserve"> </w:t>
      </w:r>
      <w:r>
        <w:rPr>
          <w:i/>
          <w:iCs/>
        </w:rPr>
        <w:t xml:space="preserve">Gastroenterology</w:t>
      </w:r>
      <w:r>
        <w:t xml:space="preserve"> </w:t>
      </w:r>
      <w:r>
        <w:t xml:space="preserve">2015;148(4):732-9.</w:t>
      </w:r>
      <w:r>
        <w:t xml:space="preserve"> </w:t>
      </w:r>
      <w:hyperlink r:id="rId92">
        <w:r>
          <w:rPr>
            <w:rStyle w:val="Hyperlink"/>
          </w:rPr>
          <w:t xml:space="preserve">PMID 25500424</w:t>
        </w:r>
      </w:hyperlink>
    </w:p>
    <w:p>
      <w:pPr>
        <w:pStyle w:val="Compact"/>
        <w:numPr>
          <w:ilvl w:val="0"/>
          <w:numId w:val="1043"/>
        </w:numPr>
      </w:pPr>
      <w:r>
        <w:t xml:space="preserve">Damianos JA et al. Abdominophrenic Dyssynergia: A Narrative Review.</w:t>
      </w:r>
      <w:r>
        <w:t xml:space="preserve"> </w:t>
      </w:r>
      <w:r>
        <w:rPr>
          <w:i/>
          <w:iCs/>
        </w:rPr>
        <w:t xml:space="preserve">Am J Gastroenterol</w:t>
      </w:r>
      <w:r>
        <w:t xml:space="preserve"> </w:t>
      </w:r>
      <w:r>
        <w:t xml:space="preserve">2023;118(1):41-45.</w:t>
      </w:r>
      <w:r>
        <w:t xml:space="preserve"> </w:t>
      </w:r>
      <w:hyperlink r:id="rId93">
        <w:r>
          <w:rPr>
            <w:rStyle w:val="Hyperlink"/>
          </w:rPr>
          <w:t xml:space="preserve">PMID 36191283</w:t>
        </w:r>
      </w:hyperlink>
    </w:p>
    <w:p>
      <w:pPr>
        <w:pStyle w:val="Compact"/>
        <w:numPr>
          <w:ilvl w:val="0"/>
          <w:numId w:val="1043"/>
        </w:numPr>
      </w:pPr>
      <w:r>
        <w:t xml:space="preserve">Tack J et al. Role of impaired gastric accommodation to a meal in functional dyspepsia.</w:t>
      </w:r>
      <w:r>
        <w:t xml:space="preserve"> </w:t>
      </w:r>
      <w:r>
        <w:rPr>
          <w:i/>
          <w:iCs/>
        </w:rPr>
        <w:t xml:space="preserve">Gastroenterology</w:t>
      </w:r>
      <w:r>
        <w:t xml:space="preserve"> </w:t>
      </w:r>
      <w:r>
        <w:t xml:space="preserve">1998;115(6):1346-52.</w:t>
      </w:r>
      <w:r>
        <w:t xml:space="preserve"> </w:t>
      </w:r>
      <w:hyperlink r:id="rId94">
        <w:r>
          <w:rPr>
            <w:rStyle w:val="Hyperlink"/>
          </w:rPr>
          <w:t xml:space="preserve">PMID 9834261</w:t>
        </w:r>
      </w:hyperlink>
    </w:p>
    <w:p>
      <w:pPr>
        <w:pStyle w:val="Compact"/>
        <w:numPr>
          <w:ilvl w:val="0"/>
          <w:numId w:val="1043"/>
        </w:numPr>
      </w:pPr>
      <w:r>
        <w:t xml:space="preserve">Tack J et al. Symptoms associated with hypersensitivity to gastric distention in functional dyspepsia.</w:t>
      </w:r>
      <w:r>
        <w:t xml:space="preserve"> </w:t>
      </w:r>
      <w:r>
        <w:rPr>
          <w:i/>
          <w:iCs/>
        </w:rPr>
        <w:t xml:space="preserve">Gastroenterology</w:t>
      </w:r>
      <w:r>
        <w:t xml:space="preserve"> </w:t>
      </w:r>
      <w:r>
        <w:t xml:space="preserve">2001;121(3):526-35.</w:t>
      </w:r>
      <w:r>
        <w:t xml:space="preserve"> </w:t>
      </w:r>
      <w:hyperlink r:id="rId95">
        <w:r>
          <w:rPr>
            <w:rStyle w:val="Hyperlink"/>
          </w:rPr>
          <w:t xml:space="preserve">PMID 11522735</w:t>
        </w:r>
      </w:hyperlink>
    </w:p>
    <w:p>
      <w:pPr>
        <w:pStyle w:val="Compact"/>
        <w:numPr>
          <w:ilvl w:val="0"/>
          <w:numId w:val="1043"/>
        </w:numPr>
      </w:pPr>
      <w:r>
        <w:t xml:space="preserve">Stanghellini V et al. Risk indicators of delayed gastric emptying of solids in patients with functional dyspepsia.</w:t>
      </w:r>
      <w:r>
        <w:t xml:space="preserve"> </w:t>
      </w:r>
      <w:r>
        <w:rPr>
          <w:i/>
          <w:iCs/>
        </w:rPr>
        <w:t xml:space="preserve">Gastroenterology</w:t>
      </w:r>
      <w:r>
        <w:t xml:space="preserve"> </w:t>
      </w:r>
      <w:r>
        <w:t xml:space="preserve">1996;110(4):1036-42.</w:t>
      </w:r>
      <w:r>
        <w:t xml:space="preserve"> </w:t>
      </w:r>
      <w:hyperlink r:id="rId96">
        <w:r>
          <w:rPr>
            <w:rStyle w:val="Hyperlink"/>
          </w:rPr>
          <w:t xml:space="preserve">PMID 8612991</w:t>
        </w:r>
      </w:hyperlink>
    </w:p>
    <w:p>
      <w:pPr>
        <w:pStyle w:val="Compact"/>
        <w:numPr>
          <w:ilvl w:val="0"/>
          <w:numId w:val="1043"/>
        </w:numPr>
      </w:pPr>
      <w:r>
        <w:t xml:space="preserve">Stanghellini V et al. Gastroduodenal Disorders.</w:t>
      </w:r>
      <w:r>
        <w:t xml:space="preserve"> </w:t>
      </w:r>
      <w:r>
        <w:rPr>
          <w:i/>
          <w:iCs/>
        </w:rPr>
        <w:t xml:space="preserve">Gastroenterology</w:t>
      </w:r>
      <w:r>
        <w:t xml:space="preserve"> </w:t>
      </w:r>
      <w:r>
        <w:t xml:space="preserve">2016;150(6):1380-92.</w:t>
      </w:r>
      <w:r>
        <w:t xml:space="preserve"> </w:t>
      </w:r>
      <w:hyperlink r:id="rId97">
        <w:r>
          <w:rPr>
            <w:rStyle w:val="Hyperlink"/>
          </w:rPr>
          <w:t xml:space="preserve">PMID 27147122</w:t>
        </w:r>
      </w:hyperlink>
    </w:p>
    <w:p>
      <w:pPr>
        <w:pStyle w:val="Compact"/>
        <w:numPr>
          <w:ilvl w:val="0"/>
          <w:numId w:val="1043"/>
        </w:numPr>
      </w:pPr>
      <w:r>
        <w:t xml:space="preserve">Lee K et al. Ö, et al. Global prevalence of functional dyspepsia according to Rome criteria, 1990-2020: a systematic review and meta-analysis.</w:t>
      </w:r>
      <w:r>
        <w:t xml:space="preserve"> </w:t>
      </w:r>
      <w:r>
        <w:rPr>
          <w:i/>
          <w:iCs/>
        </w:rPr>
        <w:t xml:space="preserve">Sci Rep</w:t>
      </w:r>
      <w:r>
        <w:t xml:space="preserve"> </w:t>
      </w:r>
      <w:r>
        <w:t xml:space="preserve">2024;14(1):4172.</w:t>
      </w:r>
      <w:r>
        <w:t xml:space="preserve"> </w:t>
      </w:r>
      <w:hyperlink r:id="rId98">
        <w:r>
          <w:rPr>
            <w:rStyle w:val="Hyperlink"/>
          </w:rPr>
          <w:t xml:space="preserve">PMID 38378941</w:t>
        </w:r>
      </w:hyperlink>
    </w:p>
    <w:p>
      <w:pPr>
        <w:pStyle w:val="Compact"/>
        <w:numPr>
          <w:ilvl w:val="0"/>
          <w:numId w:val="1043"/>
        </w:numPr>
      </w:pPr>
      <w:r>
        <w:t xml:space="preserve">Andreev DN et al. Prevalence of irritable bowel syndrome in patients with functional dyspepsia: a meta-analysis.</w:t>
      </w:r>
      <w:r>
        <w:t xml:space="preserve"> </w:t>
      </w:r>
      <w:r>
        <w:rPr>
          <w:i/>
          <w:iCs/>
        </w:rPr>
        <w:t xml:space="preserve">Ter Arkh</w:t>
      </w:r>
      <w:r>
        <w:t xml:space="preserve"> </w:t>
      </w:r>
      <w:r>
        <w:t xml:space="preserve">2022;94(8):952-959.</w:t>
      </w:r>
      <w:r>
        <w:t xml:space="preserve"> </w:t>
      </w:r>
      <w:hyperlink r:id="rId99">
        <w:r>
          <w:rPr>
            <w:rStyle w:val="Hyperlink"/>
          </w:rPr>
          <w:t xml:space="preserve">PMID 36286762</w:t>
        </w:r>
      </w:hyperlink>
    </w:p>
    <w:p>
      <w:pPr>
        <w:pStyle w:val="Compact"/>
        <w:numPr>
          <w:ilvl w:val="0"/>
          <w:numId w:val="1043"/>
        </w:numPr>
      </w:pPr>
      <w:r>
        <w:t xml:space="preserve">Ford AC et al. Functional dyspepsia.</w:t>
      </w:r>
      <w:r>
        <w:t xml:space="preserve"> </w:t>
      </w:r>
      <w:r>
        <w:rPr>
          <w:i/>
          <w:iCs/>
        </w:rPr>
        <w:t xml:space="preserve">Lancet</w:t>
      </w:r>
      <w:r>
        <w:t xml:space="preserve"> </w:t>
      </w:r>
      <w:r>
        <w:t xml:space="preserve">2020;396(10263):1689-1702.</w:t>
      </w:r>
      <w:r>
        <w:t xml:space="preserve"> </w:t>
      </w:r>
      <w:hyperlink r:id="rId100">
        <w:r>
          <w:rPr>
            <w:rStyle w:val="Hyperlink"/>
          </w:rPr>
          <w:t xml:space="preserve">PMID 33049222</w:t>
        </w:r>
      </w:hyperlink>
    </w:p>
    <w:p>
      <w:pPr>
        <w:pStyle w:val="Compact"/>
        <w:numPr>
          <w:ilvl w:val="0"/>
          <w:numId w:val="1043"/>
        </w:numPr>
      </w:pPr>
      <w:r>
        <w:t xml:space="preserve">Olafsdottir LB et al. Natural history of functional gastrointestinal disorders.</w:t>
      </w:r>
      <w:r>
        <w:t xml:space="preserve"> </w:t>
      </w:r>
      <w:r>
        <w:rPr>
          <w:i/>
          <w:iCs/>
        </w:rPr>
        <w:t xml:space="preserve">Dig Liver Dis</w:t>
      </w:r>
      <w:r>
        <w:t xml:space="preserve"> </w:t>
      </w:r>
      <w:r>
        <w:t xml:space="preserve">2012;44(3):211-7.</w:t>
      </w:r>
      <w:r>
        <w:t xml:space="preserve"> </w:t>
      </w:r>
      <w:hyperlink r:id="rId101">
        <w:r>
          <w:rPr>
            <w:rStyle w:val="Hyperlink"/>
          </w:rPr>
          <w:t xml:space="preserve">PMID 22137573</w:t>
        </w:r>
      </w:hyperlink>
    </w:p>
    <w:p>
      <w:pPr>
        <w:pStyle w:val="Compact"/>
        <w:numPr>
          <w:ilvl w:val="0"/>
          <w:numId w:val="1043"/>
        </w:numPr>
      </w:pPr>
      <w:r>
        <w:t xml:space="preserve">Schol J et al. UEG and ESNM consensus on gastroparesis.</w:t>
      </w:r>
      <w:r>
        <w:t xml:space="preserve"> </w:t>
      </w:r>
      <w:r>
        <w:rPr>
          <w:i/>
          <w:iCs/>
        </w:rPr>
        <w:t xml:space="preserve">Neurogastroenterol Motil</w:t>
      </w:r>
      <w:r>
        <w:t xml:space="preserve"> </w:t>
      </w:r>
      <w:r>
        <w:t xml:space="preserve">2021;33(8):e14237.</w:t>
      </w:r>
      <w:r>
        <w:t xml:space="preserve"> </w:t>
      </w:r>
      <w:hyperlink r:id="rId102">
        <w:r>
          <w:rPr>
            <w:rStyle w:val="Hyperlink"/>
          </w:rPr>
          <w:t xml:space="preserve">PMID 34399024</w:t>
        </w:r>
      </w:hyperlink>
    </w:p>
    <w:p>
      <w:pPr>
        <w:pStyle w:val="Compact"/>
        <w:numPr>
          <w:ilvl w:val="0"/>
          <w:numId w:val="1043"/>
        </w:numPr>
      </w:pPr>
      <w:r>
        <w:t xml:space="preserve">Halland M et al. Diagnosis and Treatment of Rumination Syndrome.</w:t>
      </w:r>
      <w:r>
        <w:t xml:space="preserve"> </w:t>
      </w:r>
      <w:r>
        <w:rPr>
          <w:i/>
          <w:iCs/>
        </w:rPr>
        <w:t xml:space="preserve">Neurogastroenterol Motil</w:t>
      </w:r>
      <w:r>
        <w:t xml:space="preserve"> </w:t>
      </w:r>
      <w:r>
        <w:t xml:space="preserve">2016;28(3):384-91.</w:t>
      </w:r>
      <w:r>
        <w:t xml:space="preserve"> </w:t>
      </w:r>
      <w:hyperlink r:id="rId103">
        <w:r>
          <w:rPr>
            <w:rStyle w:val="Hyperlink"/>
          </w:rPr>
          <w:t xml:space="preserve">PMID 26661735</w:t>
        </w:r>
      </w:hyperlink>
    </w:p>
    <w:p>
      <w:pPr>
        <w:pStyle w:val="Compact"/>
        <w:numPr>
          <w:ilvl w:val="0"/>
          <w:numId w:val="1043"/>
        </w:numPr>
      </w:pPr>
      <w:r>
        <w:t xml:space="preserve">Punkkinen J et al. Behavioural therapy is effective in the treatment of supragastric belching.</w:t>
      </w:r>
      <w:r>
        <w:t xml:space="preserve"> </w:t>
      </w:r>
      <w:r>
        <w:rPr>
          <w:i/>
          <w:iCs/>
        </w:rPr>
        <w:t xml:space="preserve">Neurogastroenterol Motil</w:t>
      </w:r>
      <w:r>
        <w:t xml:space="preserve"> </w:t>
      </w:r>
      <w:r>
        <w:t xml:space="preserve">2022;34(2):e14171.</w:t>
      </w:r>
      <w:r>
        <w:t xml:space="preserve"> </w:t>
      </w:r>
      <w:hyperlink r:id="rId104">
        <w:r>
          <w:rPr>
            <w:rStyle w:val="Hyperlink"/>
          </w:rPr>
          <w:t xml:space="preserve">PMID 33991432</w:t>
        </w:r>
      </w:hyperlink>
    </w:p>
    <w:p>
      <w:pPr>
        <w:pStyle w:val="Compact"/>
        <w:numPr>
          <w:ilvl w:val="0"/>
          <w:numId w:val="1043"/>
        </w:numPr>
      </w:pPr>
      <w:r>
        <w:t xml:space="preserve">van Boxel OS, ter Linde JJ, Oors J, et al. Functional dyspepsia patients have lower mucosal cholecystokinin concentrations in response to duodenal lipid.</w:t>
      </w:r>
      <w:r>
        <w:t xml:space="preserve"> </w:t>
      </w:r>
      <w:r>
        <w:rPr>
          <w:i/>
          <w:iCs/>
        </w:rPr>
        <w:t xml:space="preserve">Eur J Gastroenterol Hepatol</w:t>
      </w:r>
      <w:r>
        <w:t xml:space="preserve"> </w:t>
      </w:r>
      <w:r>
        <w:t xml:space="preserve">2014;26(2):205-12.</w:t>
      </w:r>
      <w:r>
        <w:t xml:space="preserve"> </w:t>
      </w:r>
      <w:hyperlink r:id="rId105">
        <w:r>
          <w:rPr>
            <w:rStyle w:val="Hyperlink"/>
          </w:rPr>
          <w:t xml:space="preserve">PMID 24252886</w:t>
        </w:r>
      </w:hyperlink>
    </w:p>
    <w:p>
      <w:pPr>
        <w:pStyle w:val="Compact"/>
        <w:numPr>
          <w:ilvl w:val="0"/>
          <w:numId w:val="1043"/>
        </w:numPr>
      </w:pPr>
      <w:r>
        <w:t xml:space="preserve">Berthoud HR, Neuhuber WL. Functional and chemical anatomy of the afferent vagal system.</w:t>
      </w:r>
      <w:r>
        <w:t xml:space="preserve"> </w:t>
      </w:r>
      <w:r>
        <w:rPr>
          <w:i/>
          <w:iCs/>
        </w:rPr>
        <w:t xml:space="preserve">Auton Neurosci</w:t>
      </w:r>
      <w:r>
        <w:t xml:space="preserve"> </w:t>
      </w:r>
      <w:r>
        <w:t xml:space="preserve">2000;85(1-3):1-17.</w:t>
      </w:r>
      <w:r>
        <w:t xml:space="preserve"> </w:t>
      </w:r>
      <w:hyperlink r:id="rId106">
        <w:r>
          <w:rPr>
            <w:rStyle w:val="Hyperlink"/>
          </w:rPr>
          <w:t xml:space="preserve">PMID 11189015</w:t>
        </w:r>
      </w:hyperlink>
    </w:p>
    <w:p>
      <w:pPr>
        <w:pStyle w:val="Compact"/>
        <w:numPr>
          <w:ilvl w:val="0"/>
          <w:numId w:val="1043"/>
        </w:numPr>
      </w:pPr>
      <w:r>
        <w:t xml:space="preserve">Heneghan NR et al. Thoracic adverse events following spinal manipulative therapy: a systematic review and narrative synthesis.</w:t>
      </w:r>
      <w:r>
        <w:t xml:space="preserve"> </w:t>
      </w:r>
      <w:r>
        <w:rPr>
          <w:i/>
          <w:iCs/>
        </w:rPr>
        <w:t xml:space="preserve">J Man Manip Ther</w:t>
      </w:r>
      <w:r>
        <w:t xml:space="preserve"> </w:t>
      </w:r>
      <w:r>
        <w:t xml:space="preserve">2020;28(5):275-286.</w:t>
      </w:r>
      <w:r>
        <w:t xml:space="preserve"> </w:t>
      </w:r>
      <w:hyperlink r:id="rId107">
        <w:r>
          <w:rPr>
            <w:rStyle w:val="Hyperlink"/>
          </w:rPr>
          <w:t xml:space="preserve">PMID 32148185</w:t>
        </w:r>
      </w:hyperlink>
    </w:p>
    <w:p>
      <w:pPr>
        <w:pStyle w:val="Compact"/>
        <w:numPr>
          <w:ilvl w:val="0"/>
          <w:numId w:val="1043"/>
        </w:numPr>
      </w:pPr>
      <w:r>
        <w:t xml:space="preserve">Laborde S et al. Effects of voluntary slow breathing on heart rate and heart rate variability: a systematic review and meta-analysis.</w:t>
      </w:r>
      <w:r>
        <w:t xml:space="preserve"> </w:t>
      </w:r>
      <w:r>
        <w:rPr>
          <w:i/>
          <w:iCs/>
        </w:rPr>
        <w:t xml:space="preserve">Neurosci Biobehav Rev</w:t>
      </w:r>
      <w:r>
        <w:t xml:space="preserve"> </w:t>
      </w:r>
      <w:r>
        <w:t xml:space="preserve">2022;138:104711.</w:t>
      </w:r>
      <w:r>
        <w:t xml:space="preserve"> </w:t>
      </w:r>
      <w:hyperlink r:id="rId108">
        <w:r>
          <w:rPr>
            <w:rStyle w:val="Hyperlink"/>
          </w:rPr>
          <w:t xml:space="preserve">PMID 35623448</w:t>
        </w:r>
      </w:hyperlink>
    </w:p>
    <w:p>
      <w:pPr>
        <w:pStyle w:val="Compact"/>
        <w:numPr>
          <w:ilvl w:val="0"/>
          <w:numId w:val="1043"/>
        </w:numPr>
      </w:pPr>
      <w:r>
        <w:t xml:space="preserve">Talley NJ et al. Effect of Amitriptyline and Escitalopram on Functional Dyspepsia.</w:t>
      </w:r>
      <w:r>
        <w:t xml:space="preserve"> </w:t>
      </w:r>
      <w:r>
        <w:rPr>
          <w:i/>
          <w:iCs/>
        </w:rPr>
        <w:t xml:space="preserve">Gastroenterology</w:t>
      </w:r>
      <w:r>
        <w:t xml:space="preserve"> </w:t>
      </w:r>
      <w:r>
        <w:t xml:space="preserve">2015;149(2):340-9.</w:t>
      </w:r>
      <w:r>
        <w:t xml:space="preserve"> </w:t>
      </w:r>
      <w:hyperlink r:id="rId109">
        <w:r>
          <w:rPr>
            <w:rStyle w:val="Hyperlink"/>
          </w:rPr>
          <w:t xml:space="preserve">PMID 25921377</w:t>
        </w:r>
      </w:hyperlink>
    </w:p>
    <w:p>
      <w:pPr>
        <w:pStyle w:val="Compact"/>
        <w:numPr>
          <w:ilvl w:val="0"/>
          <w:numId w:val="1043"/>
        </w:numPr>
      </w:pPr>
      <w:r>
        <w:t xml:space="preserve">Koloski NA et al. The brain-gut pathway in functional gastrointestinal disorders is bidirectional.</w:t>
      </w:r>
      <w:r>
        <w:t xml:space="preserve"> </w:t>
      </w:r>
      <w:r>
        <w:rPr>
          <w:i/>
          <w:iCs/>
        </w:rPr>
        <w:t xml:space="preserve">Gut</w:t>
      </w:r>
      <w:r>
        <w:t xml:space="preserve"> </w:t>
      </w:r>
      <w:r>
        <w:t xml:space="preserve">2012;61(9):1284-90.</w:t>
      </w:r>
      <w:r>
        <w:t xml:space="preserve"> </w:t>
      </w:r>
      <w:hyperlink r:id="rId110">
        <w:r>
          <w:rPr>
            <w:rStyle w:val="Hyperlink"/>
          </w:rPr>
          <w:t xml:space="preserve">PMID 22234979</w:t>
        </w:r>
      </w:hyperlink>
    </w:p>
    <w:p>
      <w:pPr>
        <w:pStyle w:val="Compact"/>
        <w:numPr>
          <w:ilvl w:val="0"/>
          <w:numId w:val="1043"/>
        </w:numPr>
      </w:pPr>
      <w:r>
        <w:t xml:space="preserve">Vanheel H et al. Impaired duodenal mucosal integrity and low-grade inflammation in functional dyspepsia.</w:t>
      </w:r>
      <w:r>
        <w:t xml:space="preserve"> </w:t>
      </w:r>
      <w:r>
        <w:rPr>
          <w:i/>
          <w:iCs/>
        </w:rPr>
        <w:t xml:space="preserve">Gut</w:t>
      </w:r>
      <w:r>
        <w:t xml:space="preserve"> </w:t>
      </w:r>
      <w:r>
        <w:t xml:space="preserve">2014;63(2):262-71.</w:t>
      </w:r>
      <w:r>
        <w:t xml:space="preserve"> </w:t>
      </w:r>
      <w:hyperlink r:id="rId111">
        <w:r>
          <w:rPr>
            <w:rStyle w:val="Hyperlink"/>
          </w:rPr>
          <w:t xml:space="preserve">PMID 23474421</w:t>
        </w:r>
      </w:hyperlink>
    </w:p>
    <w:p>
      <w:pPr>
        <w:pStyle w:val="Compact"/>
        <w:numPr>
          <w:ilvl w:val="0"/>
          <w:numId w:val="1043"/>
        </w:numPr>
      </w:pPr>
      <w:r>
        <w:t xml:space="preserve">Boccia G, Buonavolontà R, Coccorullo P, Manguso F, Fuiano L, Staiano A. Dyspeptic symptoms in children: the result of a constipation-induced cologastric brake?</w:t>
      </w:r>
      <w:r>
        <w:t xml:space="preserve"> </w:t>
      </w:r>
      <w:r>
        <w:rPr>
          <w:i/>
          <w:iCs/>
        </w:rPr>
        <w:t xml:space="preserve">Clin Gastroenterol Hepatol</w:t>
      </w:r>
      <w:r>
        <w:t xml:space="preserve"> </w:t>
      </w:r>
      <w:r>
        <w:t xml:space="preserve">2008;6(5):556-60.</w:t>
      </w:r>
      <w:r>
        <w:t xml:space="preserve"> </w:t>
      </w:r>
      <w:hyperlink r:id="rId112">
        <w:r>
          <w:rPr>
            <w:rStyle w:val="Hyperlink"/>
          </w:rPr>
          <w:t xml:space="preserve">PMID 18378497</w:t>
        </w:r>
      </w:hyperlink>
    </w:p>
    <w:p>
      <w:pPr>
        <w:pStyle w:val="Compact"/>
        <w:numPr>
          <w:ilvl w:val="0"/>
          <w:numId w:val="1043"/>
        </w:numPr>
      </w:pPr>
      <w:r>
        <w:t xml:space="preserve">Abdelnaem N, Damianos J, Camilleri M. Cologastric Inhibition: Upper Gastrointestinal Dysfunction With Slow Colonic Transit.</w:t>
      </w:r>
      <w:r>
        <w:t xml:space="preserve"> </w:t>
      </w:r>
      <w:r>
        <w:rPr>
          <w:i/>
          <w:iCs/>
        </w:rPr>
        <w:t xml:space="preserve">Neurogastroenterol Motil</w:t>
      </w:r>
      <w:r>
        <w:t xml:space="preserve"> </w:t>
      </w:r>
      <w:r>
        <w:t xml:space="preserve">2025;37(11):e70145.</w:t>
      </w:r>
      <w:r>
        <w:t xml:space="preserve"> </w:t>
      </w:r>
      <w:hyperlink r:id="rId113">
        <w:r>
          <w:rPr>
            <w:rStyle w:val="Hyperlink"/>
          </w:rPr>
          <w:t xml:space="preserve">PMID 40851353</w:t>
        </w:r>
      </w:hyperlink>
    </w:p>
    <w:p>
      <w:pPr>
        <w:pStyle w:val="Compact"/>
        <w:numPr>
          <w:ilvl w:val="0"/>
          <w:numId w:val="1043"/>
        </w:numPr>
      </w:pPr>
      <w:r>
        <w:t xml:space="preserve">Buffone F et al. Effectiveness of Osteopathic Manipulative Treatment in Adults with Irritable Bowel Syndrome.</w:t>
      </w:r>
      <w:r>
        <w:t xml:space="preserve"> </w:t>
      </w:r>
      <w:r>
        <w:rPr>
          <w:i/>
          <w:iCs/>
        </w:rPr>
        <w:t xml:space="preserve">Healthcare (Basel)</w:t>
      </w:r>
      <w:r>
        <w:t xml:space="preserve"> </w:t>
      </w:r>
      <w:r>
        <w:t xml:space="preserve">2023;11(17):2442.</w:t>
      </w:r>
      <w:r>
        <w:t xml:space="preserve"> </w:t>
      </w:r>
      <w:hyperlink r:id="rId114">
        <w:r>
          <w:rPr>
            <w:rStyle w:val="Hyperlink"/>
          </w:rPr>
          <w:t xml:space="preserve">PMID 37685480</w:t>
        </w:r>
      </w:hyperlink>
    </w:p>
    <w:p>
      <w:pPr>
        <w:pStyle w:val="Compact"/>
        <w:numPr>
          <w:ilvl w:val="0"/>
          <w:numId w:val="1043"/>
        </w:numPr>
      </w:pPr>
      <w:r>
        <w:t xml:space="preserve">Hjelland IE et al. Flatabø G, Hausken T. Breathing exercises with vagal biofeedback may benefit patients with functional dyspepsia.</w:t>
      </w:r>
      <w:r>
        <w:t xml:space="preserve"> </w:t>
      </w:r>
      <w:r>
        <w:rPr>
          <w:i/>
          <w:iCs/>
        </w:rPr>
        <w:t xml:space="preserve">Scand J Gastroenterol</w:t>
      </w:r>
      <w:r>
        <w:t xml:space="preserve"> </w:t>
      </w:r>
      <w:r>
        <w:t xml:space="preserve">2007;42(9):1054-62.</w:t>
      </w:r>
      <w:r>
        <w:t xml:space="preserve"> </w:t>
      </w:r>
      <w:hyperlink r:id="rId115">
        <w:r>
          <w:rPr>
            <w:rStyle w:val="Hyperlink"/>
          </w:rPr>
          <w:t xml:space="preserve">PMID 17710670</w:t>
        </w:r>
      </w:hyperlink>
    </w:p>
    <w:p>
      <w:pPr>
        <w:pStyle w:val="Compact"/>
        <w:numPr>
          <w:ilvl w:val="0"/>
          <w:numId w:val="1043"/>
        </w:numPr>
      </w:pPr>
      <w:r>
        <w:t xml:space="preserve">Wei Z et al. Efficacy of psychological therapy for functional dyspepsia: a systematic review and meta-analysis.</w:t>
      </w:r>
      <w:r>
        <w:t xml:space="preserve"> </w:t>
      </w:r>
      <w:r>
        <w:rPr>
          <w:i/>
          <w:iCs/>
        </w:rPr>
        <w:t xml:space="preserve">Front Psychiatry</w:t>
      </w:r>
      <w:r>
        <w:t xml:space="preserve"> </w:t>
      </w:r>
      <w:r>
        <w:t xml:space="preserve">2022;13:827220.</w:t>
      </w:r>
      <w:r>
        <w:t xml:space="preserve"> </w:t>
      </w:r>
      <w:hyperlink r:id="rId116">
        <w:r>
          <w:rPr>
            <w:rStyle w:val="Hyperlink"/>
          </w:rPr>
          <w:t xml:space="preserve">PMID 35465581</w:t>
        </w:r>
      </w:hyperlink>
    </w:p>
    <w:p>
      <w:pPr>
        <w:pStyle w:val="Compact"/>
        <w:numPr>
          <w:ilvl w:val="0"/>
          <w:numId w:val="1043"/>
        </w:numPr>
      </w:pPr>
      <w:r>
        <w:t xml:space="preserve">Gordon TC et al. Effects of manual osteopathic interventions on psychometric and psychophysiological indicators of anxiety, depression and stress in adults.</w:t>
      </w:r>
      <w:r>
        <w:t xml:space="preserve"> </w:t>
      </w:r>
      <w:r>
        <w:rPr>
          <w:i/>
          <w:iCs/>
        </w:rPr>
        <w:t xml:space="preserve">BMJ Open</w:t>
      </w:r>
      <w:r>
        <w:t xml:space="preserve"> </w:t>
      </w:r>
      <w:r>
        <w:t xml:space="preserve">2025;15(2):e095933.</w:t>
      </w:r>
      <w:r>
        <w:t xml:space="preserve"> </w:t>
      </w:r>
      <w:hyperlink r:id="rId117">
        <w:r>
          <w:rPr>
            <w:rStyle w:val="Hyperlink"/>
          </w:rPr>
          <w:t xml:space="preserve">PMID 39920074</w:t>
        </w:r>
      </w:hyperlink>
    </w:p>
    <w:p>
      <w:pPr>
        <w:pStyle w:val="Compact"/>
        <w:numPr>
          <w:ilvl w:val="0"/>
          <w:numId w:val="1043"/>
        </w:numPr>
      </w:pPr>
      <w:r>
        <w:t xml:space="preserve">Hansen SO, et al. Effects of thoracic spinal manipulation and mobilization on the autonomic nervous system: a systematic review and meta-analysis.</w:t>
      </w:r>
      <w:r>
        <w:t xml:space="preserve"> </w:t>
      </w:r>
      <w:r>
        <w:rPr>
          <w:i/>
          <w:iCs/>
        </w:rPr>
        <w:t xml:space="preserve">J Man Manip Ther</w:t>
      </w:r>
      <w:r>
        <w:t xml:space="preserve"> </w:t>
      </w:r>
      <w:r>
        <w:t xml:space="preserve">2025.</w:t>
      </w:r>
      <w:r>
        <w:t xml:space="preserve"> </w:t>
      </w:r>
      <w:hyperlink r:id="rId118">
        <w:r>
          <w:rPr>
            <w:rStyle w:val="Hyperlink"/>
          </w:rPr>
          <w:t xml:space="preserve">PMID 40232939</w:t>
        </w:r>
      </w:hyperlink>
    </w:p>
    <w:p>
      <w:pPr>
        <w:pStyle w:val="Compact"/>
        <w:numPr>
          <w:ilvl w:val="0"/>
          <w:numId w:val="1043"/>
        </w:numPr>
      </w:pPr>
      <w:r>
        <w:t xml:space="preserve">Guillaud A et al. Reliability of diagnosis and clinical efficacy of visceral osteopathy: a systematic review.</w:t>
      </w:r>
      <w:r>
        <w:t xml:space="preserve"> </w:t>
      </w:r>
      <w:r>
        <w:rPr>
          <w:i/>
          <w:iCs/>
        </w:rPr>
        <w:t xml:space="preserve">PLoS One</w:t>
      </w:r>
      <w:r>
        <w:t xml:space="preserve"> </w:t>
      </w:r>
      <w:r>
        <w:t xml:space="preserve">2018;13(2):e0192183.</w:t>
      </w:r>
      <w:r>
        <w:t xml:space="preserve"> </w:t>
      </w:r>
      <w:hyperlink r:id="rId119">
        <w:r>
          <w:rPr>
            <w:rStyle w:val="Hyperlink"/>
          </w:rPr>
          <w:t xml:space="preserve">PMID 29452579</w:t>
        </w:r>
      </w:hyperlink>
    </w:p>
    <w:p>
      <w:pPr>
        <w:pStyle w:val="Compact"/>
        <w:numPr>
          <w:ilvl w:val="0"/>
          <w:numId w:val="1043"/>
        </w:numPr>
      </w:pPr>
      <w:r>
        <w:t xml:space="preserve">Billey A et al. The Bidirectional Relationship Between Sleep Disturbance and Functional Dyspepsia.</w:t>
      </w:r>
      <w:r>
        <w:t xml:space="preserve"> </w:t>
      </w:r>
      <w:r>
        <w:rPr>
          <w:i/>
          <w:iCs/>
        </w:rPr>
        <w:t xml:space="preserve">Cureus</w:t>
      </w:r>
      <w:r>
        <w:t xml:space="preserve"> </w:t>
      </w:r>
      <w:r>
        <w:t xml:space="preserve">2024;16(8):e66098.</w:t>
      </w:r>
      <w:r>
        <w:t xml:space="preserve"> </w:t>
      </w:r>
      <w:hyperlink r:id="rId120">
        <w:r>
          <w:rPr>
            <w:rStyle w:val="Hyperlink"/>
          </w:rPr>
          <w:t xml:space="preserve">PMID 39229406</w:t>
        </w:r>
      </w:hyperlink>
    </w:p>
    <w:p>
      <w:pPr>
        <w:pStyle w:val="Compact"/>
        <w:numPr>
          <w:ilvl w:val="0"/>
          <w:numId w:val="1043"/>
        </w:numPr>
      </w:pPr>
      <w:r>
        <w:t xml:space="preserve">Kaptchuk TJ et al. Components of placebo effect: randomised controlled trial in patients with irritable bowel syndrome.</w:t>
      </w:r>
      <w:r>
        <w:t xml:space="preserve"> </w:t>
      </w:r>
      <w:r>
        <w:rPr>
          <w:i/>
          <w:iCs/>
        </w:rPr>
        <w:t xml:space="preserve">BMJ</w:t>
      </w:r>
      <w:r>
        <w:t xml:space="preserve"> </w:t>
      </w:r>
      <w:r>
        <w:t xml:space="preserve">2008;336(7651):999-1003.</w:t>
      </w:r>
      <w:r>
        <w:t xml:space="preserve"> </w:t>
      </w:r>
      <w:hyperlink r:id="rId121">
        <w:r>
          <w:rPr>
            <w:rStyle w:val="Hyperlink"/>
          </w:rPr>
          <w:t xml:space="preserve">PMID 18390493</w:t>
        </w:r>
      </w:hyperlink>
    </w:p>
    <w:p>
      <w:pPr>
        <w:pStyle w:val="Compact"/>
        <w:numPr>
          <w:ilvl w:val="0"/>
          <w:numId w:val="1043"/>
        </w:numPr>
      </w:pPr>
      <w:r>
        <w:t xml:space="preserve">Boas Fernandes WV, Politti F, Blanco CR, et al. Effect of osteopathic visceral manipulation for individuals with functional constipation and chronic nonspecific low back pain.</w:t>
      </w:r>
      <w:r>
        <w:t xml:space="preserve"> </w:t>
      </w:r>
      <w:r>
        <w:rPr>
          <w:i/>
          <w:iCs/>
        </w:rPr>
        <w:t xml:space="preserve">J Bodyw Mov Ther</w:t>
      </w:r>
      <w:r>
        <w:t xml:space="preserve"> </w:t>
      </w:r>
      <w:r>
        <w:t xml:space="preserve">2023;34:96-103.</w:t>
      </w:r>
      <w:r>
        <w:t xml:space="preserve"> </w:t>
      </w:r>
      <w:hyperlink r:id="rId122">
        <w:r>
          <w:rPr>
            <w:rStyle w:val="Hyperlink"/>
          </w:rPr>
          <w:t xml:space="preserve">PMID 37301564</w:t>
        </w:r>
      </w:hyperlink>
    </w:p>
    <w:p>
      <w:pPr>
        <w:pStyle w:val="Compact"/>
        <w:numPr>
          <w:ilvl w:val="0"/>
          <w:numId w:val="1043"/>
        </w:numPr>
      </w:pPr>
      <w:r>
        <w:t xml:space="preserve">Sinaki M. Yoga spinal flexion positions and vertebral compression fracture in osteopenia or osteoporosis of spine.</w:t>
      </w:r>
      <w:r>
        <w:t xml:space="preserve"> </w:t>
      </w:r>
      <w:r>
        <w:rPr>
          <w:i/>
          <w:iCs/>
        </w:rPr>
        <w:t xml:space="preserve">Pain Pract</w:t>
      </w:r>
      <w:r>
        <w:t xml:space="preserve"> </w:t>
      </w:r>
      <w:r>
        <w:t xml:space="preserve">2013;13(1):68-75.</w:t>
      </w:r>
      <w:r>
        <w:t xml:space="preserve"> </w:t>
      </w:r>
      <w:hyperlink r:id="rId123">
        <w:r>
          <w:rPr>
            <w:rStyle w:val="Hyperlink"/>
          </w:rPr>
          <w:t xml:space="preserve">PMID 22448849</w:t>
        </w:r>
      </w:hyperlink>
    </w:p>
    <w:p>
      <w:pPr>
        <w:pStyle w:val="Compact"/>
        <w:numPr>
          <w:ilvl w:val="0"/>
          <w:numId w:val="1043"/>
        </w:numPr>
      </w:pPr>
      <w:r>
        <w:t xml:space="preserve">Liu BD et al. Some Risks of Gastrointestinal Adverse Events Associated With GLP-1 Receptor Agonists Are Likely Explained by BMI.</w:t>
      </w:r>
      <w:r>
        <w:t xml:space="preserve"> </w:t>
      </w:r>
      <w:r>
        <w:rPr>
          <w:i/>
          <w:iCs/>
        </w:rPr>
        <w:t xml:space="preserve">Aliment Pharmacol Ther</w:t>
      </w:r>
      <w:r>
        <w:t xml:space="preserve"> </w:t>
      </w:r>
      <w:r>
        <w:t xml:space="preserve">2025;62(1):77-80.</w:t>
      </w:r>
      <w:r>
        <w:t xml:space="preserve"> </w:t>
      </w:r>
      <w:hyperlink r:id="rId124">
        <w:r>
          <w:rPr>
            <w:rStyle w:val="Hyperlink"/>
          </w:rPr>
          <w:t xml:space="preserve">PMID 40356540</w:t>
        </w:r>
      </w:hyperlink>
    </w:p>
    <w:p>
      <w:pPr>
        <w:pStyle w:val="Compact"/>
        <w:numPr>
          <w:ilvl w:val="0"/>
          <w:numId w:val="1043"/>
        </w:numPr>
      </w:pPr>
      <w:r>
        <w:t xml:space="preserve">de Groen PC, Lubbe DF, Hirsch LJ, et al. Esophagitis associated with the use of alendronate.</w:t>
      </w:r>
      <w:r>
        <w:t xml:space="preserve"> </w:t>
      </w:r>
      <w:r>
        <w:rPr>
          <w:i/>
          <w:iCs/>
        </w:rPr>
        <w:t xml:space="preserve">N Engl J Med</w:t>
      </w:r>
      <w:r>
        <w:t xml:space="preserve"> </w:t>
      </w:r>
      <w:r>
        <w:t xml:space="preserve">1996;335(14):1016-21.</w:t>
      </w:r>
      <w:r>
        <w:t xml:space="preserve"> </w:t>
      </w:r>
      <w:hyperlink r:id="rId125">
        <w:r>
          <w:rPr>
            <w:rStyle w:val="Hyperlink"/>
          </w:rPr>
          <w:t xml:space="preserve">PMID 8793925</w:t>
        </w:r>
      </w:hyperlink>
    </w:p>
    <w:p>
      <w:pPr>
        <w:pStyle w:val="Compact"/>
        <w:numPr>
          <w:ilvl w:val="0"/>
          <w:numId w:val="1043"/>
        </w:numPr>
      </w:pPr>
      <w:r>
        <w:t xml:space="preserve">Tan W, Li Y, Lu B, Zhang J, Huang Y. Prediction model for metformin intolerance in Chinese elderly patients with type 2 diabetes: derivation and external validation in a cross-sectional study.</w:t>
      </w:r>
      <w:r>
        <w:t xml:space="preserve"> </w:t>
      </w:r>
      <w:r>
        <w:rPr>
          <w:i/>
          <w:iCs/>
        </w:rPr>
        <w:t xml:space="preserve">BMC Endocr Disord</w:t>
      </w:r>
      <w:r>
        <w:t xml:space="preserve"> </w:t>
      </w:r>
      <w:r>
        <w:t xml:space="preserve">2026;26(1):157.</w:t>
      </w:r>
      <w:r>
        <w:t xml:space="preserve"> </w:t>
      </w:r>
      <w:hyperlink r:id="rId126">
        <w:r>
          <w:rPr>
            <w:rStyle w:val="Hyperlink"/>
          </w:rPr>
          <w:t xml:space="preserve">PMID 41981598</w:t>
        </w:r>
      </w:hyperlink>
    </w:p>
    <w:p>
      <w:pPr>
        <w:pStyle w:val="Compact"/>
        <w:numPr>
          <w:ilvl w:val="0"/>
          <w:numId w:val="1043"/>
        </w:numPr>
      </w:pPr>
      <w:r>
        <w:t xml:space="preserve">Hedberg J, et al. Intermittent proton pump inhibitor therapy and risk of upper gastrointestinal bleeding in low-dose aspirin users.</w:t>
      </w:r>
      <w:r>
        <w:t xml:space="preserve"> </w:t>
      </w:r>
      <w:r>
        <w:rPr>
          <w:i/>
          <w:iCs/>
        </w:rPr>
        <w:t xml:space="preserve">J Intern Med</w:t>
      </w:r>
      <w:r>
        <w:t xml:space="preserve"> </w:t>
      </w:r>
      <w:r>
        <w:t xml:space="preserve">2013;274(4):371-80.</w:t>
      </w:r>
      <w:r>
        <w:t xml:space="preserve"> </w:t>
      </w:r>
      <w:hyperlink r:id="rId127">
        <w:r>
          <w:rPr>
            <w:rStyle w:val="Hyperlink"/>
          </w:rPr>
          <w:t xml:space="preserve">PMID 23800296</w:t>
        </w:r>
      </w:hyperlink>
    </w:p>
    <w:p>
      <w:pPr>
        <w:pStyle w:val="Compact"/>
        <w:numPr>
          <w:ilvl w:val="0"/>
          <w:numId w:val="1043"/>
        </w:numPr>
      </w:pPr>
      <w:r>
        <w:t xml:space="preserve">Hanna-Jairala I, Drossman DA. Central Neuromodulators in Irritable Bowel Syndrome and Other Disorders of Gut-Brain Interaction.</w:t>
      </w:r>
      <w:r>
        <w:t xml:space="preserve"> </w:t>
      </w:r>
      <w:r>
        <w:rPr>
          <w:i/>
          <w:iCs/>
        </w:rPr>
        <w:t xml:space="preserve">Am J Gastroenterol</w:t>
      </w:r>
      <w:r>
        <w:t xml:space="preserve"> </w:t>
      </w:r>
      <w:r>
        <w:t xml:space="preserve">2024;119(7):1272-1284.</w:t>
      </w:r>
      <w:r>
        <w:t xml:space="preserve"> </w:t>
      </w:r>
      <w:hyperlink r:id="rId128">
        <w:r>
          <w:rPr>
            <w:rStyle w:val="Hyperlink"/>
          </w:rPr>
          <w:t xml:space="preserve">PMID 38595149</w:t>
        </w:r>
      </w:hyperlink>
    </w:p>
    <w:p>
      <w:pPr>
        <w:pStyle w:val="Compact"/>
        <w:numPr>
          <w:ilvl w:val="0"/>
          <w:numId w:val="1043"/>
        </w:numPr>
      </w:pPr>
      <w:r>
        <w:t xml:space="preserve">Pinto-Sanchez MI et al. Proton pump inhibitors for functional dyspepsia.</w:t>
      </w:r>
      <w:r>
        <w:t xml:space="preserve"> </w:t>
      </w:r>
      <w:r>
        <w:rPr>
          <w:i/>
          <w:iCs/>
        </w:rPr>
        <w:t xml:space="preserve">Cochrane Database Syst Rev</w:t>
      </w:r>
      <w:r>
        <w:t xml:space="preserve"> </w:t>
      </w:r>
      <w:r>
        <w:t xml:space="preserve">2017;11:CD011194.</w:t>
      </w:r>
      <w:r>
        <w:t xml:space="preserve"> </w:t>
      </w:r>
      <w:hyperlink r:id="rId129">
        <w:r>
          <w:rPr>
            <w:rStyle w:val="Hyperlink"/>
          </w:rPr>
          <w:t xml:space="preserve">PMID 29161458</w:t>
        </w:r>
      </w:hyperlink>
    </w:p>
    <w:p>
      <w:pPr>
        <w:pStyle w:val="Compact"/>
        <w:numPr>
          <w:ilvl w:val="0"/>
          <w:numId w:val="1043"/>
        </w:numPr>
      </w:pPr>
      <w:r>
        <w:t xml:space="preserve">Moayyedi P et al. ACG and CAG Clinical Guideline: Management of Dyspepsia.</w:t>
      </w:r>
      <w:r>
        <w:t xml:space="preserve"> </w:t>
      </w:r>
      <w:r>
        <w:rPr>
          <w:i/>
          <w:iCs/>
        </w:rPr>
        <w:t xml:space="preserve">Am J Gastroenterol</w:t>
      </w:r>
      <w:r>
        <w:t xml:space="preserve"> </w:t>
      </w:r>
      <w:r>
        <w:t xml:space="preserve">2017;112(7):988-1013.</w:t>
      </w:r>
      <w:r>
        <w:t xml:space="preserve"> </w:t>
      </w:r>
      <w:hyperlink r:id="rId130">
        <w:r>
          <w:rPr>
            <w:rStyle w:val="Hyperlink"/>
          </w:rPr>
          <w:t xml:space="preserve">PMID 28631728</w:t>
        </w:r>
      </w:hyperlink>
    </w:p>
    <w:p>
      <w:pPr>
        <w:pStyle w:val="Compact"/>
        <w:numPr>
          <w:ilvl w:val="0"/>
          <w:numId w:val="1043"/>
        </w:numPr>
      </w:pPr>
      <w:r>
        <w:t xml:space="preserve">National Institute for Health and Care Excellence. Suspected cancer: recognition and referral. NICE guideline NG12.</w:t>
      </w:r>
      <w:r>
        <w:t xml:space="preserve"> </w:t>
      </w:r>
      <w:hyperlink r:id="rId131">
        <w:r>
          <w:rPr>
            <w:rStyle w:val="Hyperlink"/>
          </w:rPr>
          <w:t xml:space="preserve">https://www.nice.org.uk/guidance/ng12</w:t>
        </w:r>
      </w:hyperlink>
    </w:p>
    <w:p>
      <w:pPr>
        <w:pStyle w:val="Compact"/>
        <w:numPr>
          <w:ilvl w:val="0"/>
          <w:numId w:val="1043"/>
        </w:numPr>
      </w:pPr>
      <w:r>
        <w:t xml:space="preserve">Vakil N et al. Limited value of alarm features in the diagnosis of upper gastrointestinal malignancy.</w:t>
      </w:r>
      <w:r>
        <w:t xml:space="preserve"> </w:t>
      </w:r>
      <w:r>
        <w:rPr>
          <w:i/>
          <w:iCs/>
        </w:rPr>
        <w:t xml:space="preserve">Gastroenterology</w:t>
      </w:r>
      <w:r>
        <w:t xml:space="preserve"> </w:t>
      </w:r>
      <w:r>
        <w:t xml:space="preserve">2006;131(2):390-401.</w:t>
      </w:r>
      <w:r>
        <w:t xml:space="preserve"> </w:t>
      </w:r>
      <w:hyperlink r:id="rId132">
        <w:r>
          <w:rPr>
            <w:rStyle w:val="Hyperlink"/>
          </w:rPr>
          <w:t xml:space="preserve">PMID 16890592</w:t>
        </w:r>
      </w:hyperlink>
    </w:p>
    <w:p>
      <w:pPr>
        <w:pStyle w:val="Compact"/>
        <w:numPr>
          <w:ilvl w:val="0"/>
          <w:numId w:val="1043"/>
        </w:numPr>
      </w:pPr>
      <w:r>
        <w:t xml:space="preserve">Björck L et al. Absence of chest pain and long-term mortality in patients with acute myocardial infarction.</w:t>
      </w:r>
      <w:r>
        <w:t xml:space="preserve"> </w:t>
      </w:r>
      <w:r>
        <w:rPr>
          <w:i/>
          <w:iCs/>
        </w:rPr>
        <w:t xml:space="preserve">Open Heart</w:t>
      </w:r>
      <w:r>
        <w:t xml:space="preserve"> </w:t>
      </w:r>
      <w:r>
        <w:t xml:space="preserve">2018;5(2):e000909.</w:t>
      </w:r>
      <w:r>
        <w:t xml:space="preserve"> </w:t>
      </w:r>
      <w:hyperlink r:id="rId133">
        <w:r>
          <w:rPr>
            <w:rStyle w:val="Hyperlink"/>
          </w:rPr>
          <w:t xml:space="preserve">PMID 30564376</w:t>
        </w:r>
      </w:hyperlink>
    </w:p>
    <w:p>
      <w:pPr>
        <w:pStyle w:val="Compact"/>
        <w:numPr>
          <w:ilvl w:val="0"/>
          <w:numId w:val="1043"/>
        </w:numPr>
      </w:pPr>
      <w:r>
        <w:t xml:space="preserve">Huang L, et al. Prevalence of postprandial hypotension in older adults: a systematic review and meta-analysis.</w:t>
      </w:r>
      <w:r>
        <w:t xml:space="preserve"> </w:t>
      </w:r>
      <w:r>
        <w:rPr>
          <w:i/>
          <w:iCs/>
        </w:rPr>
        <w:t xml:space="preserve">Age Ageing</w:t>
      </w:r>
      <w:r>
        <w:t xml:space="preserve"> </w:t>
      </w:r>
      <w:r>
        <w:t xml:space="preserve">2024;53(2):afae022.</w:t>
      </w:r>
      <w:r>
        <w:t xml:space="preserve"> </w:t>
      </w:r>
      <w:hyperlink r:id="rId134">
        <w:r>
          <w:rPr>
            <w:rStyle w:val="Hyperlink"/>
          </w:rPr>
          <w:t xml:space="preserve">PMID 38411408</w:t>
        </w:r>
      </w:hyperlink>
    </w:p>
    <w:p>
      <w:pPr>
        <w:pStyle w:val="Compact"/>
        <w:numPr>
          <w:ilvl w:val="0"/>
          <w:numId w:val="1043"/>
        </w:numPr>
      </w:pPr>
      <w:r>
        <w:t xml:space="preserve">Attali TV et al. Treatment of refractory irritable bowel syndrome with visceral osteopathy.</w:t>
      </w:r>
      <w:r>
        <w:t xml:space="preserve"> </w:t>
      </w:r>
      <w:r>
        <w:rPr>
          <w:i/>
          <w:iCs/>
        </w:rPr>
        <w:t xml:space="preserve">J Dig Dis</w:t>
      </w:r>
      <w:r>
        <w:t xml:space="preserve"> </w:t>
      </w:r>
      <w:r>
        <w:t xml:space="preserve">2013;14(12):654-61.</w:t>
      </w:r>
      <w:r>
        <w:t xml:space="preserve"> </w:t>
      </w:r>
      <w:hyperlink r:id="rId135">
        <w:r>
          <w:rPr>
            <w:rStyle w:val="Hyperlink"/>
          </w:rPr>
          <w:t xml:space="preserve">PMID 23981319</w:t>
        </w:r>
      </w:hyperlink>
    </w:p>
    <w:p>
      <w:pPr>
        <w:pStyle w:val="Compact"/>
        <w:numPr>
          <w:ilvl w:val="0"/>
          <w:numId w:val="1043"/>
        </w:numPr>
      </w:pPr>
      <w:r>
        <w:t xml:space="preserve">Liptak P et al. Physical-based therapy for the treatment of functional dyspepsia: a systematic review.</w:t>
      </w:r>
      <w:r>
        <w:t xml:space="preserve"> </w:t>
      </w:r>
      <w:r>
        <w:rPr>
          <w:i/>
          <w:iCs/>
        </w:rPr>
        <w:t xml:space="preserve">Clin J Gastroenterol</w:t>
      </w:r>
      <w:r>
        <w:t xml:space="preserve"> </w:t>
      </w:r>
      <w:r>
        <w:t xml:space="preserve">2026;19(2):299-309.</w:t>
      </w:r>
      <w:r>
        <w:t xml:space="preserve"> </w:t>
      </w:r>
      <w:hyperlink r:id="rId136">
        <w:r>
          <w:rPr>
            <w:rStyle w:val="Hyperlink"/>
          </w:rPr>
          <w:t xml:space="preserve">PMID 41670783</w:t>
        </w:r>
      </w:hyperlink>
    </w:p>
    <w:p>
      <w:pPr>
        <w:pStyle w:val="Compact"/>
        <w:numPr>
          <w:ilvl w:val="0"/>
          <w:numId w:val="1043"/>
        </w:numPr>
      </w:pPr>
      <w:r>
        <w:t xml:space="preserve">Horner KM et al. Acute exercise and gastric emptying: a meta-analysis and implications for appetite control.</w:t>
      </w:r>
      <w:r>
        <w:t xml:space="preserve"> </w:t>
      </w:r>
      <w:r>
        <w:rPr>
          <w:i/>
          <w:iCs/>
        </w:rPr>
        <w:t xml:space="preserve">Sports Med</w:t>
      </w:r>
      <w:r>
        <w:t xml:space="preserve"> </w:t>
      </w:r>
      <w:r>
        <w:t xml:space="preserve">2015;45(5):659-78.</w:t>
      </w:r>
      <w:r>
        <w:t xml:space="preserve"> </w:t>
      </w:r>
      <w:hyperlink r:id="rId137">
        <w:r>
          <w:rPr>
            <w:rStyle w:val="Hyperlink"/>
          </w:rPr>
          <w:t xml:space="preserve">PMID 25398225</w:t>
        </w:r>
      </w:hyperlink>
    </w:p>
    <w:p>
      <w:pPr>
        <w:pStyle w:val="Compact"/>
        <w:numPr>
          <w:ilvl w:val="0"/>
          <w:numId w:val="1043"/>
        </w:numPr>
      </w:pPr>
      <w:r>
        <w:t xml:space="preserve">Calvert EL et al. Long-term improvement in functional dyspepsia using hypnotherapy.</w:t>
      </w:r>
      <w:r>
        <w:t xml:space="preserve"> </w:t>
      </w:r>
      <w:r>
        <w:rPr>
          <w:i/>
          <w:iCs/>
        </w:rPr>
        <w:t xml:space="preserve">Gastroenterology</w:t>
      </w:r>
      <w:r>
        <w:t xml:space="preserve"> </w:t>
      </w:r>
      <w:r>
        <w:t xml:space="preserve">2002;123(6):1778-85.</w:t>
      </w:r>
      <w:r>
        <w:t xml:space="preserve"> </w:t>
      </w:r>
      <w:hyperlink r:id="rId138">
        <w:r>
          <w:rPr>
            <w:rStyle w:val="Hyperlink"/>
          </w:rPr>
          <w:t xml:space="preserve">PMID 12454833</w:t>
        </w:r>
      </w:hyperlink>
    </w:p>
    <w:p>
      <w:pPr>
        <w:pStyle w:val="Compact"/>
        <w:numPr>
          <w:ilvl w:val="0"/>
          <w:numId w:val="1043"/>
        </w:numPr>
      </w:pPr>
      <w:r>
        <w:t xml:space="preserve">Buckle RL et al. Randomized trial in postprandial functional dyspepsia: reassurance and diagnostic explanation with or without traditional dietary advice.</w:t>
      </w:r>
      <w:r>
        <w:t xml:space="preserve"> </w:t>
      </w:r>
      <w:r>
        <w:rPr>
          <w:i/>
          <w:iCs/>
        </w:rPr>
        <w:t xml:space="preserve">Neurogastroenterol Motil</w:t>
      </w:r>
      <w:r>
        <w:t xml:space="preserve"> </w:t>
      </w:r>
      <w:r>
        <w:t xml:space="preserve">2024;36(3):e14733.</w:t>
      </w:r>
      <w:r>
        <w:t xml:space="preserve"> </w:t>
      </w:r>
      <w:hyperlink r:id="rId139">
        <w:r>
          <w:rPr>
            <w:rStyle w:val="Hyperlink"/>
          </w:rPr>
          <w:t xml:space="preserve">PMID 38178367</w:t>
        </w:r>
      </w:hyperlink>
    </w:p>
    <w:p>
      <w:pPr>
        <w:pStyle w:val="Compact"/>
        <w:numPr>
          <w:ilvl w:val="0"/>
          <w:numId w:val="1043"/>
        </w:numPr>
      </w:pPr>
      <w:r>
        <w:t xml:space="preserve">Johannesson E et al. Physical activity improves symptoms in irritable bowel syndrome: a randomized controlled trial.</w:t>
      </w:r>
      <w:r>
        <w:t xml:space="preserve"> </w:t>
      </w:r>
      <w:r>
        <w:rPr>
          <w:i/>
          <w:iCs/>
        </w:rPr>
        <w:t xml:space="preserve">Am J Gastroenterol</w:t>
      </w:r>
      <w:r>
        <w:t xml:space="preserve"> </w:t>
      </w:r>
      <w:r>
        <w:t xml:space="preserve">2011;106(5):915-22.</w:t>
      </w:r>
      <w:r>
        <w:t xml:space="preserve"> </w:t>
      </w:r>
      <w:hyperlink r:id="rId140">
        <w:r>
          <w:rPr>
            <w:rStyle w:val="Hyperlink"/>
          </w:rPr>
          <w:t xml:space="preserve">PMID 21206488</w:t>
        </w:r>
      </w:hyperlink>
    </w:p>
    <w:p>
      <w:pPr>
        <w:pStyle w:val="Compact"/>
        <w:numPr>
          <w:ilvl w:val="0"/>
          <w:numId w:val="1043"/>
        </w:numPr>
      </w:pPr>
      <w:r>
        <w:t xml:space="preserve">Johannesson E et al. Intervention to increase physical activity in irritable bowel syndrome shows long-term positive effects.</w:t>
      </w:r>
      <w:r>
        <w:t xml:space="preserve"> </w:t>
      </w:r>
      <w:r>
        <w:rPr>
          <w:i/>
          <w:iCs/>
        </w:rPr>
        <w:t xml:space="preserve">World J Gastroenterol</w:t>
      </w:r>
      <w:r>
        <w:t xml:space="preserve"> </w:t>
      </w:r>
      <w:r>
        <w:t xml:space="preserve">2015;21(2):600-8.</w:t>
      </w:r>
      <w:r>
        <w:t xml:space="preserve"> </w:t>
      </w:r>
      <w:hyperlink r:id="rId141">
        <w:r>
          <w:rPr>
            <w:rStyle w:val="Hyperlink"/>
          </w:rPr>
          <w:t xml:space="preserve">PMID 25593485</w:t>
        </w:r>
      </w:hyperlink>
    </w:p>
    <w:p>
      <w:pPr>
        <w:pStyle w:val="Compact"/>
        <w:numPr>
          <w:ilvl w:val="0"/>
          <w:numId w:val="1043"/>
        </w:numPr>
      </w:pPr>
      <w:r>
        <w:t xml:space="preserve">Dai N, He Q, Liu X, Fang M, Xiong M, Li X, Li D, Liu J. Therapeutic massage/Tuina for treatment of functional dyspepsia: a systematic review and meta-analysis of randomized controlled trials.</w:t>
      </w:r>
      <w:r>
        <w:t xml:space="preserve"> </w:t>
      </w:r>
      <w:r>
        <w:rPr>
          <w:i/>
          <w:iCs/>
        </w:rPr>
        <w:t xml:space="preserve">Qual Life Res</w:t>
      </w:r>
      <w:r>
        <w:t xml:space="preserve"> </w:t>
      </w:r>
      <w:r>
        <w:t xml:space="preserve">2023;32(3):653-667.</w:t>
      </w:r>
      <w:r>
        <w:t xml:space="preserve"> </w:t>
      </w:r>
      <w:hyperlink r:id="rId142">
        <w:r>
          <w:rPr>
            <w:rStyle w:val="Hyperlink"/>
          </w:rPr>
          <w:t xml:space="preserve">PMID 35976600</w:t>
        </w:r>
      </w:hyperlink>
    </w:p>
    <w:p>
      <w:pPr>
        <w:pStyle w:val="Compact"/>
        <w:numPr>
          <w:ilvl w:val="0"/>
          <w:numId w:val="1043"/>
        </w:numPr>
      </w:pPr>
      <w:r>
        <w:t xml:space="preserve">Lin S, Ye R, Wu G, Wu L, et al. The effect of therapeutic massage combined with conventional therapy in children with functional dyspepsia: a systematic review and meta-analysis.</w:t>
      </w:r>
      <w:r>
        <w:t xml:space="preserve"> </w:t>
      </w:r>
      <w:r>
        <w:rPr>
          <w:i/>
          <w:iCs/>
        </w:rPr>
        <w:t xml:space="preserve">Front Pharmacol</w:t>
      </w:r>
      <w:r>
        <w:t xml:space="preserve"> </w:t>
      </w:r>
      <w:r>
        <w:t xml:space="preserve">2025;16:1554438.</w:t>
      </w:r>
      <w:r>
        <w:t xml:space="preserve"> </w:t>
      </w:r>
      <w:hyperlink r:id="rId143">
        <w:r>
          <w:rPr>
            <w:rStyle w:val="Hyperlink"/>
          </w:rPr>
          <w:t xml:space="preserve">PMID 40331196</w:t>
        </w:r>
      </w:hyperlink>
    </w:p>
    <w:p>
      <w:pPr>
        <w:pStyle w:val="Compact"/>
        <w:numPr>
          <w:ilvl w:val="0"/>
          <w:numId w:val="1043"/>
        </w:numPr>
      </w:pPr>
      <w:r>
        <w:t xml:space="preserve">Shi X, Zhao L, Luo H, Deng H, et al. Transcutaneous Auricular Vagal Nerve Stimulation Is Effective for the Treatment of Functional Dyspepsia: A Multicenter, Randomized Controlled Study.</w:t>
      </w:r>
      <w:r>
        <w:t xml:space="preserve"> </w:t>
      </w:r>
      <w:r>
        <w:rPr>
          <w:i/>
          <w:iCs/>
        </w:rPr>
        <w:t xml:space="preserve">Am J Gastroenterol</w:t>
      </w:r>
      <w:r>
        <w:t xml:space="preserve"> </w:t>
      </w:r>
      <w:r>
        <w:t xml:space="preserve">2024;119(3):521-531.</w:t>
      </w:r>
      <w:r>
        <w:t xml:space="preserve"> </w:t>
      </w:r>
      <w:hyperlink r:id="rId144">
        <w:r>
          <w:rPr>
            <w:rStyle w:val="Hyperlink"/>
          </w:rPr>
          <w:t xml:space="preserve">PMID 37787432</w:t>
        </w:r>
      </w:hyperlink>
    </w:p>
    <w:p>
      <w:pPr>
        <w:pStyle w:val="Compact"/>
        <w:numPr>
          <w:ilvl w:val="0"/>
          <w:numId w:val="1043"/>
        </w:numPr>
      </w:pPr>
      <w:r>
        <w:t xml:space="preserve">Lee B, Kwon CY, Jeong YK, Sclocco R, et al. Transcutaneous auricular vagus nerve stimulation for functional dyspepsia: a systematic review and meta-analysis.</w:t>
      </w:r>
      <w:r>
        <w:t xml:space="preserve"> </w:t>
      </w:r>
      <w:r>
        <w:rPr>
          <w:i/>
          <w:iCs/>
        </w:rPr>
        <w:t xml:space="preserve">Complement Ther Med</w:t>
      </w:r>
      <w:r>
        <w:t xml:space="preserve"> </w:t>
      </w:r>
      <w:r>
        <w:t xml:space="preserve">2025;94:103243.</w:t>
      </w:r>
      <w:r>
        <w:t xml:space="preserve"> </w:t>
      </w:r>
      <w:hyperlink r:id="rId145">
        <w:r>
          <w:rPr>
            <w:rStyle w:val="Hyperlink"/>
          </w:rPr>
          <w:t xml:space="preserve">PMID 40967422</w:t>
        </w:r>
      </w:hyperlink>
    </w:p>
    <w:p>
      <w:pPr>
        <w:pStyle w:val="Compact"/>
        <w:numPr>
          <w:ilvl w:val="0"/>
          <w:numId w:val="1043"/>
        </w:numPr>
      </w:pPr>
      <w:r>
        <w:t xml:space="preserve">Huang SY, Chiao CY, Chien LY. Effectiveness of abdominal massage on chronic constipation in adults: a systematic review and meta-analysis.</w:t>
      </w:r>
      <w:r>
        <w:t xml:space="preserve"> </w:t>
      </w:r>
      <w:r>
        <w:rPr>
          <w:i/>
          <w:iCs/>
        </w:rPr>
        <w:t xml:space="preserve">Int J Nurs Stud</w:t>
      </w:r>
      <w:r>
        <w:t xml:space="preserve"> </w:t>
      </w:r>
      <w:r>
        <w:t xml:space="preserve">2025;161:104936.</w:t>
      </w:r>
      <w:r>
        <w:t xml:space="preserve"> </w:t>
      </w:r>
      <w:hyperlink r:id="rId146">
        <w:r>
          <w:rPr>
            <w:rStyle w:val="Hyperlink"/>
          </w:rPr>
          <w:t xml:space="preserve">PMID 39531948</w:t>
        </w:r>
      </w:hyperlink>
    </w:p>
    <w:p>
      <w:pPr>
        <w:pStyle w:val="Compact"/>
        <w:numPr>
          <w:ilvl w:val="0"/>
          <w:numId w:val="1043"/>
        </w:numPr>
      </w:pPr>
      <w:r>
        <w:t xml:space="preserve">Yoshida K, Abe T, Kanbara K, Ueda K, Saka-Kouchi Y, Hasuo H. Patients with postprandial distress syndrome experience problems with their interoceptive perceptual function to the gastric region, but their heartbeat perception is normal: a case control study.</w:t>
      </w:r>
      <w:r>
        <w:t xml:space="preserve"> </w:t>
      </w:r>
      <w:r>
        <w:rPr>
          <w:i/>
          <w:iCs/>
        </w:rPr>
        <w:t xml:space="preserve">Biopsychosoc Med</w:t>
      </w:r>
      <w:r>
        <w:t xml:space="preserve"> </w:t>
      </w:r>
      <w:r>
        <w:t xml:space="preserve">2023;17(1):35.</w:t>
      </w:r>
      <w:r>
        <w:t xml:space="preserve"> </w:t>
      </w:r>
      <w:hyperlink r:id="rId147">
        <w:r>
          <w:rPr>
            <w:rStyle w:val="Hyperlink"/>
          </w:rPr>
          <w:t xml:space="preserve">PMID 37807053</w:t>
        </w:r>
      </w:hyperlink>
    </w:p>
    <w:p>
      <w:pPr>
        <w:pStyle w:val="Compact"/>
        <w:numPr>
          <w:ilvl w:val="0"/>
          <w:numId w:val="1043"/>
        </w:numPr>
      </w:pPr>
      <w:r>
        <w:t xml:space="preserve">Salaris A, Cantoni C, Ciccarone S, Mocci C, et al. Multimodal Psychophysiological Assessment Reveals Gastric but Not Cardiac Interoception Deficits in Disorders of Gut-Brain Interaction.</w:t>
      </w:r>
      <w:r>
        <w:t xml:space="preserve"> </w:t>
      </w:r>
      <w:r>
        <w:rPr>
          <w:i/>
          <w:iCs/>
        </w:rPr>
        <w:t xml:space="preserve">Psychophysiology</w:t>
      </w:r>
      <w:r>
        <w:t xml:space="preserve"> </w:t>
      </w:r>
      <w:r>
        <w:t xml:space="preserve">2025;62(12):e70207.</w:t>
      </w:r>
      <w:r>
        <w:t xml:space="preserve"> </w:t>
      </w:r>
      <w:hyperlink r:id="rId148">
        <w:r>
          <w:rPr>
            <w:rStyle w:val="Hyperlink"/>
          </w:rPr>
          <w:t xml:space="preserve">PMID 41367122</w:t>
        </w:r>
      </w:hyperlink>
    </w:p>
    <w:p>
      <w:pPr>
        <w:pStyle w:val="Compact"/>
        <w:numPr>
          <w:ilvl w:val="0"/>
          <w:numId w:val="1043"/>
        </w:numPr>
      </w:pPr>
      <w:r>
        <w:t xml:space="preserve">Eherer AJ, Netolitzky F, Högenauer C, Puschnig G, et al. Positive effect of abdominal breathing exercise on gastroesophageal reflux disease: a randomized, controlled study.</w:t>
      </w:r>
      <w:r>
        <w:t xml:space="preserve"> </w:t>
      </w:r>
      <w:r>
        <w:rPr>
          <w:i/>
          <w:iCs/>
        </w:rPr>
        <w:t xml:space="preserve">Am J Gastroenterol</w:t>
      </w:r>
      <w:r>
        <w:t xml:space="preserve"> </w:t>
      </w:r>
      <w:r>
        <w:t xml:space="preserve">2012;107(3):372-378.</w:t>
      </w:r>
      <w:r>
        <w:t xml:space="preserve"> </w:t>
      </w:r>
      <w:hyperlink r:id="rId149">
        <w:r>
          <w:rPr>
            <w:rStyle w:val="Hyperlink"/>
          </w:rPr>
          <w:t xml:space="preserve">PMID 22146488</w:t>
        </w:r>
      </w:hyperlink>
    </w:p>
    <w:p>
      <w:pPr>
        <w:pStyle w:val="Compact"/>
        <w:numPr>
          <w:ilvl w:val="0"/>
          <w:numId w:val="1043"/>
        </w:numPr>
      </w:pPr>
      <w:r>
        <w:t xml:space="preserve">Huang X, Oshima T, Tomita T, Fukui H, Miwa H. Meta-Analysis: Placebo Response and Its Determinants in Functional Dyspepsia.</w:t>
      </w:r>
      <w:r>
        <w:t xml:space="preserve"> </w:t>
      </w:r>
      <w:r>
        <w:rPr>
          <w:i/>
          <w:iCs/>
        </w:rPr>
        <w:t xml:space="preserve">Am J Gastroenterol</w:t>
      </w:r>
      <w:r>
        <w:t xml:space="preserve"> </w:t>
      </w:r>
      <w:r>
        <w:t xml:space="preserve">2021;116(11):2184-2196.</w:t>
      </w:r>
      <w:r>
        <w:t xml:space="preserve"> </w:t>
      </w:r>
      <w:hyperlink r:id="rId150">
        <w:r>
          <w:rPr>
            <w:rStyle w:val="Hyperlink"/>
          </w:rPr>
          <w:t xml:space="preserve">PMID 34404084</w:t>
        </w:r>
      </w:hyperlink>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6" Target="https://pubmed.ncbi.nlm.nih.gov/11189015/" TargetMode="External" /><Relationship Type="http://schemas.openxmlformats.org/officeDocument/2006/relationships/hyperlink" Id="rId95" Target="https://pubmed.ncbi.nlm.nih.gov/11522735/" TargetMode="External" /><Relationship Type="http://schemas.openxmlformats.org/officeDocument/2006/relationships/hyperlink" Id="rId138" Target="https://pubmed.ncbi.nlm.nih.gov/12454833/" TargetMode="External" /><Relationship Type="http://schemas.openxmlformats.org/officeDocument/2006/relationships/hyperlink" Id="rId132" Target="https://pubmed.ncbi.nlm.nih.gov/16890592/" TargetMode="External" /><Relationship Type="http://schemas.openxmlformats.org/officeDocument/2006/relationships/hyperlink" Id="rId115" Target="https://pubmed.ncbi.nlm.nih.gov/17710670/" TargetMode="External" /><Relationship Type="http://schemas.openxmlformats.org/officeDocument/2006/relationships/hyperlink" Id="rId112" Target="https://pubmed.ncbi.nlm.nih.gov/18378497/" TargetMode="External" /><Relationship Type="http://schemas.openxmlformats.org/officeDocument/2006/relationships/hyperlink" Id="rId121" Target="https://pubmed.ncbi.nlm.nih.gov/18390493/" TargetMode="External" /><Relationship Type="http://schemas.openxmlformats.org/officeDocument/2006/relationships/hyperlink" Id="rId140" Target="https://pubmed.ncbi.nlm.nih.gov/21206488/" TargetMode="External" /><Relationship Type="http://schemas.openxmlformats.org/officeDocument/2006/relationships/hyperlink" Id="rId101" Target="https://pubmed.ncbi.nlm.nih.gov/22137573/" TargetMode="External" /><Relationship Type="http://schemas.openxmlformats.org/officeDocument/2006/relationships/hyperlink" Id="rId149" Target="https://pubmed.ncbi.nlm.nih.gov/22146488/" TargetMode="External" /><Relationship Type="http://schemas.openxmlformats.org/officeDocument/2006/relationships/hyperlink" Id="rId110" Target="https://pubmed.ncbi.nlm.nih.gov/22234979/" TargetMode="External" /><Relationship Type="http://schemas.openxmlformats.org/officeDocument/2006/relationships/hyperlink" Id="rId123" Target="https://pubmed.ncbi.nlm.nih.gov/22448849/" TargetMode="External" /><Relationship Type="http://schemas.openxmlformats.org/officeDocument/2006/relationships/hyperlink" Id="rId111" Target="https://pubmed.ncbi.nlm.nih.gov/23474421/" TargetMode="External" /><Relationship Type="http://schemas.openxmlformats.org/officeDocument/2006/relationships/hyperlink" Id="rId127" Target="https://pubmed.ncbi.nlm.nih.gov/23800296/" TargetMode="External" /><Relationship Type="http://schemas.openxmlformats.org/officeDocument/2006/relationships/hyperlink" Id="rId135" Target="https://pubmed.ncbi.nlm.nih.gov/23981319/" TargetMode="External" /><Relationship Type="http://schemas.openxmlformats.org/officeDocument/2006/relationships/hyperlink" Id="rId105" Target="https://pubmed.ncbi.nlm.nih.gov/24252886/" TargetMode="External" /><Relationship Type="http://schemas.openxmlformats.org/officeDocument/2006/relationships/hyperlink" Id="rId137" Target="https://pubmed.ncbi.nlm.nih.gov/25398225/" TargetMode="External" /><Relationship Type="http://schemas.openxmlformats.org/officeDocument/2006/relationships/hyperlink" Id="rId92" Target="https://pubmed.ncbi.nlm.nih.gov/25500424/" TargetMode="External" /><Relationship Type="http://schemas.openxmlformats.org/officeDocument/2006/relationships/hyperlink" Id="rId141" Target="https://pubmed.ncbi.nlm.nih.gov/25593485/" TargetMode="External" /><Relationship Type="http://schemas.openxmlformats.org/officeDocument/2006/relationships/hyperlink" Id="rId109" Target="https://pubmed.ncbi.nlm.nih.gov/25921377/" TargetMode="External" /><Relationship Type="http://schemas.openxmlformats.org/officeDocument/2006/relationships/hyperlink" Id="rId103" Target="https://pubmed.ncbi.nlm.nih.gov/26661735/" TargetMode="External" /><Relationship Type="http://schemas.openxmlformats.org/officeDocument/2006/relationships/hyperlink" Id="rId97" Target="https://pubmed.ncbi.nlm.nih.gov/27147122/" TargetMode="External" /><Relationship Type="http://schemas.openxmlformats.org/officeDocument/2006/relationships/hyperlink" Id="rId130" Target="https://pubmed.ncbi.nlm.nih.gov/28631728/" TargetMode="External" /><Relationship Type="http://schemas.openxmlformats.org/officeDocument/2006/relationships/hyperlink" Id="rId91" Target="https://pubmed.ncbi.nlm.nih.gov/28705783/" TargetMode="External" /><Relationship Type="http://schemas.openxmlformats.org/officeDocument/2006/relationships/hyperlink" Id="rId129" Target="https://pubmed.ncbi.nlm.nih.gov/29161458/" TargetMode="External" /><Relationship Type="http://schemas.openxmlformats.org/officeDocument/2006/relationships/hyperlink" Id="rId119" Target="https://pubmed.ncbi.nlm.nih.gov/29452579/" TargetMode="External" /><Relationship Type="http://schemas.openxmlformats.org/officeDocument/2006/relationships/hyperlink" Id="rId133" Target="https://pubmed.ncbi.nlm.nih.gov/30564376/" TargetMode="External" /><Relationship Type="http://schemas.openxmlformats.org/officeDocument/2006/relationships/hyperlink" Id="rId107" Target="https://pubmed.ncbi.nlm.nih.gov/32148185/" TargetMode="External" /><Relationship Type="http://schemas.openxmlformats.org/officeDocument/2006/relationships/hyperlink" Id="rId100" Target="https://pubmed.ncbi.nlm.nih.gov/33049222/" TargetMode="External" /><Relationship Type="http://schemas.openxmlformats.org/officeDocument/2006/relationships/hyperlink" Id="rId104" Target="https://pubmed.ncbi.nlm.nih.gov/33991432/" TargetMode="External" /><Relationship Type="http://schemas.openxmlformats.org/officeDocument/2006/relationships/hyperlink" Id="rId102" Target="https://pubmed.ncbi.nlm.nih.gov/34399024/" TargetMode="External" /><Relationship Type="http://schemas.openxmlformats.org/officeDocument/2006/relationships/hyperlink" Id="rId150" Target="https://pubmed.ncbi.nlm.nih.gov/34404084/" TargetMode="External" /><Relationship Type="http://schemas.openxmlformats.org/officeDocument/2006/relationships/hyperlink" Id="rId116" Target="https://pubmed.ncbi.nlm.nih.gov/35465581/" TargetMode="External" /><Relationship Type="http://schemas.openxmlformats.org/officeDocument/2006/relationships/hyperlink" Id="rId108" Target="https://pubmed.ncbi.nlm.nih.gov/35623448/" TargetMode="External" /><Relationship Type="http://schemas.openxmlformats.org/officeDocument/2006/relationships/hyperlink" Id="rId142" Target="https://pubmed.ncbi.nlm.nih.gov/35976600/" TargetMode="External" /><Relationship Type="http://schemas.openxmlformats.org/officeDocument/2006/relationships/hyperlink" Id="rId93" Target="https://pubmed.ncbi.nlm.nih.gov/36191283/" TargetMode="External" /><Relationship Type="http://schemas.openxmlformats.org/officeDocument/2006/relationships/hyperlink" Id="rId99" Target="https://pubmed.ncbi.nlm.nih.gov/36286762/" TargetMode="External" /><Relationship Type="http://schemas.openxmlformats.org/officeDocument/2006/relationships/hyperlink" Id="rId122" Target="https://pubmed.ncbi.nlm.nih.gov/37301564/" TargetMode="External" /><Relationship Type="http://schemas.openxmlformats.org/officeDocument/2006/relationships/hyperlink" Id="rId114" Target="https://pubmed.ncbi.nlm.nih.gov/37685480/" TargetMode="External" /><Relationship Type="http://schemas.openxmlformats.org/officeDocument/2006/relationships/hyperlink" Id="rId144" Target="https://pubmed.ncbi.nlm.nih.gov/37787432/" TargetMode="External" /><Relationship Type="http://schemas.openxmlformats.org/officeDocument/2006/relationships/hyperlink" Id="rId147" Target="https://pubmed.ncbi.nlm.nih.gov/37807053/" TargetMode="External" /><Relationship Type="http://schemas.openxmlformats.org/officeDocument/2006/relationships/hyperlink" Id="rId139" Target="https://pubmed.ncbi.nlm.nih.gov/38178367/" TargetMode="External" /><Relationship Type="http://schemas.openxmlformats.org/officeDocument/2006/relationships/hyperlink" Id="rId98" Target="https://pubmed.ncbi.nlm.nih.gov/38378941/" TargetMode="External" /><Relationship Type="http://schemas.openxmlformats.org/officeDocument/2006/relationships/hyperlink" Id="rId134" Target="https://pubmed.ncbi.nlm.nih.gov/38411408/" TargetMode="External" /><Relationship Type="http://schemas.openxmlformats.org/officeDocument/2006/relationships/hyperlink" Id="rId90" Target="https://pubmed.ncbi.nlm.nih.gov/38467383/" TargetMode="External" /><Relationship Type="http://schemas.openxmlformats.org/officeDocument/2006/relationships/hyperlink" Id="rId128" Target="https://pubmed.ncbi.nlm.nih.gov/38595149/" TargetMode="External" /><Relationship Type="http://schemas.openxmlformats.org/officeDocument/2006/relationships/hyperlink" Id="rId120" Target="https://pubmed.ncbi.nlm.nih.gov/39229406/" TargetMode="External" /><Relationship Type="http://schemas.openxmlformats.org/officeDocument/2006/relationships/hyperlink" Id="rId146" Target="https://pubmed.ncbi.nlm.nih.gov/39531948/" TargetMode="External" /><Relationship Type="http://schemas.openxmlformats.org/officeDocument/2006/relationships/hyperlink" Id="rId117" Target="https://pubmed.ncbi.nlm.nih.gov/39920074/" TargetMode="External" /><Relationship Type="http://schemas.openxmlformats.org/officeDocument/2006/relationships/hyperlink" Id="rId118" Target="https://pubmed.ncbi.nlm.nih.gov/40232939/" TargetMode="External" /><Relationship Type="http://schemas.openxmlformats.org/officeDocument/2006/relationships/hyperlink" Id="rId143" Target="https://pubmed.ncbi.nlm.nih.gov/40331196/" TargetMode="External" /><Relationship Type="http://schemas.openxmlformats.org/officeDocument/2006/relationships/hyperlink" Id="rId124" Target="https://pubmed.ncbi.nlm.nih.gov/40356540/" TargetMode="External" /><Relationship Type="http://schemas.openxmlformats.org/officeDocument/2006/relationships/hyperlink" Id="rId113" Target="https://pubmed.ncbi.nlm.nih.gov/40851353/" TargetMode="External" /><Relationship Type="http://schemas.openxmlformats.org/officeDocument/2006/relationships/hyperlink" Id="rId145" Target="https://pubmed.ncbi.nlm.nih.gov/40967422/" TargetMode="External" /><Relationship Type="http://schemas.openxmlformats.org/officeDocument/2006/relationships/hyperlink" Id="rId148" Target="https://pubmed.ncbi.nlm.nih.gov/41367122/" TargetMode="External" /><Relationship Type="http://schemas.openxmlformats.org/officeDocument/2006/relationships/hyperlink" Id="rId136" Target="https://pubmed.ncbi.nlm.nih.gov/41670783/" TargetMode="External" /><Relationship Type="http://schemas.openxmlformats.org/officeDocument/2006/relationships/hyperlink" Id="rId126" Target="https://pubmed.ncbi.nlm.nih.gov/41981598/" TargetMode="External" /><Relationship Type="http://schemas.openxmlformats.org/officeDocument/2006/relationships/hyperlink" Id="rId96" Target="https://pubmed.ncbi.nlm.nih.gov/8612991/" TargetMode="External" /><Relationship Type="http://schemas.openxmlformats.org/officeDocument/2006/relationships/hyperlink" Id="rId125" Target="https://pubmed.ncbi.nlm.nih.gov/8793925/" TargetMode="External" /><Relationship Type="http://schemas.openxmlformats.org/officeDocument/2006/relationships/hyperlink" Id="rId94" Target="https://pubmed.ncbi.nlm.nih.gov/9834261/" TargetMode="External" /><Relationship Type="http://schemas.openxmlformats.org/officeDocument/2006/relationships/hyperlink" Id="rId131" Target="https://www.nice.org.uk/guidance/ng12" TargetMode="External" /></Relationships>
</file>

<file path=word/_rels/footnotes.xml.rels><?xml version="1.0" encoding="UTF-8"?><Relationships xmlns="http://schemas.openxmlformats.org/package/2006/relationships"><Relationship Type="http://schemas.openxmlformats.org/officeDocument/2006/relationships/hyperlink" Id="rId106" Target="https://pubmed.ncbi.nlm.nih.gov/11189015/" TargetMode="External" /><Relationship Type="http://schemas.openxmlformats.org/officeDocument/2006/relationships/hyperlink" Id="rId95" Target="https://pubmed.ncbi.nlm.nih.gov/11522735/" TargetMode="External" /><Relationship Type="http://schemas.openxmlformats.org/officeDocument/2006/relationships/hyperlink" Id="rId138" Target="https://pubmed.ncbi.nlm.nih.gov/12454833/" TargetMode="External" /><Relationship Type="http://schemas.openxmlformats.org/officeDocument/2006/relationships/hyperlink" Id="rId132" Target="https://pubmed.ncbi.nlm.nih.gov/16890592/" TargetMode="External" /><Relationship Type="http://schemas.openxmlformats.org/officeDocument/2006/relationships/hyperlink" Id="rId115" Target="https://pubmed.ncbi.nlm.nih.gov/17710670/" TargetMode="External" /><Relationship Type="http://schemas.openxmlformats.org/officeDocument/2006/relationships/hyperlink" Id="rId112" Target="https://pubmed.ncbi.nlm.nih.gov/18378497/" TargetMode="External" /><Relationship Type="http://schemas.openxmlformats.org/officeDocument/2006/relationships/hyperlink" Id="rId121" Target="https://pubmed.ncbi.nlm.nih.gov/18390493/" TargetMode="External" /><Relationship Type="http://schemas.openxmlformats.org/officeDocument/2006/relationships/hyperlink" Id="rId140" Target="https://pubmed.ncbi.nlm.nih.gov/21206488/" TargetMode="External" /><Relationship Type="http://schemas.openxmlformats.org/officeDocument/2006/relationships/hyperlink" Id="rId101" Target="https://pubmed.ncbi.nlm.nih.gov/22137573/" TargetMode="External" /><Relationship Type="http://schemas.openxmlformats.org/officeDocument/2006/relationships/hyperlink" Id="rId149" Target="https://pubmed.ncbi.nlm.nih.gov/22146488/" TargetMode="External" /><Relationship Type="http://schemas.openxmlformats.org/officeDocument/2006/relationships/hyperlink" Id="rId110" Target="https://pubmed.ncbi.nlm.nih.gov/22234979/" TargetMode="External" /><Relationship Type="http://schemas.openxmlformats.org/officeDocument/2006/relationships/hyperlink" Id="rId123" Target="https://pubmed.ncbi.nlm.nih.gov/22448849/" TargetMode="External" /><Relationship Type="http://schemas.openxmlformats.org/officeDocument/2006/relationships/hyperlink" Id="rId111" Target="https://pubmed.ncbi.nlm.nih.gov/23474421/" TargetMode="External" /><Relationship Type="http://schemas.openxmlformats.org/officeDocument/2006/relationships/hyperlink" Id="rId127" Target="https://pubmed.ncbi.nlm.nih.gov/23800296/" TargetMode="External" /><Relationship Type="http://schemas.openxmlformats.org/officeDocument/2006/relationships/hyperlink" Id="rId135" Target="https://pubmed.ncbi.nlm.nih.gov/23981319/" TargetMode="External" /><Relationship Type="http://schemas.openxmlformats.org/officeDocument/2006/relationships/hyperlink" Id="rId105" Target="https://pubmed.ncbi.nlm.nih.gov/24252886/" TargetMode="External" /><Relationship Type="http://schemas.openxmlformats.org/officeDocument/2006/relationships/hyperlink" Id="rId137" Target="https://pubmed.ncbi.nlm.nih.gov/25398225/" TargetMode="External" /><Relationship Type="http://schemas.openxmlformats.org/officeDocument/2006/relationships/hyperlink" Id="rId92" Target="https://pubmed.ncbi.nlm.nih.gov/25500424/" TargetMode="External" /><Relationship Type="http://schemas.openxmlformats.org/officeDocument/2006/relationships/hyperlink" Id="rId141" Target="https://pubmed.ncbi.nlm.nih.gov/25593485/" TargetMode="External" /><Relationship Type="http://schemas.openxmlformats.org/officeDocument/2006/relationships/hyperlink" Id="rId109" Target="https://pubmed.ncbi.nlm.nih.gov/25921377/" TargetMode="External" /><Relationship Type="http://schemas.openxmlformats.org/officeDocument/2006/relationships/hyperlink" Id="rId103" Target="https://pubmed.ncbi.nlm.nih.gov/26661735/" TargetMode="External" /><Relationship Type="http://schemas.openxmlformats.org/officeDocument/2006/relationships/hyperlink" Id="rId97" Target="https://pubmed.ncbi.nlm.nih.gov/27147122/" TargetMode="External" /><Relationship Type="http://schemas.openxmlformats.org/officeDocument/2006/relationships/hyperlink" Id="rId130" Target="https://pubmed.ncbi.nlm.nih.gov/28631728/" TargetMode="External" /><Relationship Type="http://schemas.openxmlformats.org/officeDocument/2006/relationships/hyperlink" Id="rId91" Target="https://pubmed.ncbi.nlm.nih.gov/28705783/" TargetMode="External" /><Relationship Type="http://schemas.openxmlformats.org/officeDocument/2006/relationships/hyperlink" Id="rId129" Target="https://pubmed.ncbi.nlm.nih.gov/29161458/" TargetMode="External" /><Relationship Type="http://schemas.openxmlformats.org/officeDocument/2006/relationships/hyperlink" Id="rId119" Target="https://pubmed.ncbi.nlm.nih.gov/29452579/" TargetMode="External" /><Relationship Type="http://schemas.openxmlformats.org/officeDocument/2006/relationships/hyperlink" Id="rId133" Target="https://pubmed.ncbi.nlm.nih.gov/30564376/" TargetMode="External" /><Relationship Type="http://schemas.openxmlformats.org/officeDocument/2006/relationships/hyperlink" Id="rId107" Target="https://pubmed.ncbi.nlm.nih.gov/32148185/" TargetMode="External" /><Relationship Type="http://schemas.openxmlformats.org/officeDocument/2006/relationships/hyperlink" Id="rId100" Target="https://pubmed.ncbi.nlm.nih.gov/33049222/" TargetMode="External" /><Relationship Type="http://schemas.openxmlformats.org/officeDocument/2006/relationships/hyperlink" Id="rId104" Target="https://pubmed.ncbi.nlm.nih.gov/33991432/" TargetMode="External" /><Relationship Type="http://schemas.openxmlformats.org/officeDocument/2006/relationships/hyperlink" Id="rId102" Target="https://pubmed.ncbi.nlm.nih.gov/34399024/" TargetMode="External" /><Relationship Type="http://schemas.openxmlformats.org/officeDocument/2006/relationships/hyperlink" Id="rId150" Target="https://pubmed.ncbi.nlm.nih.gov/34404084/" TargetMode="External" /><Relationship Type="http://schemas.openxmlformats.org/officeDocument/2006/relationships/hyperlink" Id="rId116" Target="https://pubmed.ncbi.nlm.nih.gov/35465581/" TargetMode="External" /><Relationship Type="http://schemas.openxmlformats.org/officeDocument/2006/relationships/hyperlink" Id="rId108" Target="https://pubmed.ncbi.nlm.nih.gov/35623448/" TargetMode="External" /><Relationship Type="http://schemas.openxmlformats.org/officeDocument/2006/relationships/hyperlink" Id="rId142" Target="https://pubmed.ncbi.nlm.nih.gov/35976600/" TargetMode="External" /><Relationship Type="http://schemas.openxmlformats.org/officeDocument/2006/relationships/hyperlink" Id="rId93" Target="https://pubmed.ncbi.nlm.nih.gov/36191283/" TargetMode="External" /><Relationship Type="http://schemas.openxmlformats.org/officeDocument/2006/relationships/hyperlink" Id="rId99" Target="https://pubmed.ncbi.nlm.nih.gov/36286762/" TargetMode="External" /><Relationship Type="http://schemas.openxmlformats.org/officeDocument/2006/relationships/hyperlink" Id="rId122" Target="https://pubmed.ncbi.nlm.nih.gov/37301564/" TargetMode="External" /><Relationship Type="http://schemas.openxmlformats.org/officeDocument/2006/relationships/hyperlink" Id="rId114" Target="https://pubmed.ncbi.nlm.nih.gov/37685480/" TargetMode="External" /><Relationship Type="http://schemas.openxmlformats.org/officeDocument/2006/relationships/hyperlink" Id="rId144" Target="https://pubmed.ncbi.nlm.nih.gov/37787432/" TargetMode="External" /><Relationship Type="http://schemas.openxmlformats.org/officeDocument/2006/relationships/hyperlink" Id="rId147" Target="https://pubmed.ncbi.nlm.nih.gov/37807053/" TargetMode="External" /><Relationship Type="http://schemas.openxmlformats.org/officeDocument/2006/relationships/hyperlink" Id="rId139" Target="https://pubmed.ncbi.nlm.nih.gov/38178367/" TargetMode="External" /><Relationship Type="http://schemas.openxmlformats.org/officeDocument/2006/relationships/hyperlink" Id="rId98" Target="https://pubmed.ncbi.nlm.nih.gov/38378941/" TargetMode="External" /><Relationship Type="http://schemas.openxmlformats.org/officeDocument/2006/relationships/hyperlink" Id="rId134" Target="https://pubmed.ncbi.nlm.nih.gov/38411408/" TargetMode="External" /><Relationship Type="http://schemas.openxmlformats.org/officeDocument/2006/relationships/hyperlink" Id="rId90" Target="https://pubmed.ncbi.nlm.nih.gov/38467383/" TargetMode="External" /><Relationship Type="http://schemas.openxmlformats.org/officeDocument/2006/relationships/hyperlink" Id="rId128" Target="https://pubmed.ncbi.nlm.nih.gov/38595149/" TargetMode="External" /><Relationship Type="http://schemas.openxmlformats.org/officeDocument/2006/relationships/hyperlink" Id="rId120" Target="https://pubmed.ncbi.nlm.nih.gov/39229406/" TargetMode="External" /><Relationship Type="http://schemas.openxmlformats.org/officeDocument/2006/relationships/hyperlink" Id="rId146" Target="https://pubmed.ncbi.nlm.nih.gov/39531948/" TargetMode="External" /><Relationship Type="http://schemas.openxmlformats.org/officeDocument/2006/relationships/hyperlink" Id="rId117" Target="https://pubmed.ncbi.nlm.nih.gov/39920074/" TargetMode="External" /><Relationship Type="http://schemas.openxmlformats.org/officeDocument/2006/relationships/hyperlink" Id="rId118" Target="https://pubmed.ncbi.nlm.nih.gov/40232939/" TargetMode="External" /><Relationship Type="http://schemas.openxmlformats.org/officeDocument/2006/relationships/hyperlink" Id="rId143" Target="https://pubmed.ncbi.nlm.nih.gov/40331196/" TargetMode="External" /><Relationship Type="http://schemas.openxmlformats.org/officeDocument/2006/relationships/hyperlink" Id="rId124" Target="https://pubmed.ncbi.nlm.nih.gov/40356540/" TargetMode="External" /><Relationship Type="http://schemas.openxmlformats.org/officeDocument/2006/relationships/hyperlink" Id="rId113" Target="https://pubmed.ncbi.nlm.nih.gov/40851353/" TargetMode="External" /><Relationship Type="http://schemas.openxmlformats.org/officeDocument/2006/relationships/hyperlink" Id="rId145" Target="https://pubmed.ncbi.nlm.nih.gov/40967422/" TargetMode="External" /><Relationship Type="http://schemas.openxmlformats.org/officeDocument/2006/relationships/hyperlink" Id="rId148" Target="https://pubmed.ncbi.nlm.nih.gov/41367122/" TargetMode="External" /><Relationship Type="http://schemas.openxmlformats.org/officeDocument/2006/relationships/hyperlink" Id="rId136" Target="https://pubmed.ncbi.nlm.nih.gov/41670783/" TargetMode="External" /><Relationship Type="http://schemas.openxmlformats.org/officeDocument/2006/relationships/hyperlink" Id="rId126" Target="https://pubmed.ncbi.nlm.nih.gov/41981598/" TargetMode="External" /><Relationship Type="http://schemas.openxmlformats.org/officeDocument/2006/relationships/hyperlink" Id="rId96" Target="https://pubmed.ncbi.nlm.nih.gov/8612991/" TargetMode="External" /><Relationship Type="http://schemas.openxmlformats.org/officeDocument/2006/relationships/hyperlink" Id="rId125" Target="https://pubmed.ncbi.nlm.nih.gov/8793925/" TargetMode="External" /><Relationship Type="http://schemas.openxmlformats.org/officeDocument/2006/relationships/hyperlink" Id="rId94" Target="https://pubmed.ncbi.nlm.nih.gov/9834261/" TargetMode="External" /><Relationship Type="http://schemas.openxmlformats.org/officeDocument/2006/relationships/hyperlink" Id="rId131" Target="https://www.nice.org.uk/guidance/ng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Problemi Digestivi</dc:title>
  <dc:creator>Mobilitas — Direzione Osteopatica</dc:creator>
  <dc:language>it-IT</dc:language>
  <cp:keywords/>
  <dcterms:created xsi:type="dcterms:W3CDTF">2026-08-27T21:54:02Z</dcterms:created>
  <dcterms:modified xsi:type="dcterms:W3CDTF">2026-08-27T21:54:02Z</dcterms:modified>
</cp:coreProperties>
</file>

<file path=docProps/custom.xml><?xml version="1.0" encoding="utf-8"?>
<Properties xmlns="http://schemas.openxmlformats.org/officeDocument/2006/custom-properties" xmlns:vt="http://schemas.openxmlformats.org/officeDocument/2006/docPropsVTypes"/>
</file>