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9" w:name="mappa-concettuale-problemi-digestivi"/>
    <w:p>
      <w:pPr>
        <w:pStyle w:val="Heading1"/>
      </w:pPr>
      <w:r>
        <w:t xml:space="preserve">Mappa concettuale — Problemi digestivi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dispepsia funzionale, gonfiore e distensione addominale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Jan Tack, KU Leuven ·</w:t>
      </w:r>
      <w:r>
        <w:t xml:space="preserve"> </w:t>
      </w:r>
      <w:r>
        <w:rPr>
          <w:b/>
          <w:bCs/>
        </w:rPr>
        <w:t xml:space="preserve">Ancora fisiologica e meccanica:</w:t>
      </w:r>
      <w:r>
        <w:t xml:space="preserve"> </w:t>
      </w:r>
      <w:r>
        <w:t xml:space="preserve">Fernando Azpiroz, Vall d’Hebron, Barcellona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finale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27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Sono sintomi gastroduodenali che durano da mesi senza una causa strutturale: pesantezza, sazietà precoce, nausea, bruciore, pancia gonfia.</w:t>
      </w:r>
      <w:r>
        <w:t xml:space="preserve"> </w:t>
      </w:r>
      <w:r>
        <w:t xml:space="preserve">Riguarda 8 persone su 100 nel mondo, più le donne degli uomini. Circa 8 dispepsie su 10 sono funzionali.</w:t>
      </w:r>
      <w:r>
        <w:t xml:space="preserve"> </w:t>
      </w:r>
      <w:r>
        <w:t xml:space="preserve">Fluttua, e in molti resta. A dieci anni metà del campione islandese non aveva più sintomi e un terzo ne aveva di diversi; ma sulla sola dispepsia la storia naturale è cronica.</w:t>
      </w:r>
    </w:p>
    <w:bookmarkEnd w:id="9"/>
    <w:bookmarkStart w:id="10" w:name="la-sequenza-causale"/>
    <w:p>
      <w:pPr>
        <w:pStyle w:val="Heading2"/>
      </w:pPr>
      <w:r>
        <w:t xml:space="preserve">2 · La sequenza causale</w:t>
      </w:r>
    </w:p>
    <w:p>
      <w:pPr>
        <w:pStyle w:val="FirstParagraph"/>
      </w:pPr>
      <w:r>
        <w:rPr>
          <w:rStyle w:val="VerbatimChar"/>
        </w:rPr>
        <w:t xml:space="preserve">segnale di gonfiore sopra soglia → il diaframma si contrae e scende per via frenica (12 mm) → gli intercostali si contraggono e il torace si allarga → la parete addominale si rilascia → la circonferenza cresce di 32 mm a contenuto invariato → il paziente vede la pancia gonfia</w: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Dissinergia addomino-frenica</w:t>
            </w:r>
          </w:p>
        </w:tc>
        <w:tc>
          <w:tcPr/>
          <w:p>
            <w:pPr>
              <w:pStyle w:val="Compact"/>
            </w:pPr>
            <w:r>
              <w:t xml:space="preserve">La pancia si vede crescere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Accomodazione gastrica alterata</w:t>
            </w:r>
          </w:p>
        </w:tc>
        <w:tc>
          <w:tcPr/>
          <w:p>
            <w:pPr>
              <w:pStyle w:val="Compact"/>
            </w:pPr>
            <w:r>
              <w:t xml:space="preserve">Sazietà con due bocconi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Svuotamento gastrico rallentato</w:t>
            </w:r>
          </w:p>
        </w:tc>
        <w:tc>
          <w:tcPr/>
          <w:p>
            <w:pPr>
              <w:pStyle w:val="Compact"/>
            </w:pPr>
            <w:r>
              <w:t xml:space="preserve">Pesantezza per ore, nausea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percettiva abbassata</w:t>
            </w:r>
          </w:p>
        </w:tc>
        <w:tc>
          <w:tcPr/>
          <w:p>
            <w:pPr>
              <w:pStyle w:val="Compact"/>
            </w:pPr>
            <w:r>
              <w:t xml:space="preserve">«Non c’è una regola»</w:t>
            </w:r>
          </w:p>
        </w:tc>
        <w:tc>
          <w:tcPr/>
          <w:p>
            <w:pPr>
              <w:pStyle w:val="Compact"/>
            </w:pPr>
            <w:r>
              <w:t xml:space="preserve">DIMOSTRATO / 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Barriera duodenale alterata</w:t>
            </w:r>
          </w:p>
        </w:tc>
        <w:tc>
          <w:tcPr/>
          <w:p>
            <w:pPr>
              <w:pStyle w:val="Compact"/>
            </w:pPr>
            <w:r>
              <w:t xml:space="preserve">Esordio post-infettivo, grasso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rPr>
          <w:i/>
          <w:iCs/>
        </w:rPr>
        <w:t xml:space="preserve">L’etichetta si spezza quando il fenomeno è misurato nell’uomo e l’effetto della mano no. Sul primo meccanismo c’è un salto di popolazione: gli studi sono su disturbi intestinali funzionali, non su dispepsia. Sul quarto, l’ipersensibilità è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 sede e non generale</w:t>
      </w:r>
      <w:r>
        <w:rPr>
          <w:i/>
          <w:iCs/>
        </w:rPr>
        <w:t xml:space="preserve">: interocezione gastrica ridotta, percezione del battito normale (Yoshida 2023; Salaris 2025).</w:t>
      </w:r>
    </w:p>
    <w:bookmarkEnd w:id="11"/>
    <w:bookmarkStart w:id="12" w:name="i-sottotipi-chi-comanda-e-quanto-puoi"/>
    <w:p>
      <w:pPr>
        <w:pStyle w:val="Heading2"/>
      </w:pPr>
      <w:r>
        <w:t xml:space="preserve">4 · I sottotipi, chi comanda e quanto puoi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Meccanismo che comanda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Distensione visibile</w:t>
            </w:r>
          </w:p>
        </w:tc>
        <w:tc>
          <w:tcPr/>
          <w:p>
            <w:pPr>
              <w:pStyle w:val="Compact"/>
            </w:pPr>
            <w:r>
              <w:t xml:space="preserve">«Mi si gonfia», si vede</w:t>
            </w:r>
          </w:p>
        </w:tc>
        <w:tc>
          <w:tcPr/>
          <w:p>
            <w:pPr>
              <w:pStyle w:val="Compact"/>
            </w:pPr>
            <w:r>
              <w:t xml:space="preserve">Dissinergia addomino-frenica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Sazietà precoce</w:t>
            </w:r>
          </w:p>
        </w:tc>
        <w:tc>
          <w:tcPr/>
          <w:p>
            <w:pPr>
              <w:pStyle w:val="Compact"/>
            </w:pPr>
            <w:r>
              <w:t xml:space="preserve">Due bocconi e basta</w:t>
            </w:r>
          </w:p>
        </w:tc>
        <w:tc>
          <w:tcPr/>
          <w:p>
            <w:pPr>
              <w:pStyle w:val="Compact"/>
            </w:pPr>
            <w:r>
              <w:t xml:space="preserve">Accomodazione alterata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Pesantezza postprandiale</w:t>
            </w:r>
          </w:p>
        </w:tc>
        <w:tc>
          <w:tcPr/>
          <w:p>
            <w:pPr>
              <w:pStyle w:val="Compact"/>
            </w:pPr>
            <w:r>
              <w:t xml:space="preserve">Il pasto resta per ore</w:t>
            </w:r>
          </w:p>
        </w:tc>
        <w:tc>
          <w:tcPr/>
          <w:p>
            <w:pPr>
              <w:pStyle w:val="Compact"/>
            </w:pPr>
            <w:r>
              <w:t xml:space="preserve">Svuotamento rallentato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abbassata</w:t>
            </w:r>
          </w:p>
        </w:tc>
        <w:tc>
          <w:tcPr/>
          <w:p>
            <w:pPr>
              <w:pStyle w:val="Compact"/>
            </w:pPr>
            <w:r>
              <w:t xml:space="preserve">«Non c’è una regola»</w:t>
            </w:r>
          </w:p>
        </w:tc>
        <w:tc>
          <w:tcPr/>
          <w:p>
            <w:pPr>
              <w:pStyle w:val="Compact"/>
            </w:pPr>
            <w:r>
              <w:t xml:space="preserve">Soglia percettiva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Sovrapposto intestinale</w:t>
            </w:r>
          </w:p>
        </w:tc>
        <w:tc>
          <w:tcPr/>
          <w:p>
            <w:pPr>
              <w:pStyle w:val="Compact"/>
            </w:pPr>
            <w:r>
              <w:t xml:space="preserve">Alvo alterno con dolore</w:t>
            </w:r>
          </w:p>
        </w:tc>
        <w:tc>
          <w:tcPr/>
          <w:p>
            <w:pPr>
              <w:pStyle w:val="Compact"/>
            </w:pPr>
            <w:r>
              <w:t xml:space="preserve">Soglia percettiva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epigastrico</w:t>
            </w:r>
          </w:p>
        </w:tc>
        <w:tc>
          <w:tcPr/>
          <w:p>
            <w:pPr>
              <w:pStyle w:val="Compact"/>
            </w:pPr>
            <w:r>
              <w:t xml:space="preserve">Brucia, non segue il pasto</w:t>
            </w:r>
          </w:p>
        </w:tc>
        <w:tc>
          <w:tcPr/>
          <w:p>
            <w:pPr>
              <w:pStyle w:val="Compact"/>
            </w:pPr>
            <w:r>
              <w:t xml:space="preserve">Soglia percettiva e barriera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</w:tbl>
    <w:p>
      <w:pPr>
        <w:pStyle w:val="BodyText"/>
      </w:pPr>
      <w:r>
        <w:rPr>
          <w:i/>
          <w:iCs/>
        </w:rPr>
        <w:t xml:space="preserve">Il sottotipo si presume, e si scrive in cartella come presunzione: barostato, scintigrafia e biopsia non li porta nessuno. «Abbastanza» vuol dire più che nei sottotipi da «Poco», non più che nel primo.</w:t>
      </w:r>
    </w:p>
    <w:p>
      <w:pPr>
        <w:pStyle w:val="BodyText"/>
      </w:pPr>
      <w:r>
        <w:rPr>
          <w:i/>
          <w:iCs/>
        </w:rPr>
        <w:t xml:space="preserve">Fuori tabella, da riconoscere in dieci secondi: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eruttazione sovragastrica e ruminazione</w:t>
      </w:r>
      <w:r>
        <w:rPr>
          <w:i/>
          <w:iCs/>
        </w:rPr>
        <w:t xml:space="preserve">. Non sono dispepsia, vanno inquadrate dal gastroenterologo, e sono il gruppo in cui il controllo del diaframma ha la prova più forte.</w:t>
      </w:r>
    </w:p>
    <w:bookmarkEnd w:id="12"/>
    <w:bookmarkStart w:id="13" w:name="cosa-può-fare-il-paziente-da-solo"/>
    <w:p>
      <w:pPr>
        <w:pStyle w:val="Heading2"/>
      </w:pPr>
      <w:r>
        <w:t xml:space="preserve">5 · Cosa può fare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cosa agisce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Controllo di diaframma e parete</w:t>
            </w:r>
          </w:p>
        </w:tc>
        <w:tc>
          <w:tcPr/>
          <w:p>
            <w:pPr>
              <w:pStyle w:val="Compact"/>
            </w:pPr>
            <w:r>
              <w:t xml:space="preserve">Dissinergia addomino-frenica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Respiro lento</w:t>
            </w:r>
          </w:p>
        </w:tc>
        <w:tc>
          <w:tcPr/>
          <w:p>
            <w:pPr>
              <w:pStyle w:val="Compact"/>
            </w:pPr>
            <w:r>
              <w:t xml:space="preserve">Soglia percettiva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Attività fisica regolare</w:t>
            </w:r>
          </w:p>
        </w:tc>
        <w:tc>
          <w:tcPr/>
          <w:p>
            <w:pPr>
              <w:pStyle w:val="Compact"/>
            </w:pPr>
            <w:r>
              <w:t xml:space="preserve">Soglia e transito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Educazione, fine della restrizione</w:t>
            </w:r>
          </w:p>
        </w:tc>
        <w:tc>
          <w:tcPr/>
          <w:p>
            <w:pPr>
              <w:pStyle w:val="Compact"/>
            </w:pPr>
            <w:r>
              <w:t xml:space="preserve">Soglia percettiva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rPr>
          <w:i/>
          <w:iCs/>
        </w:rPr>
        <w:t xml:space="preserve">Sul primo il salto è di erogatore, strumento e popolazione: negli studi lo erogano gastroenterologi con un segnale strumentale. Su cosa succede quando il paziente smette: l’attività fisica a cinque anni regge. Sul respiro l’unico dato viene da un’altra condizione, e a nove mesi il beneficio era di chi aveva continuato (Eherer 2012, reflusso non erosivo). Sugli altri due, niente.</w:t>
      </w:r>
    </w:p>
    <w:bookmarkEnd w:id="13"/>
    <w:bookmarkStart w:id="14" w:name="le-bandiere"/>
    <w:p>
      <w:pPr>
        <w:pStyle w:val="Heading2"/>
      </w:pPr>
      <w:r>
        <w:t xml:space="preserve">6 · Le bandiere</w:t>
      </w:r>
    </w:p>
    <w:p>
      <w:pPr>
        <w:pStyle w:val="Compact"/>
        <w:numPr>
          <w:ilvl w:val="0"/>
          <w:numId w:val="1001"/>
        </w:numPr>
      </w:pPr>
      <w:r>
        <w:t xml:space="preserve">Ematemesi o melena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Addome acuto con febbre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Peso epigastrico con sudorazione o dispnea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Massa addominale pulsante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Ittero, urine scure, feci chiare → Medico curante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Disfagia o odinofagia che peggiora → Medico curante, endoscopia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Calo di peso involontario → Medico curante, endoscopia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Vomito ripetuto e persistente → Medico curante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Anemia → Medico curante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Dolore epigastrico al dorso con calo di peso → Medico curante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Primo esordio dopo i 55 anni → Medico curante, endoscopia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Familiarità per tumore gastrico → Medico curante →</w:t>
      </w:r>
      <w:r>
        <w:t xml:space="preserve"> </w:t>
      </w:r>
      <w:r>
        <w:rPr>
          <w:b/>
          <w:bCs/>
        </w:rPr>
        <w:t xml:space="preserve">Invio</w:t>
      </w:r>
      <w:r>
        <w:t xml:space="preserve"> </w:t>
      </w:r>
      <w:r>
        <w:t xml:space="preserve">· GIALLO PRIORITARIO</w:t>
      </w:r>
    </w:p>
    <w:p>
      <w:pPr>
        <w:pStyle w:val="Compact"/>
        <w:numPr>
          <w:ilvl w:val="0"/>
          <w:numId w:val="1001"/>
        </w:numPr>
      </w:pPr>
      <w:r>
        <w:t xml:space="preserve">Antinfiammatori o antiaggreganti in uso → Prescrittore →</w:t>
      </w:r>
      <w:r>
        <w:t xml:space="preserve"> </w:t>
      </w:r>
      <w:r>
        <w:rPr>
          <w:b/>
          <w:bCs/>
        </w:rPr>
        <w:t xml:space="preserve">Invio</w:t>
      </w:r>
      <w:r>
        <w:t xml:space="preserve"> </w:t>
      </w:r>
      <w:r>
        <w:t xml:space="preserve">· GIALLO PRIORITARIO</w:t>
      </w:r>
    </w:p>
    <w:p>
      <w:pPr>
        <w:pStyle w:val="Compact"/>
        <w:numPr>
          <w:ilvl w:val="0"/>
          <w:numId w:val="1001"/>
        </w:numPr>
      </w:pPr>
      <w:r>
        <w:t xml:space="preserve">Helicobacter mai cercato o cercato sotto IPP → Medico curante →</w:t>
      </w:r>
      <w:r>
        <w:t xml:space="preserve"> </w:t>
      </w:r>
      <w:r>
        <w:rPr>
          <w:b/>
          <w:bCs/>
        </w:rPr>
        <w:t xml:space="preserve">Invio</w:t>
      </w:r>
      <w:r>
        <w:t xml:space="preserve"> </w:t>
      </w:r>
      <w:r>
        <w:t xml:space="preserve">· GIALLO PRIORITARIO</w:t>
      </w:r>
    </w:p>
    <w:p>
      <w:pPr>
        <w:pStyle w:val="FirstParagraph"/>
      </w:pPr>
      <w:r>
        <w:rPr>
          <w:i/>
          <w:iCs/>
        </w:rPr>
        <w:t xml:space="preserve">L’assenza di bandiere rosse non è una rassicurazione da consegnare al paziente: la sensibilità dei sintomi d’allarme va dallo 0% all’83%.</w:t>
      </w:r>
    </w:p>
    <w:bookmarkEnd w:id="14"/>
    <w:bookmarkStart w:id="15" w:name="come-ragiono"/>
    <w:p>
      <w:pPr>
        <w:pStyle w:val="Heading2"/>
      </w:pPr>
      <w:r>
        <w:t xml:space="preserve">7 · Come ragiono</w:t>
      </w:r>
    </w:p>
    <w:p>
      <w:pPr>
        <w:pStyle w:val="FirstParagraph"/>
      </w:pPr>
      <w:r>
        <w:t xml:space="preserve">Passo 0: c’è un farmaco che produce il quadro? (FANS, ferro, oppioidi, bisfosfonati orali, metformina, agonisti GLP-1) → si segnala e si prosegue.</w:t>
      </w:r>
      <w:r>
        <w:t xml:space="preserve"> </w:t>
      </w:r>
      <w:r>
        <w:t xml:space="preserve">Poi: allerta → contenitore → carico e alvo → vecchio evento.</w:t>
      </w:r>
      <w:r>
        <w:t xml:space="preserve"> </w:t>
      </w:r>
      <w:r>
        <w:t xml:space="preserve">«A monte» non è una coordinata anatomica. Lo stomaco proietta su T5-T9, non sulla cervicale — e il colon carico sta sotto l’ombelico.</w:t>
      </w:r>
      <w:r>
        <w:t xml:space="preserve"> </w:t>
      </w:r>
      <w:r>
        <w:t xml:space="preserve">La gerarchia ordina l’indagine, non la forza delle leve.</w:t>
      </w:r>
    </w:p>
    <w:p>
      <w:pPr>
        <w:pStyle w:val="BodyText"/>
      </w:pPr>
      <w:r>
        <w:rPr>
          <w:b/>
          <w:bCs/>
        </w:rPr>
        <w:t xml:space="preserve">I marker, con la soglia e la sua provenienza</w:t>
      </w:r>
      <w:r>
        <w:t xml:space="preserve"> </w:t>
      </w:r>
      <w:r>
        <w:t xml:space="preserve">- Circonferenza all’ombelico, prima e 90 min dopo il pasto →</w:t>
      </w:r>
      <w:r>
        <w:t xml:space="preserve"> </w:t>
      </w:r>
      <w:r>
        <w:rPr>
          <w:b/>
          <w:bCs/>
        </w:rPr>
        <w:t xml:space="preserve">2 cm</w:t>
      </w:r>
      <w:r>
        <w:t xml:space="preserve"> </w:t>
      </w:r>
      <w:r>
        <w:t xml:space="preserve">di riduzione dell’aumento post-prandiale (sotto il cambiamento misurato, sopra l’errore del nastro raddoppiato) — effetto immediato</w:t>
      </w:r>
      <w:r>
        <w:t xml:space="preserve"> </w:t>
      </w:r>
      <w:r>
        <w:t xml:space="preserve">- Volume bevuto prima della prima pienezza →</w:t>
      </w:r>
      <w:r>
        <w:t xml:space="preserve"> </w:t>
      </w:r>
      <w:r>
        <w:rPr>
          <w:b/>
          <w:bCs/>
        </w:rPr>
        <w:t xml:space="preserve">doppio della differenza fra due basali</w:t>
      </w:r>
      <w:r>
        <w:t xml:space="preserve"> </w:t>
      </w:r>
      <w:r>
        <w:t xml:space="preserve">dello stesso paziente — effetto immediato.</w:t>
      </w:r>
      <w:r>
        <w:t xml:space="preserve"> </w:t>
      </w:r>
      <w:r>
        <w:rPr>
          <w:i/>
          <w:iCs/>
        </w:rPr>
        <w:t xml:space="preserve">Dichiara quale sensazione cerchi — prima sazietà o pienezza — e non cambiarla: nei disturbi dell’interazione intestino-cervello le due si muovono in direzioni opposte (Salaris 2025).</w:t>
      </w:r>
      <w:r>
        <w:t xml:space="preserve"> </w:t>
      </w:r>
      <w:r>
        <w:t xml:space="preserve">- Escursione costale inferiore →</w:t>
      </w:r>
      <w:r>
        <w:t xml:space="preserve"> </w:t>
      </w:r>
      <w:r>
        <w:rPr>
          <w:b/>
          <w:bCs/>
        </w:rPr>
        <w:t xml:space="preserve">1 cm</w:t>
      </w:r>
      <w:r>
        <w:t xml:space="preserve"> </w:t>
      </w:r>
      <w:r>
        <w:t xml:space="preserve">(errore della misura raddoppiato) — effetto immediato</w:t>
      </w:r>
      <w:r>
        <w:t xml:space="preserve"> </w:t>
      </w:r>
      <w:r>
        <w:t xml:space="preserve">- Frequenza respiratoria a riposo →</w:t>
      </w:r>
      <w:r>
        <w:t xml:space="preserve"> </w:t>
      </w:r>
      <w:r>
        <w:rPr>
          <w:b/>
          <w:bCs/>
        </w:rPr>
        <w:t xml:space="preserve">2 atti al minuto</w:t>
      </w:r>
      <w:r>
        <w:t xml:space="preserve"> </w:t>
      </w:r>
      <w:r>
        <w:t xml:space="preserve">(errore del conteggio raddoppiato) — effetto di stato</w:t>
      </w:r>
      <w:r>
        <w:t xml:space="preserve"> </w:t>
      </w:r>
      <w:r>
        <w:t xml:space="preserve">- Rotazione cervicale attiva →</w:t>
      </w:r>
      <w:r>
        <w:t xml:space="preserve"> </w:t>
      </w:r>
      <w:r>
        <w:rPr>
          <w:b/>
          <w:bCs/>
        </w:rPr>
        <w:t xml:space="preserve">10 gradi</w:t>
      </w:r>
      <w:r>
        <w:t xml:space="preserve"> </w:t>
      </w:r>
      <w:r>
        <w:t xml:space="preserve">(errore della misura raddoppiato) —</w:t>
      </w:r>
      <w:r>
        <w:t xml:space="preserve"> </w:t>
      </w:r>
      <w:r>
        <w:rPr>
          <w:b/>
          <w:bCs/>
        </w:rPr>
        <w:t xml:space="preserve">chiave di volta, piano non trattato</w:t>
      </w:r>
    </w:p>
    <w:p>
      <w:pPr>
        <w:pStyle w:val="BodyText"/>
      </w:pPr>
      <w:r>
        <w:rPr>
          <w:i/>
          <w:iCs/>
        </w:rPr>
        <w:t xml:space="preserve">Ogni paziente porta due marker: uno di effetto immediato sul piano che tratti, uno di chiave di volta su un piano che non tratti. Se si muove solo il primo, hai un effetto locale.</w:t>
      </w:r>
    </w:p>
    <w:bookmarkEnd w:id="15"/>
    <w:bookmarkStart w:id="16" w:name="la-frase-per-il-paziente"/>
    <w:p>
      <w:pPr>
        <w:pStyle w:val="Heading2"/>
      </w:pPr>
      <w:r>
        <w:t xml:space="preserve">8 · La frase per il paziente</w:t>
      </w:r>
    </w:p>
    <w:p>
      <w:pPr>
        <w:pStyle w:val="FirstParagraph"/>
      </w:pPr>
      <w:r>
        <w:rPr>
          <w:i/>
          <w:iCs/>
        </w:rPr>
        <w:t xml:space="preserve">«Quando mangi, la pancia deve fare spazio: il muscolo del respiro sale e la parete tiene. Nel tuo caso succede il contrario: spinge in giù e la parete si molla. Dentro non è entrato niente in più: è come un sacco della spesa che schiacci dall’alto e si allarga di lato. Il corpo l’ha imparato, e si può reimparare. Gli esami cercavano una malattia, e non l’hanno trovata: per questo si lavora su come funziona. Io lavoro sulla componente meccanica che ho trovato; i sintomi digestivi vanno comunque inquadrati dal tuo medico, e nel frattempo io non aspetto.»</w:t>
      </w:r>
    </w:p>
    <w:p>
      <w:pPr>
        <w:pStyle w:val="BodyText"/>
      </w:pPr>
      <w:r>
        <w:rPr>
          <w:i/>
          <w:iCs/>
        </w:rPr>
        <w:t xml:space="preserve">Non si dice «gli esami hanno escluso le malattie». E il paziente esce sapendo cosa lo riporta indietro: sangue nel vomito o feci nere, peso o dolore alla bocca dello stomaco col sudore freddo o il fiato corto, dolore forte e improvviso con febbre, vomito che non si ferma, difficoltà a deglutire che peggiora, peso che cala senza volerlo, occhi che ingialliscono.</w:t>
      </w:r>
    </w:p>
    <w:bookmarkEnd w:id="16"/>
    <w:bookmarkStart w:id="17" w:name="perché-ci-sei-tu"/>
    <w:p>
      <w:pPr>
        <w:pStyle w:val="Heading2"/>
      </w:pPr>
      <w:r>
        <w:t xml:space="preserve">9 · 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In due studi randomizzati controllati con placebo, insegnare a governare il diaframma e la parete addominale ha ridotto la distensione del 56% e del 66%, contro il 13% e lo zero dei gruppi placebo (Barba 2017, PMID 28705783; Barba 2024, PMID 38467383). Quello che cambia sono due muscoli scheletrici. Questo ti autorizza a mettere il respiro e la parete al centro del ciclo e a insegnarne la manovra. Non ti autorizza a chiamarlo trattamento della dispepsia, né a estenderlo al gonfiore che il paziente sente ma non si vede.</w:t>
      </w:r>
    </w:p>
    <w:p>
      <w:r>
        <w:pict>
          <v:rect style="width:0;height:1.5pt" o:hralign="center" o:hrstd="t" o:hr="t"/>
        </w:pict>
      </w:r>
    </w:p>
    <w:bookmarkEnd w:id="17"/>
    <w:bookmarkStart w:id="18" w:name="le-tre-frasi-che-si-sbagliano-più-spesso"/>
    <w:p>
      <w:pPr>
        <w:pStyle w:val="Heading2"/>
      </w:pPr>
      <w:r>
        <w:t xml:space="preserve">10 · Le tre frasi che si sbagliano più spesso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«Di studi di terapia manuale sulla dispepsia non ce ne sono.»</w:t>
      </w:r>
      <w:r>
        <w:t xml:space="preserve"> </w:t>
      </w:r>
      <w:r>
        <w:t xml:space="preserve">Falso. Ci sono quattordici studi randomizzati e 1.128 pazienti di tuina, tutti contro terapia convenzionale, nessuno contro un simulato, a certezza bassa (Dai 2023). Di studi di</w:t>
      </w:r>
      <w:r>
        <w:t xml:space="preserve"> </w:t>
      </w:r>
      <w:r>
        <w:rPr>
          <w:b/>
          <w:bCs/>
        </w:rPr>
        <w:t xml:space="preserve">osteopatia</w:t>
      </w:r>
      <w:r>
        <w:t xml:space="preserve"> </w:t>
      </w:r>
      <w:r>
        <w:t xml:space="preserve">non ce ne sono: è quello il vero buco.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«Riequilibrio il sistema nervoso autonomo.»</w:t>
      </w:r>
      <w:r>
        <w:t xml:space="preserve"> </w:t>
      </w:r>
      <w:r>
        <w:t xml:space="preserve">La via esiste ed è modificabile: stimolata elettricamente all’orecchio ha battuto il simulato su 300 pazienti (Shi 2024). Sono le</w:t>
      </w:r>
      <w:r>
        <w:t xml:space="preserve"> </w:t>
      </w:r>
      <w:r>
        <w:rPr>
          <w:b/>
          <w:bCs/>
        </w:rPr>
        <w:t xml:space="preserve">mani</w:t>
      </w:r>
      <w:r>
        <w:t xml:space="preserve"> </w:t>
      </w:r>
      <w:r>
        <w:t xml:space="preserve">su quella via a non essere state misurate.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«Il paziente è migliorato, quindi avevo ragione.»</w:t>
      </w:r>
      <w:r>
        <w:t xml:space="preserve"> </w:t>
      </w:r>
      <w:r>
        <w:t xml:space="preserve">Nel braccio placebo di 58 studi randomizzati il 44,3% riferisce un miglioramento e il 15,6% un sollievo completo (Huang X 2021). Serve il marker, scelto prima.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I blocchi 5, 7 e 10 e la sicurezza dei marker sono deviazioni dichiarate dalla specifica a sei blocchi (registro delle deviazioni, D-011 e D-018). Il blocco 10 esiste perché su questa condizione tre frasi correnti sono false o mal motivate, e ciascuna è smentibile in trenta secondi da chi conosce la letteratura.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2026-08-27T21:54:02Z</dcterms:created>
  <dcterms:modified xsi:type="dcterms:W3CDTF">2026-08-27T21:54:02Z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