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9" w:name="Xb0d92f322abbf24ae42e73c56019c38c823e6fb"/>
    <w:p>
      <w:pPr>
        <w:pStyle w:val="Heading1"/>
      </w:pPr>
      <w:r>
        <w:t xml:space="preserve">Mappa concettuale — Sinusite cronica (rinosinusite cronica)</w:t>
      </w:r>
    </w:p>
    <w:p>
      <w:pPr>
        <w:pStyle w:val="FirstParagraph"/>
      </w:pPr>
      <w:r>
        <w:rPr>
          <w:b/>
          <w:bCs/>
        </w:rPr>
        <w:t xml:space="preserve">Ancora clinica:</w:t>
      </w:r>
      <w:r>
        <w:t xml:space="preserve"> </w:t>
      </w:r>
      <w:r>
        <w:t xml:space="preserve">Rowane e Hostoffer, Cleveland ·</w:t>
      </w:r>
      <w:r>
        <w:t xml:space="preserve"> </w:t>
      </w:r>
      <w:r>
        <w:rPr>
          <w:b/>
          <w:bCs/>
        </w:rPr>
        <w:t xml:space="preserve">Ancora fisiologica:</w:t>
      </w:r>
      <w:r>
        <w:t xml:space="preserve"> </w:t>
      </w:r>
      <w:r>
        <w:t xml:space="preserve">Lundberg e Weitzberg, Karolinska ·</w:t>
      </w:r>
      <w:r>
        <w:t xml:space="preserve"> </w:t>
      </w:r>
      <w:r>
        <w:rPr>
          <w:b/>
          <w:bCs/>
        </w:rPr>
        <w:t xml:space="preserve">Riferimento:</w:t>
      </w:r>
      <w:r>
        <w:t xml:space="preserve"> </w:t>
      </w:r>
      <w:r>
        <w:t xml:space="preserve">EPOS2020 (Fokkens) ·</w:t>
      </w:r>
      <w:r>
        <w:t xml:space="preserve"> </w:t>
      </w:r>
      <w:r>
        <w:rPr>
          <w:b/>
          <w:bCs/>
        </w:rPr>
        <w:t xml:space="preserve">Versione:</w:t>
      </w:r>
      <w:r>
        <w:t xml:space="preserve"> </w:t>
      </w:r>
      <w:r>
        <w:t xml:space="preserve">v7 finale (6º livello — revisione di lingua)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31 agosto 2026</w:t>
      </w:r>
    </w:p>
    <w:p>
      <w:r>
        <w:pict>
          <v:rect style="width:0;height:1.5pt" o:hralign="center" o:hrstd="t" o:hr="t"/>
        </w:pict>
      </w:r>
    </w:p>
    <w:bookmarkStart w:id="9" w:name="la-condizione-in-tre-righe"/>
    <w:p>
      <w:pPr>
        <w:pStyle w:val="Heading2"/>
      </w:pPr>
      <w:r>
        <w:t xml:space="preserve">1 · La condizione in tre righe</w:t>
      </w:r>
    </w:p>
    <w:p>
      <w:pPr>
        <w:pStyle w:val="FirstParagraph"/>
      </w:pPr>
      <w:r>
        <w:t xml:space="preserve">Infiammazione della mucosa di naso e seni che dura almeno dodici settimane, con almeno due sintomi e un segno obiettivo all’endoscopia o alla TAC.</w:t>
      </w:r>
      <w:r>
        <w:t xml:space="preserve"> </w:t>
      </w:r>
      <w:r>
        <w:t xml:space="preserve">Si classifica su tre assi, e il primo è quello che si dimentica:</w:t>
      </w:r>
      <w:r>
        <w:t xml:space="preserve"> </w:t>
      </w:r>
      <w:r>
        <w:rPr>
          <w:b/>
          <w:bCs/>
        </w:rPr>
        <w:t xml:space="preserve">primaria o secondaria</w:t>
      </w:r>
      <w:r>
        <w:t xml:space="preserve"> </w:t>
      </w:r>
      <w:r>
        <w:t xml:space="preserve">(dentaria, fungina, sistemica), poi localizzata o diffusa, poi tipo 2 o non-tipo 2.</w:t>
      </w:r>
      <w:r>
        <w:t xml:space="preserve"> </w:t>
      </w:r>
      <w:r>
        <w:t xml:space="preserve">Colpisce circa una persona su dieci per soli sintomi, tre-sei su cento con l’esame obiettivo. Fluttua e persiste per anni:</w:t>
      </w:r>
      <w:r>
        <w:t xml:space="preserve"> </w:t>
      </w:r>
      <w:r>
        <w:rPr>
          <w:b/>
          <w:bCs/>
        </w:rPr>
        <w:t xml:space="preserve">migliora anche da sola in una quota vicina alla metà.</w:t>
      </w:r>
      <w:r>
        <w:t xml:space="preserve"> </w:t>
      </w:r>
      <w:r>
        <w:rPr>
          <w:b/>
          <w:bCs/>
        </w:rPr>
        <w:t xml:space="preserve">Il referto e il carico sono due grandezze diverse:</w:t>
      </w:r>
      <w:r>
        <w:t xml:space="preserve"> </w:t>
      </w:r>
      <w:r>
        <w:t xml:space="preserve">su 1.840 operati il punteggio TAC e il punteggio dei sintomi non correlavano fra loro (Hopkins 2007). È la premessa di tutto il resto. Tu lavori sul carico attorno alla malattia, non sull’estensione della malattia.</w:t>
      </w:r>
    </w:p>
    <w:bookmarkEnd w:id="9"/>
    <w:bookmarkStart w:id="10" w:name="la-sequenza-causale"/>
    <w:p>
      <w:pPr>
        <w:pStyle w:val="Heading2"/>
      </w:pPr>
      <w:r>
        <w:t xml:space="preserve">2 · La sequenza causale</w:t>
      </w:r>
    </w:p>
    <w:p>
      <w:pPr>
        <w:pStyle w:val="FirstParagraph"/>
      </w:pPr>
      <w:r>
        <w:rPr>
          <w:rStyle w:val="VerbatimChar"/>
        </w:rPr>
        <w:t xml:space="preserve">infiammazione della mucosa → mucosa ispessita e ciglia meno efficaci → ostio ristretto e seno poco ventilato → muco che ristagna e infiamma di più → naso chiuso, pressione al viso, bocca aperta di notte</w:t>
      </w:r>
    </w:p>
    <w:bookmarkEnd w:id="10"/>
    <w:bookmarkStart w:id="11" w:name="i-meccanismi-e-quanto-sono-solidi"/>
    <w:p>
      <w:pPr>
        <w:pStyle w:val="Heading2"/>
      </w:pPr>
      <w:r>
        <w:t xml:space="preserve">3 · I meccanismi e quanto sono solidi</w:t>
      </w:r>
    </w:p>
    <w:p>
      <w:pPr>
        <w:pStyle w:val="FirstParagraph"/>
      </w:pPr>
      <w:r>
        <w:rPr>
          <w:i/>
          <w:iCs/>
        </w:rPr>
        <w:t xml:space="preserve">L’ordine è didattico: il primo è la premessa, il quinto è il più frequente in stanza.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Meccanismo</w:t>
            </w:r>
          </w:p>
        </w:tc>
        <w:tc>
          <w:tcPr/>
          <w:p>
            <w:pPr>
              <w:pStyle w:val="Compact"/>
            </w:pPr>
            <w:r>
              <w:t xml:space="preserve">Come lo riconosci</w:t>
            </w:r>
          </w:p>
        </w:tc>
        <w:tc>
          <w:tcPr/>
          <w:p>
            <w:pPr>
              <w:pStyle w:val="Compact"/>
            </w:pPr>
            <w:r>
              <w:t xml:space="preserve">Quanto è solido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Infiammazione della mucosa (motore della malattia)</w:t>
            </w:r>
          </w:p>
        </w:tc>
        <w:tc>
          <w:tcPr/>
          <w:p>
            <w:pPr>
              <w:pStyle w:val="Compact"/>
            </w:pPr>
            <w:r>
              <w:t xml:space="preserve">Bilaterale, olfatto giù, asma</w:t>
            </w:r>
          </w:p>
        </w:tc>
        <w:tc>
          <w:tcPr/>
          <w:p>
            <w:pPr>
              <w:pStyle w:val="Compact"/>
            </w:pPr>
            <w:r>
              <w:t xml:space="preserve">DIMOSTRATO / nessuna leva manuale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Ciglia che smettono di spazzare</w:t>
            </w:r>
          </w:p>
        </w:tc>
        <w:tc>
          <w:tcPr/>
          <w:p>
            <w:pPr>
              <w:pStyle w:val="Compact"/>
            </w:pPr>
            <w:r>
              <w:t xml:space="preserve">Muco denso, gocciolamento, aria secca</w:t>
            </w:r>
          </w:p>
        </w:tc>
        <w:tc>
          <w:tcPr/>
          <w:p>
            <w:pPr>
              <w:pStyle w:val="Compact"/>
            </w:pPr>
            <w:r>
              <w:t xml:space="preserve">DIMOSTRATO sul fatto / PROBABILE sull’ipertonica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Ostio piccolo, circolo chiuso</w:t>
            </w:r>
          </w:p>
        </w:tc>
        <w:tc>
          <w:tcPr/>
          <w:p>
            <w:pPr>
              <w:pStyle w:val="Compact"/>
            </w:pPr>
            <w:r>
              <w:t xml:space="preserve">Peggiora piegandosi in avanti</w:t>
            </w:r>
          </w:p>
        </w:tc>
        <w:tc>
          <w:tcPr/>
          <w:p>
            <w:pPr>
              <w:pStyle w:val="Compact"/>
            </w:pPr>
            <w:r>
              <w:t xml:space="preserve">DIMOSTRATO come reperto / IPOTESI come motore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Calibro comandato dall’autonomico</w:t>
            </w:r>
          </w:p>
        </w:tc>
        <w:tc>
          <w:tcPr/>
          <w:p>
            <w:pPr>
              <w:pStyle w:val="Compact"/>
            </w:pPr>
            <w:r>
              <w:t xml:space="preserve">Alternanza, postura, stress</w:t>
            </w:r>
          </w:p>
        </w:tc>
        <w:tc>
          <w:tcPr/>
          <w:p>
            <w:pPr>
              <w:pStyle w:val="Compact"/>
            </w:pPr>
            <w:r>
              <w:t xml:space="preserve">DIMOSTRATO nell’animale / IPOTESI sul nostro gesto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Notte rotta, soglia più bassa</w:t>
            </w:r>
          </w:p>
        </w:tc>
        <w:tc>
          <w:tcPr/>
          <w:p>
            <w:pPr>
              <w:pStyle w:val="Compact"/>
            </w:pPr>
            <w:r>
              <w:t xml:space="preserve">Bocca secca, stanchezza, nebbia</w:t>
            </w:r>
          </w:p>
        </w:tc>
        <w:tc>
          <w:tcPr/>
          <w:p>
            <w:pPr>
              <w:pStyle w:val="Compact"/>
            </w:pPr>
            <w:r>
              <w:t xml:space="preserve">DIMOSTRATO l’associazione / IPOTESI la direzione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Dolore facciale non sinusale</w:t>
            </w:r>
          </w:p>
        </w:tc>
        <w:tc>
          <w:tcPr/>
          <w:p>
            <w:pPr>
              <w:pStyle w:val="Compact"/>
            </w:pPr>
            <w:r>
              <w:t xml:space="preserve">Pulsante, episodico, con nausea</w:t>
            </w:r>
          </w:p>
        </w:tc>
        <w:tc>
          <w:tcPr/>
          <w:p>
            <w:pPr>
              <w:pStyle w:val="Compact"/>
            </w:pPr>
            <w:r>
              <w:t xml:space="preserve">DIMOSTRATO l’epidemiologia / DIMOSTRATO nell’animale la convergenza</w:t>
            </w:r>
          </w:p>
        </w:tc>
      </w:tr>
    </w:tbl>
    <w:p>
      <w:pPr>
        <w:pStyle w:val="BodyText"/>
      </w:pPr>
      <w:r>
        <w:rPr>
          <w:b/>
          <w:bCs/>
        </w:rPr>
        <w:t xml:space="preserve">Il ponte del sesto:</w:t>
      </w:r>
      <w:r>
        <w:t xml:space="preserve"> </w:t>
      </w:r>
      <w:r>
        <w:t xml:space="preserve">trigemino → convergenza trigemino-cervicale in C2 → riflesso trigemino-autonomico per la via del ganglio sfenopalatino → naso chiuso e gocciolamento</w:t>
      </w:r>
      <w:r>
        <w:t xml:space="preserve"> </w:t>
      </w:r>
      <w:r>
        <w:rPr>
          <w:b/>
          <w:bCs/>
        </w:rPr>
        <w:t xml:space="preserve">veri</w:t>
      </w:r>
      <w:r>
        <w:t xml:space="preserve">, senza malattia dei seni.</w:t>
      </w:r>
    </w:p>
    <w:bookmarkEnd w:id="11"/>
    <w:bookmarkStart w:id="12" w:name="i-sottotipi"/>
    <w:p>
      <w:pPr>
        <w:pStyle w:val="Heading2"/>
      </w:pPr>
      <w:r>
        <w:t xml:space="preserve">4 · I sottotipi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Sottotipo</w:t>
            </w:r>
          </w:p>
        </w:tc>
        <w:tc>
          <w:tcPr/>
          <w:p>
            <w:pPr>
              <w:pStyle w:val="Compact"/>
            </w:pPr>
            <w:r>
              <w:t xml:space="preserve">Segnale</w:t>
            </w:r>
          </w:p>
        </w:tc>
        <w:tc>
          <w:tcPr/>
          <w:p>
            <w:pPr>
              <w:pStyle w:val="Compact"/>
            </w:pPr>
            <w:r>
              <w:t xml:space="preserve">È rinosinusite?</w:t>
            </w:r>
          </w:p>
        </w:tc>
        <w:tc>
          <w:tcPr/>
          <w:p>
            <w:pPr>
              <w:pStyle w:val="Compact"/>
            </w:pPr>
            <w:r>
              <w:t xml:space="preserve">Chi lo tratta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Diffusa tipo 2, con polipi</w:t>
            </w:r>
          </w:p>
        </w:tc>
        <w:tc>
          <w:tcPr/>
          <w:p>
            <w:pPr>
              <w:pStyle w:val="Compact"/>
            </w:pPr>
            <w:r>
              <w:t xml:space="preserve">Olfatto perso, asma, atopia, intolleranza ai FANS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Medico; tu sul carico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Diffusa non-tipo 2</w:t>
            </w:r>
          </w:p>
        </w:tc>
        <w:tc>
          <w:tcPr/>
          <w:p>
            <w:pPr>
              <w:pStyle w:val="Compact"/>
            </w:pPr>
            <w:r>
              <w:t xml:space="preserve">Secrezione e dolore, meno asma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Medico e 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Localizzata o unilaterale</w:t>
            </w:r>
          </w:p>
        </w:tc>
        <w:tc>
          <w:tcPr/>
          <w:p>
            <w:pPr>
              <w:pStyle w:val="Compact"/>
            </w:pPr>
            <w:r>
              <w:t xml:space="preserve">Sintomi da un lato solo</w:t>
            </w:r>
          </w:p>
        </w:tc>
        <w:tc>
          <w:tcPr/>
          <w:p>
            <w:pPr>
              <w:pStyle w:val="Compact"/>
            </w:pPr>
            <w:r>
              <w:t xml:space="preserve">Da definire</w:t>
            </w:r>
          </w:p>
        </w:tc>
        <w:tc>
          <w:tcPr/>
          <w:p>
            <w:pPr>
              <w:pStyle w:val="Compact"/>
            </w:pPr>
            <w:r>
              <w:t xml:space="preserve">Nessuno qui: invio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Secondaria (odontogena, micetoma, sistemica)</w:t>
            </w:r>
          </w:p>
        </w:tc>
        <w:tc>
          <w:tcPr/>
          <w:p>
            <w:pPr>
              <w:pStyle w:val="Compact"/>
            </w:pPr>
            <w:r>
              <w:t xml:space="preserve">Dente curato dallo stesso lato; malattia sistemica</w:t>
            </w:r>
          </w:p>
        </w:tc>
        <w:tc>
          <w:tcPr/>
          <w:p>
            <w:pPr>
              <w:pStyle w:val="Compact"/>
            </w:pPr>
            <w:r>
              <w:t xml:space="preserve">Sì, d’altra causa</w:t>
            </w:r>
          </w:p>
        </w:tc>
        <w:tc>
          <w:tcPr/>
          <w:p>
            <w:pPr>
              <w:pStyle w:val="Compact"/>
            </w:pPr>
            <w:r>
              <w:t xml:space="preserve">Dentista, ORL, internista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“Sinusale”</w:t>
            </w:r>
            <w:r>
              <w:t xml:space="preserve"> </w:t>
            </w:r>
            <w:r>
              <w:t xml:space="preserve">emicranico</w:t>
            </w:r>
          </w:p>
        </w:tc>
        <w:tc>
          <w:tcPr/>
          <w:p>
            <w:pPr>
              <w:pStyle w:val="Compact"/>
            </w:pPr>
            <w:r>
              <w:t xml:space="preserve">Dolore pulsante, episodico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Curante e 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Ostruzione senza malattia dei seni</w:t>
            </w:r>
          </w:p>
        </w:tc>
        <w:tc>
          <w:tcPr/>
          <w:p>
            <w:pPr>
              <w:pStyle w:val="Compact"/>
            </w:pPr>
            <w:r>
              <w:t xml:space="preserve">Referto povero, sintomi ricchi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Tu, e l’ORL per la 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Post-chirurgico ricaduto</w:t>
            </w:r>
          </w:p>
        </w:tc>
        <w:tc>
          <w:tcPr/>
          <w:p>
            <w:pPr>
              <w:pStyle w:val="Compact"/>
            </w:pPr>
            <w:r>
              <w:t xml:space="preserve">Operato, sintomi tornati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Medico; tu sul carico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L’altro asse: chi è il paziente.</w:t>
      </w:r>
      <w:r>
        <w:t xml:space="preserve"> </w:t>
      </w:r>
      <w:r>
        <w:t xml:space="preserve">Anziano anticoagulato · gravida · immunodepresso od oncologico · chi fa infezioni ricorrenti anche fuori dal naso. Cambia la condotta prima del ragionamento.</w:t>
      </w:r>
    </w:p>
    <w:bookmarkEnd w:id="12"/>
    <w:bookmarkStart w:id="13" w:name="le-bandiere-rosse"/>
    <w:p>
      <w:pPr>
        <w:pStyle w:val="Heading2"/>
      </w:pPr>
      <w:r>
        <w:t xml:space="preserve">5 · Le bandiere rosse</w:t>
      </w:r>
    </w:p>
    <w:p>
      <w:pPr>
        <w:pStyle w:val="FirstParagraph"/>
      </w:pPr>
      <w:r>
        <w:rPr>
          <w:i/>
          <w:iCs/>
        </w:rPr>
        <w:t xml:space="preserve">Undici voci da EPOS2020 — lista di consenso, senza accuratezza misurata: è una rete, non un filtro — più due che vengono dalle popolazioni che questo documento tratta.</w:t>
      </w:r>
    </w:p>
    <w:p>
      <w:pPr>
        <w:pStyle w:val="Compact"/>
        <w:numPr>
          <w:ilvl w:val="0"/>
          <w:numId w:val="1001"/>
        </w:numPr>
      </w:pPr>
      <w:r>
        <w:t xml:space="preserve">Occhio gonfio o arrossato · occhio spostato in fuori o visione doppia · movimenti oculari limitati o vista ridotta · segni di sepsi o meningite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Ospite fragile</w:t>
      </w:r>
      <w:r>
        <w:t xml:space="preserve"> </w:t>
      </w:r>
      <w:r>
        <w:t xml:space="preserve">(diabete scompensato, immunodepressione, terapia oncologica) con dolore facciale che peggiora in fretta, guancia o palato insensibili, escara scura, febbre →</w:t>
      </w:r>
      <w:r>
        <w:t xml:space="preserve"> </w:t>
      </w:r>
      <w:r>
        <w:rPr>
          <w:b/>
          <w:bCs/>
        </w:rPr>
        <w:t xml:space="preserve">112</w:t>
      </w:r>
    </w:p>
    <w:p>
      <w:pPr>
        <w:pStyle w:val="Compact"/>
        <w:numPr>
          <w:ilvl w:val="0"/>
          <w:numId w:val="1001"/>
        </w:numPr>
      </w:pPr>
      <w:r>
        <w:t xml:space="preserve">Gonfiore della fronte · mal di testa violento e nuovo · segni neurologici focali →</w:t>
      </w:r>
      <w:r>
        <w:t xml:space="preserve"> </w:t>
      </w:r>
      <w:r>
        <w:rPr>
          <w:b/>
          <w:bCs/>
        </w:rPr>
        <w:t xml:space="preserve">Urgente, in giornata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Rinorrea acquosa chiara da un lato dopo chirurgia o trauma</w:t>
      </w:r>
      <w:r>
        <w:t xml:space="preserve"> </w:t>
      </w:r>
      <w:r>
        <w:t xml:space="preserve">(fistola liquorale) →</w:t>
      </w:r>
      <w:r>
        <w:t xml:space="preserve"> </w:t>
      </w:r>
      <w:r>
        <w:rPr>
          <w:b/>
          <w:bCs/>
        </w:rPr>
        <w:t xml:space="preserve">Urgente, in giornata</w:t>
      </w:r>
    </w:p>
    <w:p>
      <w:pPr>
        <w:pStyle w:val="Compact"/>
        <w:numPr>
          <w:ilvl w:val="0"/>
          <w:numId w:val="1001"/>
        </w:numPr>
      </w:pPr>
      <w:r>
        <w:t xml:space="preserve">Sintomi da un lato solo · sanguinamento ripetuto dalla stessa narice · croste persistenti · cacosmia → ORL,</w:t>
      </w:r>
      <w:r>
        <w:t xml:space="preserve"> </w:t>
      </w:r>
      <w:r>
        <w:rPr>
          <w:b/>
          <w:bCs/>
        </w:rPr>
        <w:t xml:space="preserve">invio, non attendere</w:t>
      </w:r>
    </w:p>
    <w:p>
      <w:pPr>
        <w:pStyle w:val="FirstParagraph"/>
      </w:pPr>
      <w:r>
        <w:rPr>
          <w:b/>
          <w:bCs/>
        </w:rPr>
        <w:t xml:space="preserve">L’anticoagulante non spiega un’epistassi sempre dalla stessa narice.</w:t>
      </w:r>
      <w:r>
        <w:t xml:space="preserve"> </w:t>
      </w:r>
      <w:r>
        <w:rPr>
          <w:b/>
          <w:bCs/>
        </w:rPr>
        <w:t xml:space="preserve">La scadenza:</w:t>
      </w:r>
      <w:r>
        <w:t xml:space="preserve"> </w:t>
      </w:r>
      <w:r>
        <w:t xml:space="preserve">l’inquadramento decade se il sintomo cambia carattere, sede o intensità.</w:t>
      </w:r>
    </w:p>
    <w:bookmarkEnd w:id="13"/>
    <w:bookmarkStart w:id="14" w:name="la-sicurezza-del-gesto"/>
    <w:p>
      <w:pPr>
        <w:pStyle w:val="Heading2"/>
      </w:pPr>
      <w:r>
        <w:t xml:space="preserve">6 · La sicurezza del gesto</w:t>
      </w:r>
    </w:p>
    <w:p>
      <w:pPr>
        <w:pStyle w:val="FirstParagraph"/>
      </w:pPr>
      <w:r>
        <w:rPr>
          <w:b/>
          <w:bCs/>
        </w:rPr>
        <w:t xml:space="preserve">Intranasale e intra-orale fuori</w:t>
      </w:r>
      <w:r>
        <w:t xml:space="preserve"> </w:t>
      </w:r>
      <w:r>
        <w:t xml:space="preserve">(DPR 131/2021): il ganglio sfenopalatino sta nella fossa pterigopalatina e non è raggiungibile da un contatto esterno.</w:t>
      </w:r>
      <w:r>
        <w:t xml:space="preserve"> </w:t>
      </w:r>
      <w:r>
        <w:rPr>
          <w:b/>
          <w:bCs/>
        </w:rPr>
        <w:t xml:space="preserve">Collo antero-laterale alto:</w:t>
      </w:r>
      <w:r>
        <w:t xml:space="preserve"> </w:t>
      </w:r>
      <w:r>
        <w:t xml:space="preserve">il ganglio cervicale superiore sta dentro la guaina carotidea, contro la carotide interna.</w:t>
      </w:r>
      <w:r>
        <w:t xml:space="preserve"> </w:t>
      </w:r>
      <w:r>
        <w:rPr>
          <w:b/>
          <w:bCs/>
        </w:rPr>
        <w:t xml:space="preserve">Non si palpa e non si cerca.</w:t>
      </w:r>
      <w:r>
        <w:t xml:space="preserve"> </w:t>
      </w:r>
      <w:r>
        <w:rPr>
          <w:b/>
          <w:bCs/>
        </w:rPr>
        <w:t xml:space="preserve">Triangolo sotto-occipitale:</w:t>
      </w:r>
      <w:r>
        <w:t xml:space="preserve"> </w:t>
      </w:r>
      <w:r>
        <w:t xml:space="preserve">ci passa il segmento V3 dell’arteria vertebrale (riferimento IFOMPT, Rushton 2023).</w:t>
      </w:r>
      <w:r>
        <w:t xml:space="preserve"> </w:t>
      </w:r>
      <w:r>
        <w:rPr>
          <w:b/>
          <w:bCs/>
        </w:rPr>
        <w:t xml:space="preserve">I sintomi che fermano la mano, subito o nelle ore dopo:</w:t>
      </w:r>
      <w:r>
        <w:t xml:space="preserve"> </w:t>
      </w:r>
      <w:r>
        <w:t xml:space="preserve">cefalea o cervicalgia improvvisa e diversa dal solito, vertigine, diplopia, disartria, disfagia, atassia, drop attack, nistagmo, parestesie periorali.</w:t>
      </w:r>
      <w:r>
        <w:t xml:space="preserve"> </w:t>
      </w:r>
      <w:r>
        <w:rPr>
          <w:b/>
          <w:bCs/>
        </w:rPr>
        <w:t xml:space="preserve">Viso:</w:t>
      </w:r>
      <w:r>
        <w:t xml:space="preserve"> </w:t>
      </w:r>
      <w:r>
        <w:t xml:space="preserve">il rischio è di ritardo. Una pressione che allevia può mascherare per settimane un quadro unilaterale. E su un viso</w:t>
      </w:r>
      <w:r>
        <w:t xml:space="preserve"> </w:t>
      </w:r>
      <w:r>
        <w:rPr>
          <w:b/>
          <w:bCs/>
        </w:rPr>
        <w:t xml:space="preserve">allodinico</w:t>
      </w:r>
      <w:r>
        <w:t xml:space="preserve"> </w:t>
      </w:r>
      <w:r>
        <w:t xml:space="preserve">il carico locale peggiora il quadro.</w:t>
      </w:r>
    </w:p>
    <w:bookmarkEnd w:id="14"/>
    <w:bookmarkStart w:id="15" w:name="i-marker"/>
    <w:p>
      <w:pPr>
        <w:pStyle w:val="Heading2"/>
      </w:pPr>
      <w:r>
        <w:t xml:space="preserve">7 · I marker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Marker</w:t>
            </w:r>
          </w:p>
        </w:tc>
        <w:tc>
          <w:tcPr/>
          <w:p>
            <w:pPr>
              <w:pStyle w:val="Compact"/>
            </w:pPr>
            <w:r>
              <w:t xml:space="preserve">Soglia</w:t>
            </w:r>
          </w:p>
        </w:tc>
        <w:tc>
          <w:tcPr/>
          <w:p>
            <w:pPr>
              <w:pStyle w:val="Compact"/>
            </w:pPr>
            <w:r>
              <w:t xml:space="preserve">Provenienza della soglia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PNIF, migliore di 3-5</w:t>
            </w:r>
          </w:p>
        </w:tc>
        <w:tc>
          <w:tcPr/>
          <w:p>
            <w:pPr>
              <w:pStyle w:val="Compact"/>
            </w:pPr>
            <w:r>
              <w:t xml:space="preserve">+30% sul basale</w:t>
            </w:r>
          </w:p>
        </w:tc>
        <w:tc>
          <w:tcPr/>
          <w:p>
            <w:pPr>
              <w:pStyle w:val="Compact"/>
            </w:pPr>
            <w:r>
              <w:t xml:space="preserve">Doppio del CV 15,5% (Dor-Wojnarowska 2022)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SNOT-22</w:t>
            </w:r>
          </w:p>
        </w:tc>
        <w:tc>
          <w:tcPr/>
          <w:p>
            <w:pPr>
              <w:pStyle w:val="Compact"/>
            </w:pPr>
            <w:r>
              <w:t xml:space="preserve">8,9 punti</w:t>
            </w:r>
          </w:p>
        </w:tc>
        <w:tc>
          <w:tcPr/>
          <w:p>
            <w:pPr>
              <w:pStyle w:val="Compact"/>
            </w:pPr>
            <w:r>
              <w:t xml:space="preserve">Differenza minima percepita (Hopkins 2009)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Controllo clinico EPOS</w:t>
            </w:r>
          </w:p>
        </w:tc>
        <w:tc>
          <w:tcPr/>
          <w:p>
            <w:pPr>
              <w:pStyle w:val="Compact"/>
            </w:pPr>
            <w:r>
              <w:t xml:space="preserve">Cambio di categoria</w:t>
            </w:r>
          </w:p>
        </w:tc>
        <w:tc>
          <w:tcPr/>
          <w:p>
            <w:pPr>
              <w:pStyle w:val="Compact"/>
            </w:pPr>
            <w:r>
              <w:t xml:space="preserve">EPOS2020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Notti su 7 a bocca secca</w:t>
            </w:r>
          </w:p>
        </w:tc>
        <w:tc>
          <w:tcPr/>
          <w:p>
            <w:pPr>
              <w:pStyle w:val="Compact"/>
            </w:pPr>
            <w:r>
              <w:t xml:space="preserve">2 notti in meno</w:t>
            </w:r>
          </w:p>
        </w:tc>
        <w:tc>
          <w:tcPr/>
          <w:p>
            <w:pPr>
              <w:pStyle w:val="Compact"/>
            </w:pPr>
            <w:r>
              <w:t xml:space="preserve">Derivata, non pubblicata: dichiararlo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cinque condizioni del PNIF:</w:t>
      </w:r>
      <w:r>
        <w:t xml:space="preserve"> </w:t>
      </w:r>
      <w:r>
        <w:t xml:space="preserve">stessa ora · stessa storia posturale, perché il decubito congestiona · stessa distanza dall’ultima dose di decongestionante · narice annotata ·</w:t>
      </w:r>
      <w:r>
        <w:t xml:space="preserve"> </w:t>
      </w:r>
      <w:r>
        <w:rPr>
          <w:b/>
          <w:bCs/>
        </w:rPr>
        <w:t xml:space="preserve">stessa storia di sforzo fisico nella mezz’ora precedente</w:t>
      </w:r>
      <w:r>
        <w:t xml:space="preserve">. L’esercizio decongestiona: +57% di volume nasale a 15-20 minuti nei rinitici allergici (Serrano 2007) —</w:t>
      </w:r>
      <w:r>
        <w:t xml:space="preserve"> </w:t>
      </w:r>
      <w:r>
        <w:rPr>
          <w:i/>
          <w:iCs/>
        </w:rPr>
        <w:t xml:space="preserve">misurato con rinometria acustica e non con il PNIF, quindi la direzione si trasferisce e il numero no</w:t>
      </w:r>
      <w:r>
        <w:t xml:space="preserve">. Se il confronto a pari condizione non è possibile,</w:t>
      </w:r>
      <w:r>
        <w:t xml:space="preserve"> </w:t>
      </w:r>
      <w:r>
        <w:rPr>
          <w:b/>
          <w:bCs/>
        </w:rPr>
        <w:t xml:space="preserve">il verdetto si sospende</w:t>
      </w:r>
      <w:r>
        <w:t xml:space="preserve">.</w:t>
      </w:r>
      <w:r>
        <w:t xml:space="preserve"> </w:t>
      </w:r>
      <w:r>
        <w:rPr>
          <w:b/>
          <w:bCs/>
        </w:rPr>
        <w:t xml:space="preserve">I tre limiti:</w:t>
      </w:r>
      <w:r>
        <w:t xml:space="preserve"> </w:t>
      </w:r>
      <w:r>
        <w:t xml:space="preserve">è sforzo-dipendente; risente del collasso valvolare; ed è bilaterale, quindi</w:t>
      </w:r>
      <w:r>
        <w:t xml:space="preserve"> </w:t>
      </w:r>
      <w:r>
        <w:rPr>
          <w:b/>
          <w:bCs/>
        </w:rPr>
        <w:t xml:space="preserve">non vede l’ostruzione da un lato solo</w:t>
      </w:r>
      <w:r>
        <w:t xml:space="preserve">. Un PNIF che non supera la soglia non vuol dire trattamento fallito: vuol dire che quel marker non ha detto niente.</w:t>
      </w:r>
      <w:r>
        <w:t xml:space="preserve"> </w:t>
      </w:r>
      <w:r>
        <w:rPr>
          <w:b/>
          <w:bCs/>
        </w:rPr>
        <w:t xml:space="preserve">E la sensazione di naso aperto si muove anche da sola:</w:t>
      </w:r>
      <w:r>
        <w:t xml:space="preserve"> </w:t>
      </w:r>
      <w:r>
        <w:t xml:space="preserve">dei due isomeri del mentolo uno solo la produce, e nessuno dei due cambia la resistenza misurata (Eccles 1988).</w:t>
      </w:r>
      <w:r>
        <w:t xml:space="preserve"> </w:t>
      </w:r>
      <w:r>
        <w:rPr>
          <w:b/>
          <w:bCs/>
        </w:rPr>
        <w:t xml:space="preserve">Il marker del sonno si usa solo se l’apnea è già stata posta come domanda al medico.</w:t>
      </w:r>
    </w:p>
    <w:bookmarkEnd w:id="15"/>
    <w:bookmarkStart w:id="16" w:name="il-ragionamento"/>
    <w:p>
      <w:pPr>
        <w:pStyle w:val="Heading2"/>
      </w:pPr>
      <w:r>
        <w:t xml:space="preserve">8 · Il ragionamento</w:t>
      </w:r>
    </w:p>
    <w:p>
      <w:pPr>
        <w:pStyle w:val="Compact"/>
        <w:numPr>
          <w:ilvl w:val="0"/>
          <w:numId w:val="1002"/>
        </w:numPr>
      </w:pPr>
      <w:r>
        <w:t xml:space="preserve">Bandiera rossa? → ti fermi.</w:t>
      </w:r>
    </w:p>
    <w:p>
      <w:pPr>
        <w:pStyle w:val="Compact"/>
        <w:numPr>
          <w:ilvl w:val="0"/>
          <w:numId w:val="1002"/>
        </w:numPr>
      </w:pPr>
      <w:r>
        <w:t xml:space="preserve">Da un lato solo? → non è un sottotipo, è un invio. E chiedi del dente.</w:t>
      </w:r>
    </w:p>
    <w:p>
      <w:pPr>
        <w:pStyle w:val="Compact"/>
        <w:numPr>
          <w:ilvl w:val="0"/>
          <w:numId w:val="1002"/>
        </w:numPr>
      </w:pPr>
      <w:r>
        <w:t xml:space="preserve">Che dolore è? Pulsante ed episodico → la domanda non è sui seni.</w:t>
      </w:r>
    </w:p>
    <w:p>
      <w:pPr>
        <w:pStyle w:val="Compact"/>
        <w:numPr>
          <w:ilvl w:val="0"/>
          <w:numId w:val="1002"/>
        </w:numPr>
      </w:pPr>
      <w:r>
        <w:t xml:space="preserve">Quanta parte è mucosa, e il canale medico è aperto?</w:t>
      </w:r>
    </w:p>
    <w:p>
      <w:pPr>
        <w:pStyle w:val="Compact"/>
        <w:numPr>
          <w:ilvl w:val="0"/>
          <w:numId w:val="1002"/>
        </w:numPr>
      </w:pPr>
      <w:r>
        <w:t xml:space="preserve">Qual è il livello di attivazione? (Paziente C) → decide come tocchi prima di decidere cosa tocchi.</w:t>
      </w:r>
      <w:r>
        <w:t xml:space="preserve"> </w:t>
      </w:r>
      <w:r>
        <w:rPr>
          <w:b/>
          <w:bCs/>
        </w:rPr>
        <w:t xml:space="preserve">B e C si somigliano:</w:t>
      </w:r>
      <w:r>
        <w:t xml:space="preserve"> </w:t>
      </w:r>
      <w:r>
        <w:t xml:space="preserve">in B l’ostruzione si alterna da sola, in C il paziente si controlla le narici mentre ti parla. Se sbagli il verso, calmi l’attivazione e il naso si chiude.</w:t>
      </w:r>
    </w:p>
    <w:p>
      <w:pPr>
        <w:pStyle w:val="Compact"/>
        <w:numPr>
          <w:ilvl w:val="0"/>
          <w:numId w:val="1002"/>
        </w:numPr>
      </w:pPr>
      <w:r>
        <w:t xml:space="preserve">Il flusso c’è? (Paziente D) → escursione toracica, respiro orale diurno.</w:t>
      </w:r>
    </w:p>
    <w:p>
      <w:pPr>
        <w:pStyle w:val="Compact"/>
        <w:numPr>
          <w:ilvl w:val="0"/>
          <w:numId w:val="1002"/>
        </w:numPr>
      </w:pPr>
      <w:r>
        <w:t xml:space="preserve">Quali reperti trovi, e sono riproducibili?</w:t>
      </w:r>
    </w:p>
    <w:p>
      <w:pPr>
        <w:pStyle w:val="Compact"/>
        <w:numPr>
          <w:ilvl w:val="0"/>
          <w:numId w:val="1002"/>
        </w:numPr>
      </w:pPr>
      <w:r>
        <w:t xml:space="preserve">Nomina il piano che tratti e il marker che lo verifica —</w:t>
      </w:r>
      <w:r>
        <w:t xml:space="preserve"> </w:t>
      </w:r>
      <w:r>
        <w:rPr>
          <w:b/>
          <w:bCs/>
        </w:rPr>
        <w:t xml:space="preserve">e controlla che non coincidano.</w:t>
      </w:r>
    </w:p>
    <w:p>
      <w:pPr>
        <w:pStyle w:val="FirstParagraph"/>
      </w:pPr>
      <w:r>
        <w:rPr>
          <w:b/>
          <w:bCs/>
        </w:rPr>
        <w:t xml:space="preserve">Motore della malattia ≠ sistema dominante.</w:t>
      </w:r>
      <w:r>
        <w:t xml:space="preserve"> </w:t>
      </w:r>
      <w:r>
        <w:t xml:space="preserve">Il primo è l’infiammazione: uguale in tutti, e non è tuo. Il secondo è il piano che in questo paziente consuma più adattamento, fra quelli su cui hai accesso.</w:t>
      </w:r>
      <w:r>
        <w:t xml:space="preserve"> </w:t>
      </w:r>
      <w:r>
        <w:rPr>
          <w:b/>
          <w:bCs/>
        </w:rPr>
        <w:t xml:space="preserve">La regola CC/CP qui è tolta, non attenuata:</w:t>
      </w:r>
      <w:r>
        <w:t xml:space="preserve"> </w:t>
      </w:r>
      <w:r>
        <w:t xml:space="preserve">la leva</w:t>
      </w:r>
      <w:r>
        <w:t xml:space="preserve"> </w:t>
      </w:r>
      <w:r>
        <w:rPr>
          <w:b/>
          <w:bCs/>
        </w:rPr>
        <w:t xml:space="preserve">manuale</w:t>
      </w:r>
      <w:r>
        <w:t xml:space="preserve"> </w:t>
      </w:r>
      <w:r>
        <w:t xml:space="preserve">con le prove migliori si applica proprio sui tessuti da cui il dolore si riproduce. Quello che resta è la verifica.</w:t>
      </w:r>
      <w:r>
        <w:t xml:space="preserve"> </w:t>
      </w:r>
      <w:r>
        <w:rPr>
          <w:b/>
          <w:bCs/>
        </w:rPr>
        <w:t xml:space="preserve">La chiave di volta:</w:t>
      </w:r>
      <w:r>
        <w:t xml:space="preserve"> </w:t>
      </w:r>
      <w:r>
        <w:t xml:space="preserve">il marker che decide appartiene a un piano che non hai trattato. Il PNIF a fine seduta è sempre</w:t>
      </w:r>
      <w:r>
        <w:t xml:space="preserve"> </w:t>
      </w:r>
      <w:r>
        <w:rPr>
          <w:b/>
          <w:bCs/>
        </w:rPr>
        <w:t xml:space="preserve">effetto di stato</w:t>
      </w:r>
      <w:r>
        <w:t xml:space="preserve">. Diventa chiave di volta in una sola forma:</w:t>
      </w:r>
      <w:r>
        <w:t xml:space="preserve"> </w:t>
      </w:r>
      <w:r>
        <w:rPr>
          <w:b/>
          <w:bCs/>
        </w:rPr>
        <w:t xml:space="preserve">alla seduta successiva, prima di toccare, a pari condizione.</w:t>
      </w:r>
      <w:r>
        <w:t xml:space="preserve"> </w:t>
      </w:r>
      <w:r>
        <w:t xml:space="preserve">Vale per il Paziente B (viso e collo) e vale per il Paziente D (torace), dove il flusso resta comunque l’effetto atteso della leva: è la verifica più pulita del documento, non una verifica esente dalla regola. In alternativa: controllo clinico EPOS, notti a bocca secca, o soglia dolorosa con algometro su un sito non trattato.</w:t>
      </w:r>
    </w:p>
    <w:bookmarkEnd w:id="16"/>
    <w:bookmarkStart w:id="17" w:name="Xec71c9e129fcbfd6e01015c5c3e3c834e7d2f5b"/>
    <w:p>
      <w:pPr>
        <w:pStyle w:val="Heading2"/>
      </w:pPr>
      <w:r>
        <w:t xml:space="preserve">9 · Lo strumento attivo con le prove migliori</w:t>
      </w:r>
    </w:p>
    <w:p>
      <w:pPr>
        <w:pStyle w:val="FirstParagraph"/>
      </w:pPr>
      <w:r>
        <w:rPr>
          <w:b/>
          <w:bCs/>
        </w:rPr>
        <w:t xml:space="preserve">Lavaggio nasale a grande volume, soluzione ipertonica, tutti i giorni.</w:t>
      </w:r>
      <w:r>
        <w:t xml:space="preserve"> </w:t>
      </w:r>
      <w:r>
        <w:t xml:space="preserve">Su 871 adulti in cure primarie, a sei mesi manteneva un miglioramento clinicamente importante il 44,1% di chi era stato</w:t>
      </w:r>
      <w:r>
        <w:t xml:space="preserve"> </w:t>
      </w:r>
      <w:r>
        <w:rPr>
          <w:b/>
          <w:bCs/>
        </w:rPr>
        <w:t xml:space="preserve">avviato al lavaggio</w:t>
      </w:r>
      <w:r>
        <w:t xml:space="preserve">, contro il 36,6% di chi non lo era stato (Little 2016).</w:t>
      </w:r>
      <w:r>
        <w:t xml:space="preserve"> </w:t>
      </w:r>
      <w:r>
        <w:rPr>
          <w:b/>
          <w:bCs/>
        </w:rPr>
        <w:t xml:space="preserve">Quello che è stato sorteggiato è il consiglio, non il gesto</w:t>
      </w:r>
      <w:r>
        <w:t xml:space="preserve">, e la differenza media (2,51 punti) sta sotto i dieci che lo studio usa come soglia di rilevanza.</w:t>
      </w:r>
      <w:r>
        <w:t xml:space="preserve"> </w:t>
      </w:r>
      <w:r>
        <w:rPr>
          <w:b/>
          <w:bCs/>
        </w:rPr>
        <w:t xml:space="preserve">PROBABILE.</w:t>
      </w:r>
      <w:r>
        <w:t xml:space="preserve"> </w:t>
      </w:r>
      <w:r>
        <w:rPr>
          <w:b/>
          <w:bCs/>
        </w:rPr>
        <w:t xml:space="preserve">L’acqua non è mai quella del rubinetto:</w:t>
      </w:r>
      <w:r>
        <w:t xml:space="preserve"> </w:t>
      </w:r>
      <w:r>
        <w:t xml:space="preserve">distillata, sterile, oppure bollita e raffreddata, con il contenitore lavato e asciugato. Due morti da</w:t>
      </w:r>
      <w:r>
        <w:t xml:space="preserve"> </w:t>
      </w:r>
      <w:r>
        <w:rPr>
          <w:i/>
          <w:iCs/>
        </w:rPr>
        <w:t xml:space="preserve">Naegleria fowleri</w:t>
      </w:r>
      <w:r>
        <w:t xml:space="preserve"> </w:t>
      </w:r>
      <w:r>
        <w:t xml:space="preserve">dopo lavaggi con acqua di rete (Yoder 2012).</w:t>
      </w:r>
      <w:r>
        <w:t xml:space="preserve"> </w:t>
      </w:r>
      <w:r>
        <w:rPr>
          <w:b/>
          <w:bCs/>
        </w:rPr>
        <w:t xml:space="preserve">Non si insegna</w:t>
      </w:r>
      <w:r>
        <w:t xml:space="preserve"> </w:t>
      </w:r>
      <w:r>
        <w:t xml:space="preserve">a chi ha fistola rinoliquorale nota o sospetta, o trauma facciale non consolidato;</w:t>
      </w:r>
      <w:r>
        <w:t xml:space="preserve"> </w:t>
      </w:r>
      <w:r>
        <w:rPr>
          <w:b/>
          <w:bCs/>
        </w:rPr>
        <w:t xml:space="preserve">si concorda col curante</w:t>
      </w:r>
      <w:r>
        <w:t xml:space="preserve"> </w:t>
      </w:r>
      <w:r>
        <w:t xml:space="preserve">nell’immunodepresso e nell’oncologico.</w:t>
      </w:r>
      <w:r>
        <w:t xml:space="preserve"> </w:t>
      </w:r>
      <w:r>
        <w:rPr>
          <w:b/>
          <w:bCs/>
        </w:rPr>
        <w:t xml:space="preserve">L’aderenza è il vero limite:</w:t>
      </w:r>
      <w:r>
        <w:t xml:space="preserve"> </w:t>
      </w:r>
      <w:r>
        <w:t xml:space="preserve">lo fa almeno sei giorni su sette il 24-36% dei pazienti (Phillips 2020).</w:t>
      </w:r>
      <w:r>
        <w:t xml:space="preserve"> </w:t>
      </w:r>
      <w:r>
        <w:t xml:space="preserve">Poi:</w:t>
      </w:r>
      <w:r>
        <w:t xml:space="preserve"> </w:t>
      </w:r>
      <w:r>
        <w:rPr>
          <w:b/>
          <w:bCs/>
        </w:rPr>
        <w:t xml:space="preserve">allenamento dell’olfatto</w:t>
      </w:r>
      <w:r>
        <w:t xml:space="preserve"> </w:t>
      </w:r>
      <w:r>
        <w:t xml:space="preserve">(PROBABILE, per plasticità, misurato sulla perdita post-virale) e</w:t>
      </w:r>
      <w:r>
        <w:t xml:space="preserve"> </w:t>
      </w:r>
      <w:r>
        <w:rPr>
          <w:b/>
          <w:bCs/>
        </w:rPr>
        <w:t xml:space="preserve">cessazione del fumo</w:t>
      </w:r>
      <w:r>
        <w:t xml:space="preserve"> </w:t>
      </w:r>
      <w:r>
        <w:t xml:space="preserve">(PROBABILE, sul secondo meccanismo).</w:t>
      </w:r>
    </w:p>
    <w:bookmarkEnd w:id="17"/>
    <w:bookmarkStart w:id="18" w:name="la-frase-per-il-paziente"/>
    <w:p>
      <w:pPr>
        <w:pStyle w:val="Heading2"/>
      </w:pPr>
      <w:r>
        <w:t xml:space="preserve">10 · La frase per il paziente</w:t>
      </w:r>
    </w:p>
    <w:p>
      <w:pPr>
        <w:pStyle w:val="FirstParagraph"/>
      </w:pPr>
      <w:r>
        <w:rPr>
          <w:i/>
          <w:iCs/>
        </w:rPr>
        <w:t xml:space="preserve">«Io non entro nelle stanze e non le apro. Lavoro attorno: sul collo, sulla mandibola, sul respiro. Sono le zone che decidono quanto passa aria e quanto pesa la pressione sul viso, e su questo abbiamo qualcosa da misurare insieme. Quello che succede dentro il naso e nei seni lo inquadra il suo medico, e quello che trovo io non lo esclude: le due cose vanno avanti insieme, e nel frattempo io non aspetto.»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Perché ci sei tu.</w:t>
      </w:r>
      <w:r>
        <w:t xml:space="preserve"> </w:t>
      </w:r>
      <w:r>
        <w:t xml:space="preserve">Il calibro del naso non lo decide il naso. Tutte le fibre simpatiche postgangliari della mucosa nasale vengono dal ganglio cervicale superiore omolaterale, e la sezione del tronco un centimetro</w:t>
      </w:r>
      <w:r>
        <w:t xml:space="preserve"> </w:t>
      </w:r>
      <w:r>
        <w:rPr>
          <w:b/>
          <w:bCs/>
        </w:rPr>
        <w:t xml:space="preserve">sotto</w:t>
      </w:r>
      <w:r>
        <w:t xml:space="preserve"> </w:t>
      </w:r>
      <w:r>
        <w:t xml:space="preserve">quel ganglio non cambia nulla (Su, 1988, PMID 3348753 —</w:t>
      </w:r>
      <w:r>
        <w:t xml:space="preserve"> </w:t>
      </w:r>
      <w:r>
        <w:rPr>
          <w:i/>
          <w:iCs/>
        </w:rPr>
        <w:t xml:space="preserve">nel cane, con neurectomie selettive</w:t>
      </w:r>
      <w:r>
        <w:t xml:space="preserve">). I pregangliari che lo riforniscono nascono in</w:t>
      </w:r>
      <w:r>
        <w:t xml:space="preserve"> </w:t>
      </w:r>
      <w:r>
        <w:rPr>
          <w:b/>
          <w:bCs/>
        </w:rPr>
        <w:t xml:space="preserve">T1-T4</w:t>
      </w:r>
      <w:r>
        <w:t xml:space="preserve">, perché sopra T1 il midollo non ha uscita simpatica. È il piano che comanda il calibro nasale, sta nel collo e nell’alto torace, e nel percorso standard non lo guarda nessuno. Questo ti autorizza a valutarlo sempre. Non ti autorizza a dire che il tuo tocco lo regola come vuoi, né a cercare un ganglio con le dita.</w:t>
      </w:r>
    </w:p>
    <w:p>
      <w:pPr>
        <w:pStyle w:val="BlockText"/>
      </w:pPr>
      <w:r>
        <w:rPr>
          <w:b/>
          <w:bCs/>
        </w:rPr>
        <w:t xml:space="preserve">Sei autonomo</w:t>
      </w:r>
      <w:r>
        <w:t xml:space="preserve"> </w:t>
      </w:r>
      <w:r>
        <w:t xml:space="preserve">quando riconosci l’unilaterale senza esitare e sai che è un’uscita; quando riconosci il paziente su cui puoi poco e glielo sai dire; e quando sai ripetere a un medico, senza guardare, che cosa possiamo affermare e che cosa no.</w:t>
      </w:r>
    </w:p>
    <w:p>
      <w:pPr>
        <w:pStyle w:val="BlockText"/>
      </w:pPr>
      <w:r>
        <w:rPr>
          <w:b/>
          <w:bCs/>
        </w:rPr>
        <w:t xml:space="preserve">DIMOSTRATO</w:t>
      </w:r>
      <w:r>
        <w:t xml:space="preserve"> </w:t>
      </w:r>
      <w:r>
        <w:t xml:space="preserve">studi sull’uomo, solidi ·</w:t>
      </w:r>
      <w:r>
        <w:t xml:space="preserve"> </w:t>
      </w:r>
      <w:r>
        <w:rPr>
          <w:b/>
          <w:bCs/>
        </w:rPr>
        <w:t xml:space="preserve">DIMOSTRATO nell’animale</w:t>
      </w:r>
      <w:r>
        <w:t xml:space="preserve"> </w:t>
      </w:r>
      <w:r>
        <w:t xml:space="preserve">studi solidi, ma su animale ·</w:t>
      </w:r>
      <w:r>
        <w:t xml:space="preserve"> </w:t>
      </w:r>
      <w:r>
        <w:rPr>
          <w:b/>
          <w:bCs/>
        </w:rPr>
        <w:t xml:space="preserve">PROBABILE</w:t>
      </w:r>
      <w:r>
        <w:t xml:space="preserve"> </w:t>
      </w:r>
      <w:r>
        <w:t xml:space="preserve">razionale forte, prove parziali ·</w:t>
      </w:r>
      <w:r>
        <w:t xml:space="preserve"> </w:t>
      </w:r>
      <w:r>
        <w:rPr>
          <w:b/>
          <w:bCs/>
        </w:rPr>
        <w:t xml:space="preserve">IPOTESI</w:t>
      </w:r>
      <w:r>
        <w:t xml:space="preserve"> </w:t>
      </w:r>
      <w:r>
        <w:t xml:space="preserve">meccanismo coerente, nessuno studio ·</w:t>
      </w:r>
      <w:r>
        <w:t xml:space="preserve"> </w:t>
      </w:r>
      <w:r>
        <w:rPr>
          <w:b/>
          <w:bCs/>
        </w:rPr>
        <w:t xml:space="preserve">RAGIONAMENTO</w:t>
      </w:r>
      <w:r>
        <w:t xml:space="preserve"> </w:t>
      </w:r>
      <w:r>
        <w:t xml:space="preserve">cornice clinica, non una prova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2026-08-31T21:52:37Z</dcterms:created>
  <dcterms:modified xsi:type="dcterms:W3CDTF">2026-08-31T21:52:37Z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