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disturbi-del-sonno"/>
    <w:p>
      <w:pPr>
        <w:pStyle w:val="Heading1"/>
      </w:pPr>
      <w:r>
        <w:t xml:space="preserve">Mappa — Disturbi del Sonno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disturbi del sonno (insonnia cronica dell’adulto) 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Charles M. Morin, Université Laval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Dieter Riemann, Università di Friburgo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finale (revisione di lingua, 6º livello)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31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— La condizione in tre righe</w:t>
      </w:r>
    </w:p>
    <w:p>
      <w:pPr>
        <w:pStyle w:val="FirstParagraph"/>
      </w:pPr>
      <w:r>
        <w:t xml:space="preserve">Difficoltà a iniziare o mantenere il sonno, o risveglio precoce, almeno tre notti a settimana da almeno tre mesi, con conseguenze diurne.</w:t>
      </w:r>
      <w:r>
        <w:t xml:space="preserve"> </w:t>
      </w:r>
      <w:r>
        <w:t xml:space="preserve">Circa una persona su tre ha un sintomo, il 6% ha il disturbo pieno; più frequente in donne e anziani.</w:t>
      </w:r>
      <w:r>
        <w:t xml:space="preserve"> </w:t>
      </w:r>
      <w:r>
        <w:t xml:space="preserve">Lasciata a sé: il 46% ce l’ha ancora a tre anni, il 54% va in remissione e di questi il 27% ricade.</w:t>
      </w:r>
    </w:p>
    <w:p>
      <w:r>
        <w:pict>
          <v:rect style="width:0;height:1.5pt" o:hralign="center" o:hrstd="t" o:hr="t"/>
        </w:pict>
      </w:r>
    </w:p>
    <w:bookmarkEnd w:id="9"/>
    <w:bookmarkStart w:id="10" w:name="la-catena-causale"/>
    <w:p>
      <w:pPr>
        <w:pStyle w:val="Heading2"/>
      </w:pPr>
      <w:r>
        <w:t xml:space="preserve">2 — La catena causale</w:t>
      </w:r>
    </w:p>
    <w:p>
      <w:pPr>
        <w:pStyle w:val="FirstParagraph"/>
      </w:pPr>
      <w:r>
        <w:rPr>
          <w:rStyle w:val="VerbatimChar"/>
        </w:rPr>
        <w:t xml:space="preserve">evento precipitante su un terreno predisposto → il sistema di arousal non scatta giù → attività corticale ad alta frequenza dentro il sonno → micro-risvegli più numerosi e accessibili al ricordo → il paziente sottostima il sonno che ha fatto → il letto diventa segnale di veglia → più tempo a letto, meno spinta al sonno → sette ore che non riparano</w:t>
      </w:r>
    </w:p>
    <w:p>
      <w:r>
        <w:pict>
          <v:rect style="width:0;height:1.5pt" o:hralign="center" o:hrstd="t" o:hr="t"/>
        </w:pict>
      </w:r>
    </w:p>
    <w:bookmarkEnd w:id="10"/>
    <w:bookmarkStart w:id="11" w:name="i-meccanismi-e-quanto-sono-solidi"/>
    <w:p>
      <w:pPr>
        <w:pStyle w:val="Heading2"/>
      </w:pPr>
      <w:r>
        <w:t xml:space="preserve">3 —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Allarme che non si spegne</w:t>
            </w:r>
          </w:p>
        </w:tc>
        <w:tc>
          <w:tcPr/>
          <w:p>
            <w:pPr>
              <w:pStyle w:val="Compact"/>
            </w:pPr>
            <w:r>
              <w:t xml:space="preserve">Non si addormenta da nessuna parte</w:t>
            </w:r>
          </w:p>
        </w:tc>
        <w:tc>
          <w:tcPr/>
          <w:p>
            <w:pPr>
              <w:pStyle w:val="Compact"/>
            </w:pPr>
            <w:r>
              <w:t xml:space="preserve">DIMOSTRATO (corticale)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letto significa veglia</w:t>
            </w:r>
          </w:p>
        </w:tc>
        <w:tc>
          <w:tcPr/>
          <w:p>
            <w:pPr>
              <w:pStyle w:val="Compact"/>
            </w:pPr>
            <w:r>
              <w:t xml:space="preserve">Crolla sul divano, sveglio a letto</w:t>
            </w:r>
          </w:p>
        </w:tc>
        <w:tc>
          <w:tcPr/>
          <w:p>
            <w:pPr>
              <w:pStyle w:val="Compact"/>
            </w:pPr>
            <w:r>
              <w:t xml:space="preserve">PROBABILE (la causa)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Spinta spesa in anticipo</w:t>
            </w:r>
          </w:p>
        </w:tc>
        <w:tc>
          <w:tcPr/>
          <w:p>
            <w:pPr>
              <w:pStyle w:val="Compact"/>
            </w:pPr>
            <w:r>
              <w:t xml:space="preserve">Nove ore a letto, cinque dormite</w:t>
            </w:r>
          </w:p>
        </w:tc>
        <w:tc>
          <w:tcPr/>
          <w:p>
            <w:pPr>
              <w:pStyle w:val="Compact"/>
            </w:pPr>
            <w:r>
              <w:t xml:space="preserve">DIMOSTRATO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e sonno che si tirano</w:t>
            </w:r>
          </w:p>
        </w:tc>
        <w:tc>
          <w:tcPr/>
          <w:p>
            <w:pPr>
              <w:pStyle w:val="Compact"/>
            </w:pPr>
            <w:r>
              <w:t xml:space="preserve">Si sveglia perché fa male</w:t>
            </w:r>
          </w:p>
        </w:tc>
        <w:tc>
          <w:tcPr/>
          <w:p>
            <w:pPr>
              <w:pStyle w:val="Compact"/>
            </w:pPr>
            <w:r>
              <w:t xml:space="preserve">DIMOSTRATO (direzione)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corpo lavora di notte</w:t>
            </w:r>
          </w:p>
        </w:tc>
        <w:tc>
          <w:tcPr/>
          <w:p>
            <w:pPr>
              <w:pStyle w:val="Compact"/>
            </w:pPr>
            <w:r>
              <w:t xml:space="preserve">Mandibola dolente al mattino</w:t>
            </w:r>
          </w:p>
        </w:tc>
        <w:tc>
          <w:tcPr/>
          <w:p>
            <w:pPr>
              <w:pStyle w:val="Compact"/>
            </w:pPr>
            <w:r>
              <w:t xml:space="preserve">DIMOSTRATO (segue il risveglio)</w:t>
            </w:r>
          </w:p>
        </w:tc>
      </w:tr>
    </w:tbl>
    <w:p>
      <w:pPr>
        <w:pStyle w:val="BodyText"/>
      </w:pPr>
      <w:r>
        <w:t xml:space="preserve">Sulle prime tre righe la tua leva è IPOTESI o assente. Sulla quarta la mano regge PROBABILE sul dolore e IPOTESI sul sonno. Sulla quinta regge DIMOSTRATO sul dolore mandibolare — ma solo per la quota</w:t>
      </w:r>
      <w:r>
        <w:t xml:space="preserve"> </w:t>
      </w:r>
      <w:r>
        <w:rPr>
          <w:b/>
          <w:bCs/>
        </w:rPr>
        <w:t xml:space="preserve">extra-orale</w:t>
      </w:r>
      <w:r>
        <w:t xml:space="preserve">, e lì scende a PROBABILE — e IPOTESI sul sonno.</w:t>
      </w:r>
    </w:p>
    <w:p>
      <w:pPr>
        <w:pStyle w:val="BodyText"/>
      </w:pPr>
      <w:r>
        <w:rPr>
          <w:b/>
          <w:bCs/>
        </w:rPr>
        <w:t xml:space="preserve">Il discriminante fra 1 e 2, perché le leve sono opposte:</w:t>
      </w:r>
      <w:r>
        <w:t xml:space="preserve"> </w:t>
      </w:r>
      <w:r>
        <w:t xml:space="preserve">il primo non si addormenta</w:t>
      </w:r>
      <w:r>
        <w:t xml:space="preserve"> </w:t>
      </w:r>
      <w:r>
        <w:rPr>
          <w:b/>
          <w:bCs/>
        </w:rPr>
        <w:t xml:space="preserve">da nessuna parte</w:t>
      </w:r>
      <w:r>
        <w:t xml:space="preserve">; il secondo crolla altrove e si sveglia entrando in camera.</w:t>
      </w:r>
    </w:p>
    <w:p>
      <w:r>
        <w:pict>
          <v:rect style="width:0;height:1.5pt" o:hralign="center" o:hrstd="t" o:hr="t"/>
        </w:pict>
      </w:r>
    </w:p>
    <w:bookmarkEnd w:id="11"/>
    <w:bookmarkStart w:id="12" w:name="i-pattern-e-chi-comanda"/>
    <w:p>
      <w:pPr>
        <w:pStyle w:val="Heading2"/>
      </w:pPr>
      <w:r>
        <w:t xml:space="preserve">4 — I pattern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Insonnia da iperattivazione</w:t>
            </w:r>
          </w:p>
        </w:tc>
        <w:tc>
          <w:tcPr/>
          <w:p>
            <w:pPr>
              <w:pStyle w:val="Compact"/>
            </w:pPr>
            <w:r>
              <w:t xml:space="preserve">Non si addormenta da nessuna parte</w:t>
            </w:r>
          </w:p>
        </w:tc>
        <w:tc>
          <w:tcPr/>
          <w:p>
            <w:pPr>
              <w:pStyle w:val="Compact"/>
            </w:pPr>
            <w:r>
              <w:t xml:space="preserve">Poco, e in parallelo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Letto condizionato</w:t>
            </w:r>
          </w:p>
        </w:tc>
        <w:tc>
          <w:tcPr/>
          <w:p>
            <w:pPr>
              <w:pStyle w:val="Compact"/>
            </w:pPr>
            <w:r>
              <w:t xml:space="preserve">Crolla sul divano, sveglio a letto</w:t>
            </w:r>
          </w:p>
        </w:tc>
        <w:tc>
          <w:tcPr/>
          <w:p>
            <w:pPr>
              <w:pStyle w:val="Compact"/>
            </w:pPr>
            <w:r>
              <w:t xml:space="preserve">Niente con le mani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Insonnia con dolore notturno</w:t>
            </w:r>
          </w:p>
        </w:tc>
        <w:tc>
          <w:tcPr/>
          <w:p>
            <w:pPr>
              <w:pStyle w:val="Compact"/>
            </w:pPr>
            <w:r>
              <w:t xml:space="preserve">Si sveglia per la posizione</w:t>
            </w:r>
          </w:p>
        </w:tc>
        <w:tc>
          <w:tcPr/>
          <w:p>
            <w:pPr>
              <w:pStyle w:val="Compact"/>
            </w:pPr>
            <w:r>
              <w:t xml:space="preserve">Molto, se meccanico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Attività motoria notturna</w:t>
            </w:r>
          </w:p>
        </w:tc>
        <w:tc>
          <w:tcPr/>
          <w:p>
            <w:pPr>
              <w:pStyle w:val="Compact"/>
            </w:pPr>
            <w:r>
              <w:t xml:space="preserve">Mandibola dolente, digrigna</w:t>
            </w:r>
          </w:p>
        </w:tc>
        <w:tc>
          <w:tcPr/>
          <w:p>
            <w:pPr>
              <w:pStyle w:val="Compact"/>
            </w:pPr>
            <w:r>
              <w:t xml:space="preserve">Abbastanza, sul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Sospetta apnea ostruttiva</w:t>
            </w:r>
          </w:p>
        </w:tc>
        <w:tc>
          <w:tcPr/>
          <w:p>
            <w:pPr>
              <w:pStyle w:val="Compact"/>
            </w:pPr>
            <w:r>
              <w:t xml:space="preserve">Russa forte, pause riferite</w:t>
            </w:r>
          </w:p>
        </w:tc>
        <w:tc>
          <w:tcPr/>
          <w:p>
            <w:pPr>
              <w:pStyle w:val="Compact"/>
            </w:pPr>
            <w:r>
              <w:t xml:space="preserve">Niente-invio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Sospette gambe senza riposo</w:t>
            </w:r>
          </w:p>
        </w:tc>
        <w:tc>
          <w:tcPr/>
          <w:p>
            <w:pPr>
              <w:pStyle w:val="Compact"/>
            </w:pPr>
            <w:r>
              <w:t xml:space="preserve">Deve muovere le gambe la sera</w:t>
            </w:r>
          </w:p>
        </w:tc>
        <w:tc>
          <w:tcPr/>
          <w:p>
            <w:pPr>
              <w:pStyle w:val="Compact"/>
            </w:pPr>
            <w:r>
              <w:t xml:space="preserve">Niente-invio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Insonnia in quadro dell’umore</w:t>
            </w:r>
          </w:p>
        </w:tc>
        <w:tc>
          <w:tcPr/>
          <w:p>
            <w:pPr>
              <w:pStyle w:val="Compact"/>
            </w:pPr>
            <w:r>
              <w:t xml:space="preserve">Risveglio precoce, umore a terra</w:t>
            </w:r>
          </w:p>
        </w:tc>
        <w:tc>
          <w:tcPr/>
          <w:p>
            <w:pPr>
              <w:pStyle w:val="Compact"/>
            </w:pPr>
            <w:r>
              <w:t xml:space="preserve">Niente-invio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Altra condizione medica, o farmaci</w:t>
            </w:r>
          </w:p>
        </w:tc>
        <w:tc>
          <w:tcPr/>
          <w:p>
            <w:pPr>
              <w:pStyle w:val="Compact"/>
            </w:pPr>
            <w:r>
              <w:t xml:space="preserve">Si alza per urinare, si sveglia sudata</w:t>
            </w:r>
          </w:p>
        </w:tc>
        <w:tc>
          <w:tcPr/>
          <w:p>
            <w:pPr>
              <w:pStyle w:val="Compact"/>
            </w:pPr>
            <w:r>
              <w:t xml:space="preserve">Niente sul sonno — invio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tre domande che decidono, in quest’ordine:</w:t>
      </w:r>
      <w:r>
        <w:t xml:space="preserve"> </w:t>
      </w:r>
      <w:r>
        <w:rPr>
          <w:i/>
          <w:iCs/>
        </w:rPr>
        <w:t xml:space="preserve">«ti svegli perché fa male, o sei sveglio e allora senti che fa male?»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«se cambi posizione passa?»</w:t>
      </w:r>
      <w:r>
        <w:t xml:space="preserve"> </w:t>
      </w:r>
      <w:r>
        <w:t xml:space="preserve">— se non passa, non è tuo ·</w:t>
      </w:r>
      <w:r>
        <w:t xml:space="preserve"> </w:t>
      </w:r>
      <w:r>
        <w:rPr>
          <w:i/>
          <w:iCs/>
        </w:rPr>
        <w:t xml:space="preserve">«è dolore, o bisogno di muovere le gambe?»</w:t>
      </w:r>
    </w:p>
    <w:p>
      <w:pPr>
        <w:pStyle w:val="BodyText"/>
      </w:pPr>
      <w:r>
        <w:rPr>
          <w:b/>
          <w:bCs/>
        </w:rPr>
        <w:t xml:space="preserve">E le due che nessuno fa:</w:t>
      </w:r>
      <w:r>
        <w:t xml:space="preserve"> </w:t>
      </w:r>
      <w:r>
        <w:rPr>
          <w:i/>
          <w:iCs/>
        </w:rPr>
        <w:t xml:space="preserve">quante volte ti alzi per andare in bagno?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ti svegli sudata?</w:t>
      </w:r>
      <w:r>
        <w:t xml:space="preserve"> </w:t>
      </w:r>
      <w:r>
        <w:t xml:space="preserve">(donna 45-58 anni)</w:t>
      </w:r>
    </w:p>
    <w:p>
      <w:r>
        <w:pict>
          <v:rect style="width:0;height:1.5pt" o:hralign="center" o:hrstd="t" o:hr="t"/>
        </w:pict>
      </w:r>
    </w:p>
    <w:bookmarkEnd w:id="12"/>
    <w:bookmarkStart w:id="13" w:name="le-bandiere-rosse"/>
    <w:p>
      <w:pPr>
        <w:pStyle w:val="Heading2"/>
      </w:pPr>
      <w:r>
        <w:t xml:space="preserve">5 — Le bandiere rosse</w:t>
      </w:r>
    </w:p>
    <w:p>
      <w:pPr>
        <w:pStyle w:val="FirstParagraph"/>
      </w:pPr>
      <w:r>
        <w:rPr>
          <w:b/>
          <w:bCs/>
        </w:rPr>
        <w:t xml:space="preserve">Blocco A — non si tratta nulla, in nessun distretto</w:t>
      </w:r>
    </w:p>
    <w:p>
      <w:pPr>
        <w:pStyle w:val="Compact"/>
        <w:numPr>
          <w:ilvl w:val="0"/>
          <w:numId w:val="1001"/>
        </w:numPr>
      </w:pPr>
      <w:r>
        <w:t xml:space="preserve">Dolore toracico o affanno in atto → 112</w:t>
      </w:r>
    </w:p>
    <w:p>
      <w:pPr>
        <w:pStyle w:val="Compact"/>
        <w:numPr>
          <w:ilvl w:val="0"/>
          <w:numId w:val="1001"/>
        </w:numPr>
      </w:pPr>
      <w:r>
        <w:t xml:space="preserve">Ideazione suicidaria attiva, con piano o intenzione → 112, la chiamata parte prima che esca, e non resta solo</w:t>
      </w:r>
    </w:p>
    <w:p>
      <w:pPr>
        <w:pStyle w:val="Compact"/>
        <w:numPr>
          <w:ilvl w:val="0"/>
          <w:numId w:val="1001"/>
        </w:numPr>
      </w:pPr>
      <w:r>
        <w:t xml:space="preserve">Pensieri di morte passivi → medico curante, urgente, contatto lo stesso giorno fatto dallo studio</w:t>
      </w:r>
    </w:p>
    <w:p>
      <w:pPr>
        <w:pStyle w:val="Compact"/>
        <w:numPr>
          <w:ilvl w:val="0"/>
          <w:numId w:val="1001"/>
        </w:numPr>
      </w:pPr>
      <w:r>
        <w:t xml:space="preserve">Colpi di sonno alla guida → medico curante, urgente +</w:t>
      </w:r>
      <w:r>
        <w:t xml:space="preserve"> </w:t>
      </w:r>
      <w:r>
        <w:rPr>
          <w:b/>
          <w:bCs/>
        </w:rPr>
        <w:t xml:space="preserve">frase obbligatoria:</w:t>
      </w:r>
      <w:r>
        <w:t xml:space="preserve"> </w:t>
      </w:r>
      <w:r>
        <w:rPr>
          <w:i/>
          <w:iCs/>
        </w:rPr>
        <w:t xml:space="preserve">«finché il tuo medico non ti ha valutato, non metterti alla guida quando sei assonnato»</w:t>
      </w:r>
      <w:r>
        <w:t xml:space="preserve">, detta e scritta in cartella</w:t>
      </w:r>
    </w:p>
    <w:p>
      <w:pPr>
        <w:pStyle w:val="FirstParagraph"/>
      </w:pPr>
      <w:r>
        <w:rPr>
          <w:b/>
          <w:bCs/>
        </w:rPr>
        <w:t xml:space="preserve">Blocco B — invio non differibile, si può trattare un altro distretto per iscritto</w:t>
      </w:r>
    </w:p>
    <w:p>
      <w:pPr>
        <w:pStyle w:val="Compact"/>
        <w:numPr>
          <w:ilvl w:val="0"/>
          <w:numId w:val="1002"/>
        </w:numPr>
      </w:pPr>
      <w:r>
        <w:t xml:space="preserve">Pause del respiro riferite, russamento forte</w:t>
      </w:r>
    </w:p>
    <w:p>
      <w:pPr>
        <w:pStyle w:val="Compact"/>
        <w:numPr>
          <w:ilvl w:val="0"/>
          <w:numId w:val="1002"/>
        </w:numPr>
      </w:pPr>
      <w:r>
        <w:t xml:space="preserve">Umore molto a terra, perdita di interesse</w:t>
      </w:r>
    </w:p>
    <w:p>
      <w:pPr>
        <w:pStyle w:val="Compact"/>
        <w:numPr>
          <w:ilvl w:val="0"/>
          <w:numId w:val="1002"/>
        </w:numPr>
      </w:pPr>
      <w:r>
        <w:t xml:space="preserve">Comportamenti complessi o movimenti violenti dormendo</w:t>
      </w:r>
    </w:p>
    <w:p>
      <w:pPr>
        <w:pStyle w:val="Compact"/>
        <w:numPr>
          <w:ilvl w:val="0"/>
          <w:numId w:val="1002"/>
        </w:numPr>
      </w:pPr>
      <w:r>
        <w:t xml:space="preserve">Risvegli con cardiopalmo o affanno</w:t>
      </w:r>
    </w:p>
    <w:p>
      <w:pPr>
        <w:pStyle w:val="Compact"/>
        <w:numPr>
          <w:ilvl w:val="0"/>
          <w:numId w:val="1002"/>
        </w:numPr>
      </w:pPr>
      <w:r>
        <w:t xml:space="preserve">Insonnia nuova con cefalea nuova o deficit neurologico</w:t>
      </w:r>
    </w:p>
    <w:p>
      <w:pPr>
        <w:pStyle w:val="Compact"/>
        <w:numPr>
          <w:ilvl w:val="0"/>
          <w:numId w:val="1002"/>
        </w:numPr>
      </w:pPr>
      <w:r>
        <w:t xml:space="preserve">Bisogno irrefrenabile di muovere le gambe la sera (nella lettera nomina la</w:t>
      </w:r>
      <w:r>
        <w:t xml:space="preserve"> </w:t>
      </w:r>
      <w:r>
        <w:rPr>
          <w:b/>
          <w:bCs/>
        </w:rPr>
        <w:t xml:space="preserve">ferritina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Si addormenta di giorno</w:t>
      </w:r>
    </w:p>
    <w:p>
      <w:pPr>
        <w:pStyle w:val="Compact"/>
        <w:numPr>
          <w:ilvl w:val="0"/>
          <w:numId w:val="1002"/>
        </w:numPr>
      </w:pPr>
      <w:r>
        <w:t xml:space="preserve">Dolore notturno con storia di neoplasia</w:t>
      </w:r>
    </w:p>
    <w:p>
      <w:pPr>
        <w:pStyle w:val="Compact"/>
        <w:numPr>
          <w:ilvl w:val="0"/>
          <w:numId w:val="1002"/>
        </w:numPr>
      </w:pPr>
      <w:r>
        <w:t xml:space="preserve">Dolore notturno con calo di peso, febbre, sudorazioni</w:t>
      </w:r>
    </w:p>
    <w:p>
      <w:pPr>
        <w:pStyle w:val="Compact"/>
        <w:numPr>
          <w:ilvl w:val="0"/>
          <w:numId w:val="1002"/>
        </w:numPr>
      </w:pPr>
      <w:r>
        <w:t xml:space="preserve">Dolore notturno che nessuna posizione cambia</w:t>
      </w:r>
    </w:p>
    <w:p>
      <w:pPr>
        <w:pStyle w:val="Compact"/>
        <w:numPr>
          <w:ilvl w:val="0"/>
          <w:numId w:val="1002"/>
        </w:numPr>
      </w:pPr>
      <w:r>
        <w:t xml:space="preserve">Dolore notturno nuovo in immunodepresso o diabetico</w:t>
      </w:r>
    </w:p>
    <w:p>
      <w:pPr>
        <w:pStyle w:val="FirstParagraph"/>
      </w:pPr>
      <w:r>
        <w:rPr>
          <w:i/>
          <w:iCs/>
        </w:rPr>
        <w:t xml:space="preserve">Rete, non filtro: una riga presente ti ferma, tutte assenti non escludono niente. In cartella scrivi che l’hai passata in rassegna, mai che il paziente è negativo.</w:t>
      </w:r>
    </w:p>
    <w:p>
      <w:pPr>
        <w:pStyle w:val="BodyText"/>
      </w:pPr>
      <w:r>
        <w:rPr>
          <w:b/>
          <w:bCs/>
        </w:rPr>
        <w:t xml:space="preserve">E il quarto cancello, che qui non ha una riga.</w:t>
      </w:r>
      <w:r>
        <w:t xml:space="preserve"> </w:t>
      </w:r>
      <w:r>
        <w:t xml:space="preserve">L’insonnia dentro un’altra condizione medica o da farmaci non è una bandiera rossa. La condotta è il Passo 0 della Road Map: chiedi, trascrivi senza commentare, manda.</w:t>
      </w:r>
    </w:p>
    <w:p>
      <w:pPr>
        <w:pStyle w:val="BodyText"/>
      </w:pPr>
      <w:r>
        <w:rPr>
          <w:b/>
          <w:bCs/>
        </w:rPr>
        <w:t xml:space="preserve">Il tetto del GIALLO:</w:t>
      </w:r>
      <w:r>
        <w:t xml:space="preserve"> </w:t>
      </w:r>
      <w:r>
        <w:t xml:space="preserve">sei settimane dalla prima seduta, con la rivalutazione in agenda dal giorno della presa in carico.</w:t>
      </w:r>
    </w:p>
    <w:p>
      <w:r>
        <w:pict>
          <v:rect style="width:0;height:1.5pt" o:hralign="center" o:hrstd="t" o:hr="t"/>
        </w:pict>
      </w:r>
    </w:p>
    <w:bookmarkEnd w:id="13"/>
    <w:bookmarkStart w:id="14" w:name="i-marker-e-le-soglie"/>
    <w:p>
      <w:pPr>
        <w:pStyle w:val="Heading2"/>
      </w:pPr>
      <w:r>
        <w:t xml:space="preserve">6 — I marker e le soglie</w:t>
      </w:r>
    </w:p>
    <w:p>
      <w:pPr>
        <w:pStyle w:val="FirstParagraph"/>
      </w:pPr>
      <w:r>
        <w:rPr>
          <w:b/>
          <w:bCs/>
        </w:rPr>
        <w:t xml:space="preserve">I marker sono tre.</w:t>
      </w:r>
      <w:r>
        <w:t xml:space="preserve"> </w:t>
      </w:r>
      <w:r>
        <w:t xml:space="preserve">Rotazione cervicale e apertura della bocca</w:t>
      </w:r>
      <w:r>
        <w:t xml:space="preserve"> </w:t>
      </w:r>
      <w:r>
        <w:rPr>
          <w:b/>
          <w:bCs/>
        </w:rPr>
        <w:t xml:space="preserve">non sono marker</w:t>
      </w:r>
      <w:r>
        <w:t xml:space="preserve">: sono misure dentro il piano che tratti, e la loro soglia è comunque dichiarata.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 (o misura)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Da dove viene 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Risvegli per dolore, 7 notti</w:t>
            </w:r>
          </w:p>
        </w:tc>
        <w:tc>
          <w:tcPr/>
          <w:p>
            <w:pPr>
              <w:pStyle w:val="Compact"/>
            </w:pPr>
            <w:r>
              <w:t xml:space="preserve">2 notti in meno</w:t>
            </w:r>
          </w:p>
        </w:tc>
        <w:tc>
          <w:tcPr/>
          <w:p>
            <w:pPr>
              <w:pStyle w:val="Compact"/>
            </w:pPr>
            <w:r>
              <w:t xml:space="preserve">Oscillazione settimanale del diario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Risvegli ricordati, 7 notti</w:t>
            </w:r>
          </w:p>
        </w:tc>
        <w:tc>
          <w:tcPr/>
          <w:p>
            <w:pPr>
              <w:pStyle w:val="Compact"/>
            </w:pPr>
            <w:r>
              <w:t xml:space="preserve">2 notti in meno</w:t>
            </w:r>
          </w:p>
        </w:tc>
        <w:tc>
          <w:tcPr/>
          <w:p>
            <w:pPr>
              <w:pStyle w:val="Compact"/>
            </w:pPr>
            <w:r>
              <w:t xml:space="preserve">Oscillazione settimanale del diario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 respiratori su 60 secondi</w:t>
            </w:r>
          </w:p>
        </w:tc>
        <w:tc>
          <w:tcPr/>
          <w:p>
            <w:pPr>
              <w:pStyle w:val="Compact"/>
            </w:pPr>
            <w:r>
              <w:t xml:space="preserve">Variazione sulla baseline</w:t>
            </w:r>
          </w:p>
        </w:tc>
        <w:tc>
          <w:tcPr/>
          <w:p>
            <w:pPr>
              <w:pStyle w:val="Compact"/>
            </w:pPr>
            <w:r>
              <w:t xml:space="preserve">Nessuna soglia assoluta è validata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Rotazione cervicale</w:t>
            </w:r>
            <w:r>
              <w:t xml:space="preserve"> </w:t>
            </w:r>
            <w:r>
              <w:t xml:space="preserve">(misura)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Convenzione interna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Apertura della bocca</w:t>
            </w:r>
            <w:r>
              <w:t xml:space="preserve"> </w:t>
            </w:r>
            <w:r>
              <w:t xml:space="preserve">(misura)</w:t>
            </w:r>
          </w:p>
        </w:tc>
        <w:tc>
          <w:tcPr/>
          <w:p>
            <w:pPr>
              <w:pStyle w:val="Compact"/>
            </w:pPr>
            <w:r>
              <w:t xml:space="preserve">5 millimetri</w:t>
            </w:r>
          </w:p>
        </w:tc>
        <w:tc>
          <w:tcPr/>
          <w:p>
            <w:pPr>
              <w:pStyle w:val="Compact"/>
            </w:pPr>
            <w:r>
              <w:t xml:space="preserve">Convenzione interna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Piano trattato</w:t>
            </w:r>
          </w:p>
        </w:tc>
        <w:tc>
          <w:tcPr/>
          <w:p>
            <w:pPr>
              <w:pStyle w:val="Compact"/>
            </w:pPr>
            <w:r>
              <w:t xml:space="preserve">Marker che decide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Diaframma e torace</w:t>
            </w:r>
          </w:p>
        </w:tc>
        <w:tc>
          <w:tcPr/>
          <w:p>
            <w:pPr>
              <w:pStyle w:val="Compact"/>
            </w:pPr>
            <w:r>
              <w:t xml:space="preserve">Risvegli per dolore, 7 notti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Cervicale alta</w:t>
            </w:r>
          </w:p>
        </w:tc>
        <w:tc>
          <w:tcPr/>
          <w:p>
            <w:pPr>
              <w:pStyle w:val="Compact"/>
            </w:pPr>
            <w:r>
              <w:t xml:space="preserve">Risvegli per dolore, 7 notti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Masticatori</w:t>
            </w:r>
          </w:p>
        </w:tc>
        <w:tc>
          <w:tcPr/>
          <w:p>
            <w:pPr>
              <w:pStyle w:val="Compact"/>
            </w:pPr>
            <w:r>
              <w:t xml:space="preserve">Risvegli per dolore, 7 notti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Attivazione, contatto lento</w:t>
            </w:r>
          </w:p>
        </w:tc>
        <w:tc>
          <w:tcPr/>
          <w:p>
            <w:pPr>
              <w:pStyle w:val="Compact"/>
            </w:pPr>
            <w:r>
              <w:t xml:space="preserve">Frequenza respiratoria, risvegli ricordati</w:t>
            </w:r>
          </w:p>
        </w:tc>
      </w:tr>
    </w:tbl>
    <w:p>
      <w:pPr>
        <w:pStyle w:val="BodyText"/>
      </w:pPr>
      <w:r>
        <w:t xml:space="preserve">È la</w:t>
      </w:r>
      <w:r>
        <w:t xml:space="preserve"> </w:t>
      </w:r>
      <w:r>
        <w:rPr>
          <w:b/>
          <w:bCs/>
        </w:rPr>
        <w:t xml:space="preserve">prova della chiave di volta</w:t>
      </w:r>
      <w:r>
        <w:t xml:space="preserve">: tratti in prova, rivaluti, e il marker che decide sta fuori dal piano che hai toccato.</w:t>
      </w:r>
      <w:r>
        <w:t xml:space="preserve"> </w:t>
      </w:r>
      <w:r>
        <w:rPr>
          <w:b/>
          <w:bCs/>
        </w:rPr>
        <w:t xml:space="preserve">Due piani collegati da un anello nervoso non si verificano a vicenda</w:t>
      </w:r>
      <w:r>
        <w:t xml:space="preserve"> </w:t>
      </w:r>
      <w:r>
        <w:t xml:space="preserve">(masticatori e cervicale alta condividono il nucleo trigemino-cervicale). L’ISI non è un marker: è la misura di esito, scala 0-28, soglia dei casi a 10.</w:t>
      </w:r>
    </w:p>
    <w:p>
      <w:pPr>
        <w:pStyle w:val="BodyText"/>
      </w:pPr>
      <w:r>
        <w:rPr>
          <w:b/>
          <w:bCs/>
        </w:rPr>
        <w:t xml:space="preserve">E perché il marker si sceglie prima.</w:t>
      </w:r>
      <w:r>
        <w:t xml:space="preserve"> </w:t>
      </w:r>
      <w:r>
        <w:t xml:space="preserve">I concorrenti misurati sono due, non uno. Il primo: il 54% remette da solo (Morin 2009). Il secondo: nei bracci placebo di 32 studi farmacologici sull’insonnia si ottiene il</w:t>
      </w:r>
      <w:r>
        <w:t xml:space="preserve"> </w:t>
      </w:r>
      <w:r>
        <w:rPr>
          <w:b/>
          <w:bCs/>
        </w:rPr>
        <w:t xml:space="preserve">63,56%</w:t>
      </w:r>
      <w:r>
        <w:t xml:space="preserve"> </w:t>
      </w:r>
      <w:r>
        <w:t xml:space="preserve">della risposta dei farmaci, e lo si vede anche alla polisonnografia (Winkler e Rief 2015, PMID 25515108) —</w:t>
      </w:r>
      <w:r>
        <w:t xml:space="preserve"> </w:t>
      </w:r>
      <w:r>
        <w:rPr>
          <w:i/>
          <w:iCs/>
        </w:rPr>
        <w:t xml:space="preserve">misurato nei bracci placebo di studi farmacologici, non su pazienti trattati con le mani.</w:t>
      </w:r>
      <w:r>
        <w:t xml:space="preserve"> </w:t>
      </w:r>
      <w:r>
        <w:t xml:space="preserve">Il contesto, misurato nel nostro campo, è piccolo e con certezza molto bassa (Saueressig 2024, PMID 38116995): non spiega tutto, e non è zero.</w:t>
      </w:r>
    </w:p>
    <w:p>
      <w:r>
        <w:pict>
          <v:rect style="width:0;height:1.5pt" o:hralign="center" o:hrstd="t" o:hr="t"/>
        </w:pict>
      </w:r>
    </w:p>
    <w:bookmarkEnd w:id="14"/>
    <w:bookmarkStart w:id="15" w:name="la-sicurezza-del-gesto"/>
    <w:p>
      <w:pPr>
        <w:pStyle w:val="Heading2"/>
      </w:pPr>
      <w:r>
        <w:t xml:space="preserve">7 — La sicurezza del gesto</w:t>
      </w:r>
    </w:p>
    <w:p>
      <w:pPr>
        <w:pStyle w:val="FirstParagraph"/>
      </w:pPr>
      <w:r>
        <w:t xml:space="preserve">L’insonnia non controindica nessuna manovra.</w:t>
      </w:r>
      <w:r>
        <w:t xml:space="preserve"> </w:t>
      </w:r>
      <w:r>
        <w:rPr>
          <w:b/>
          <w:bCs/>
        </w:rPr>
        <w:t xml:space="preserve">Ma il rischio del gesto non viene dalla condizione: viene dalla zona.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Occipite-C2</w:t>
      </w:r>
      <w:r>
        <w:t xml:space="preserve"> </w:t>
      </w:r>
      <w:r>
        <w:t xml:space="preserve">è la zona a profilo vascolare noto di questo documento. La valutazione della regione per potenziale patologia vascolare</w:t>
      </w:r>
      <w:r>
        <w:t xml:space="preserve"> </w:t>
      </w:r>
      <w:r>
        <w:rPr>
          <w:b/>
          <w:bCs/>
        </w:rPr>
        <w:t xml:space="preserve">precede l’intervento, qualunque tecnica si scelga</w:t>
      </w:r>
      <w:r>
        <w:t xml:space="preserve">: eventi gravi sono stati descritti anche dopo mobilizzazioni dolci e massaggio.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Gabbia toracica:</w:t>
      </w:r>
      <w:r>
        <w:t xml:space="preserve"> </w:t>
      </w:r>
      <w:r>
        <w:t xml:space="preserve">seconda zona con eventi avversi documentati — frattura costale, pneumotorace.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Finestra di 48 ore.</w:t>
      </w:r>
      <w:r>
        <w:t xml:space="preserve"> </w:t>
      </w:r>
      <w:r>
        <w:t xml:space="preserve">Se dopo un trattamento cervicale compaiono cefalea o cervicalgia mai provate, vertigini, disturbi della vista, difficoltà a parlare, formicolii o perdita di forza da un lato,</w:t>
      </w:r>
      <w:r>
        <w:t xml:space="preserve"> </w:t>
      </w:r>
      <w:r>
        <w:rPr>
          <w:b/>
          <w:bCs/>
        </w:rPr>
        <w:t xml:space="preserve">si va in pronto soccorso</w:t>
      </w:r>
      <w:r>
        <w:t xml:space="preserve"> </w:t>
      </w:r>
      <w:r>
        <w:t xml:space="preserve">e si dichiara il trattamento ricevuto. Il paziente deve saperlo prima di uscire.</w:t>
      </w:r>
    </w:p>
    <w:p>
      <w:pPr>
        <w:pStyle w:val="FirstParagraph"/>
      </w:pPr>
      <w:r>
        <w:t xml:space="preserve">I due modi non manuali di fare danno restano:</w:t>
      </w:r>
      <w:r>
        <w:t xml:space="preserve"> </w:t>
      </w:r>
      <w:r>
        <w:rPr>
          <w:b/>
          <w:bCs/>
        </w:rPr>
        <w:t xml:space="preserve">non riconoscere un’apnea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dire una parola sulla terapia in corso</w:t>
      </w:r>
      <w:r>
        <w:t xml:space="preserve">. Il lavoro intra-orale è fuori dal nostro perimetro. La terapia cognitivo-comportamentale per l’insonnia si nomina e si indirizza — anche nella sua forma digitale, che porta lo stesso grado A — e non si eroga.</w:t>
      </w:r>
    </w:p>
    <w:p>
      <w:r>
        <w:pict>
          <v:rect style="width:0;height:1.5pt" o:hralign="center" o:hrstd="t" o:hr="t"/>
        </w:pict>
      </w:r>
    </w:p>
    <w:bookmarkEnd w:id="15"/>
    <w:bookmarkStart w:id="16" w:name="la-frase-per-il-paziente"/>
    <w:p>
      <w:pPr>
        <w:pStyle w:val="Heading2"/>
      </w:pPr>
      <w:r>
        <w:t xml:space="preserve">8 — La frase per il paziente</w:t>
      </w:r>
    </w:p>
    <w:p>
      <w:pPr>
        <w:pStyle w:val="FirstParagraph"/>
      </w:pPr>
      <w:r>
        <w:rPr>
          <w:i/>
          <w:iCs/>
        </w:rPr>
        <w:t xml:space="preserve">«Il sonno non è una cosa che decidi: è un interruttore che scatta quando il corpo dà il segnale. Nel tuo caso non scatta, e non è pigrizia. È come un portatile che hai chiuso: lo schermo è nero, e la ventola continua a girare.»</w:t>
      </w:r>
    </w:p>
    <w:p>
      <w:r>
        <w:pict>
          <v:rect style="width:0;height:1.5pt" o:hralign="center" o:hrstd="t" o:hr="t"/>
        </w:pict>
      </w:r>
    </w:p>
    <w:bookmarkEnd w:id="16"/>
    <w:bookmarkStart w:id="17" w:name="perché-ci-sei-tu"/>
    <w:p>
      <w:pPr>
        <w:pStyle w:val="Heading2"/>
      </w:pPr>
      <w:r>
        <w:t xml:space="preserve">Perché ci sei tu</w:t>
      </w:r>
    </w:p>
    <w:p>
      <w:pPr>
        <w:pStyle w:val="FirstParagraph"/>
      </w:pPr>
      <w:r>
        <w:t xml:space="preserve">Prendi 262 pazienti con dolore spinale cronico disabilitante, entrati in un programma riabilitativo interdisciplinare completo. La gravità dell’insonnia è scesa in media da 17,2 a 10,6 — su una scala da 0 a 28, dove 10 è la soglia dei casi. Alla dimissione</w:t>
      </w:r>
      <w:r>
        <w:t xml:space="preserve"> </w:t>
      </w:r>
      <w:r>
        <w:rPr>
          <w:b/>
          <w:bCs/>
        </w:rPr>
        <w:t xml:space="preserve">il 36,6% aveva ancora un’insonnia da moderata a grave</w:t>
      </w:r>
      <w:r>
        <w:t xml:space="preserve"> </w:t>
      </w:r>
      <w:r>
        <w:t xml:space="preserve">(Asih,</w:t>
      </w:r>
      <w:r>
        <w:t xml:space="preserve"> </w:t>
      </w:r>
      <w:r>
        <w:rPr>
          <w:i/>
          <w:iCs/>
        </w:rPr>
        <w:t xml:space="preserve">Spine</w:t>
      </w:r>
      <w:r>
        <w:t xml:space="preserve"> </w:t>
      </w:r>
      <w:r>
        <w:t xml:space="preserve">2014, PMID 24859588). Il calo medio viene da una coorte senza gruppo di controllo, quindi non è attribuibile al programma; la quota residua sì. Questo ti autorizza a trattare il sonno come un bersaglio suo, da nominare e misurare a parte, dentro il lavoro muscolo-scheletrico che stai già facendo. Non ti autorizza a presentarti come un trattamento per l’insonnia: quel programma era interdisciplinare e completo, e a più di un paziente su tre non è bastato.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2026-08-31T18:11:30Z</dcterms:created>
  <dcterms:modified xsi:type="dcterms:W3CDTF">2026-08-31T18:11:30Z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