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Bibbia Teorica — Gonalgia</w:t>
      </w:r>
    </w:p>
    <w:p>
      <w:pPr>
        <w:pStyle w:val="Author"/>
      </w:pPr>
      <w:r>
        <w:t xml:space="preserve">Mobilitas — Direzione Osteopatica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39" w:name="la-bibbia-della-gonalgia"/>
    <w:p>
      <w:pPr>
        <w:pStyle w:val="Heading1"/>
      </w:pPr>
      <w:r>
        <w:t xml:space="preserve">La Bibbia della Gonalgia</w:t>
      </w:r>
    </w:p>
    <w:p>
      <w:pPr>
        <w:pStyle w:val="FirstParagraph"/>
      </w:pPr>
      <w:r>
        <w:rPr>
          <w:b/>
          <w:bCs/>
        </w:rPr>
        <w:t xml:space="preserve">Condizione:</w:t>
      </w:r>
      <w:r>
        <w:t xml:space="preserve"> </w:t>
      </w:r>
      <w:r>
        <w:t xml:space="preserve">gonalgia — il ginocchio che fa male, prima che qualcuno sappia perché</w:t>
      </w:r>
      <w:r>
        <w:t xml:space="preserve"> </w:t>
      </w:r>
      <w:r>
        <w:rPr>
          <w:b/>
          <w:bCs/>
        </w:rPr>
        <w:t xml:space="preserve">Ancora clinica:</w:t>
      </w:r>
      <w:r>
        <w:t xml:space="preserve"> </w:t>
      </w:r>
      <w:r>
        <w:t xml:space="preserve">Ewa M. Roos, University of Southern Denmark — ha costruito il metro con cui si misura un ginocchio dolente, e ha misurato che l’esercizio regge il confronto con la chirurgia</w:t>
      </w:r>
      <w:r>
        <w:t xml:space="preserve"> </w:t>
      </w:r>
      <w:r>
        <w:rPr>
          <w:b/>
          <w:bCs/>
        </w:rPr>
        <w:t xml:space="preserve">Ancora fisiologica:</w:t>
      </w:r>
      <w:r>
        <w:t xml:space="preserve"> </w:t>
      </w:r>
      <w:r>
        <w:t xml:space="preserve">Hans-Georg Schaible, Universität Jena — ha stabilito che il nocicettore articolare si sensibilizza, prima sul modello animale e poi con la sintesi sull’uomo; il segnale che esce da un ginocchio non è proporzionale al danno che contiene</w:t>
      </w:r>
      <w:r>
        <w:t xml:space="preserve"> </w:t>
      </w:r>
      <w:r>
        <w:rPr>
          <w:b/>
          <w:bCs/>
        </w:rPr>
        <w:t xml:space="preserve">Versione:</w:t>
      </w:r>
      <w:r>
        <w:t xml:space="preserve"> </w:t>
      </w:r>
      <w:r>
        <w:t xml:space="preserve">v7 finale ·</w:t>
      </w:r>
      <w:r>
        <w:t xml:space="preserve"> </w:t>
      </w:r>
      <w:r>
        <w:rPr>
          <w:b/>
          <w:bCs/>
        </w:rPr>
        <w:t xml:space="preserve">Data:</w:t>
      </w:r>
      <w:r>
        <w:t xml:space="preserve"> </w:t>
      </w:r>
      <w:r>
        <w:t xml:space="preserve">31 agosto 2026</w:t>
      </w:r>
    </w:p>
    <w:p>
      <w:r>
        <w:pict>
          <v:rect style="width:0;height:1.5pt" o:hralign="center" o:hrstd="t" o:hr="t"/>
        </w:pict>
      </w:r>
    </w:p>
    <w:bookmarkStart w:id="11" w:name="capitolo-0-come-si-usa-questa-bibbia"/>
    <w:p>
      <w:pPr>
        <w:pStyle w:val="Heading2"/>
      </w:pPr>
      <w:r>
        <w:t xml:space="preserve">Capitolo 0 — Come si usa questa Bibbia</w:t>
      </w:r>
    </w:p>
    <w:p>
      <w:pPr>
        <w:pStyle w:val="BlockText"/>
      </w:pPr>
      <w:r>
        <w:rPr>
          <w:b/>
          <w:bCs/>
        </w:rPr>
        <w:t xml:space="preserve">In una riga:</w:t>
      </w:r>
      <w:r>
        <w:t xml:space="preserve"> </w:t>
      </w:r>
      <w:r>
        <w:t xml:space="preserve">qui trovi tutto quello che devi sapere sul ginocchio che fa male per decidere cosa fare in stanza; il come si fa sta nella Procedura.</w:t>
      </w:r>
    </w:p>
    <w:p>
      <w:pPr>
        <w:pStyle w:val="FirstParagraph"/>
      </w:pPr>
      <w:r>
        <w:rPr>
          <w:b/>
          <w:bCs/>
        </w:rPr>
        <w:t xml:space="preserve">A chi parla.</w:t>
      </w:r>
      <w:r>
        <w:t xml:space="preserve"> </w:t>
      </w:r>
      <w:r>
        <w:t xml:space="preserve">All’osteopata del team. Do per scontata l’anatomia dell’arto inferiore. Qui trovi cosa fa ciascuna struttura</w:t>
      </w:r>
      <w:r>
        <w:t xml:space="preserve"> </w:t>
      </w:r>
      <w:r>
        <w:rPr>
          <w:i/>
          <w:iCs/>
        </w:rPr>
        <w:t xml:space="preserve">in questa condizione</w:t>
      </w:r>
      <w:r>
        <w:t xml:space="preserve">.</w:t>
      </w:r>
    </w:p>
    <w:p>
      <w:pPr>
        <w:pStyle w:val="BodyText"/>
      </w:pPr>
      <w:r>
        <w:rPr>
          <w:b/>
          <w:bCs/>
        </w:rPr>
        <w:t xml:space="preserve">Che documento è.</w:t>
      </w:r>
      <w:r>
        <w:t xml:space="preserve"> </w:t>
      </w:r>
      <w:r>
        <w:t xml:space="preserve">«Gonalgia» non è una diagnosi: è il posto dove fa male. Questa Bibbia sta</w:t>
      </w:r>
      <w:r>
        <w:t xml:space="preserve"> </w:t>
      </w:r>
      <w:r>
        <w:rPr>
          <w:b/>
          <w:bCs/>
        </w:rPr>
        <w:t xml:space="preserve">sopra</w:t>
      </w:r>
      <w:r>
        <w:t xml:space="preserve"> </w:t>
      </w:r>
      <w:r>
        <w:t xml:space="preserve">la Bibbia dell’Artrosi e la Bibbia del Valgismo, e non le ripete. Quelle spiegano una malattia e una forma. Questa spiega come decidi</w:t>
      </w:r>
      <w:r>
        <w:t xml:space="preserve"> </w:t>
      </w:r>
      <w:r>
        <w:rPr>
          <w:b/>
          <w:bCs/>
        </w:rPr>
        <w:t xml:space="preserve">che cosa hai davanti</w:t>
      </w:r>
      <w:r>
        <w:t xml:space="preserve">, quando l’unica informazione certa è che il ginocchio duole.</w:t>
      </w:r>
    </w:p>
    <w:p>
      <w:pPr>
        <w:pStyle w:val="BodyText"/>
      </w:pPr>
      <w:r>
        <w:rPr>
          <w:b/>
          <w:bCs/>
        </w:rPr>
        <w:t xml:space="preserve">Cosa c’è qui e cosa no.</w:t>
      </w:r>
      <w:r>
        <w:t xml:space="preserve"> </w:t>
      </w:r>
      <w:r>
        <w:t xml:space="preserve">Qui: che cos’è, perché succede, quali meccanismi lo tengono in piedi, come si riconoscono i pattern, dove finisce il nostro campo, quanto sono solide le leve.</w:t>
      </w:r>
    </w:p>
    <w:bookmarkStart w:id="9" w:name="come-si-leggono-le-etichette"/>
    <w:p>
      <w:pPr>
        <w:pStyle w:val="Heading3"/>
      </w:pPr>
      <w:r>
        <w:t xml:space="preserve">Come si leggono le etichette</w:t>
      </w:r>
    </w:p>
    <w:p>
      <w:pPr>
        <w:pStyle w:val="FirstParagraph"/>
      </w:pPr>
      <w:r>
        <w:t xml:space="preserve">Ogni affermazione importante porta un’etichetta di solidità. La prosa afferma; l’etichetta dice quanto puoi appoggiarti a quell’affermazione. Sono quattro, mai una quinta.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Etichetta</w:t>
            </w:r>
          </w:p>
        </w:tc>
        <w:tc>
          <w:tcPr/>
          <w:p>
            <w:pPr>
              <w:pStyle w:val="Compact"/>
            </w:pPr>
            <w:r>
              <w:t xml:space="preserve">Cosa vuol dire</w:t>
            </w:r>
          </w:p>
        </w:tc>
      </w:tr>
      <w:tr>
        <w:tc>
          <w:tcPr/>
          <w:p>
            <w:pPr>
              <w:pStyle w:val="Compact"/>
            </w:pPr>
            <w:r>
              <w:rPr>
                <w:b/>
                <w:bCs/>
              </w:rPr>
              <w:t xml:space="preserve">DIMOSTRATO</w:t>
            </w:r>
          </w:p>
        </w:tc>
        <w:tc>
          <w:tcPr/>
          <w:p>
            <w:pPr>
              <w:pStyle w:val="Compact"/>
            </w:pPr>
            <w:r>
              <w:t xml:space="preserve">studi sull’uomo, solidi</w:t>
            </w:r>
          </w:p>
        </w:tc>
      </w:tr>
      <w:tr>
        <w:tc>
          <w:tcPr/>
          <w:p>
            <w:pPr>
              <w:pStyle w:val="Compact"/>
            </w:pPr>
            <w:r>
              <w:rPr>
                <w:b/>
                <w:bCs/>
              </w:rPr>
              <w:t xml:space="preserve">PROBABILE</w:t>
            </w:r>
          </w:p>
        </w:tc>
        <w:tc>
          <w:tcPr/>
          <w:p>
            <w:pPr>
              <w:pStyle w:val="Compact"/>
            </w:pPr>
            <w:r>
              <w:t xml:space="preserve">razionale forte, prove parziali</w:t>
            </w:r>
          </w:p>
        </w:tc>
      </w:tr>
      <w:tr>
        <w:tc>
          <w:tcPr/>
          <w:p>
            <w:pPr>
              <w:pStyle w:val="Compact"/>
            </w:pPr>
            <w:r>
              <w:rPr>
                <w:b/>
                <w:bCs/>
              </w:rPr>
              <w:t xml:space="preserve">IPOTESI</w:t>
            </w:r>
          </w:p>
        </w:tc>
        <w:tc>
          <w:tcPr/>
          <w:p>
            <w:pPr>
              <w:pStyle w:val="Compact"/>
            </w:pPr>
            <w:r>
              <w:t xml:space="preserve">meccanismo coerente, nessuno studio</w:t>
            </w:r>
          </w:p>
        </w:tc>
      </w:tr>
      <w:tr>
        <w:tc>
          <w:tcPr/>
          <w:p>
            <w:pPr>
              <w:pStyle w:val="Compact"/>
            </w:pPr>
            <w:r>
              <w:rPr>
                <w:b/>
                <w:bCs/>
              </w:rPr>
              <w:t xml:space="preserve">RAGIONAMENTO</w:t>
            </w:r>
          </w:p>
        </w:tc>
        <w:tc>
          <w:tcPr/>
          <w:p>
            <w:pPr>
              <w:pStyle w:val="Compact"/>
            </w:pPr>
            <w:r>
              <w:t xml:space="preserve">cornice clinica, non una prova</w:t>
            </w:r>
          </w:p>
        </w:tc>
      </w:tr>
    </w:tbl>
    <w:p>
      <w:pPr>
        <w:pStyle w:val="BodyText"/>
      </w:pPr>
      <w:r>
        <w:t xml:space="preserve">Cinque regole d’uso, dichiarate qui perché le incontrerai una trentina di volte.</w:t>
      </w:r>
    </w:p>
    <w:p>
      <w:pPr>
        <w:pStyle w:val="Compact"/>
        <w:numPr>
          <w:ilvl w:val="0"/>
          <w:numId w:val="1001"/>
        </w:numPr>
      </w:pPr>
      <w:r>
        <w:rPr>
          <w:b/>
          <w:bCs/>
        </w:rPr>
        <w:t xml:space="preserve">L’etichetta non si declina.</w:t>
      </w:r>
      <w:r>
        <w:t xml:space="preserve"> </w:t>
      </w:r>
      <w:r>
        <w:t xml:space="preserve">Se qualcuno ha misurato una cosa e non l’ha trovata, l’etichetta resta IPOTESI. La prova contraria si scrive</w:t>
      </w:r>
      <w:r>
        <w:t xml:space="preserve"> </w:t>
      </w:r>
      <w:r>
        <w:rPr>
          <w:b/>
          <w:bCs/>
        </w:rPr>
        <w:t xml:space="preserve">nella stessa riga</w:t>
      </w:r>
      <w:r>
        <w:t xml:space="preserve">, nominata e citata. La glossa</w:t>
      </w:r>
      <w:r>
        <w:t xml:space="preserve"> </w:t>
      </w:r>
      <w:r>
        <w:rPr>
          <w:i/>
          <w:iCs/>
        </w:rPr>
        <w:t xml:space="preserve">(meccanismo coerente, nessuno studio)</w:t>
      </w:r>
      <w:r>
        <w:t xml:space="preserve"> </w:t>
      </w:r>
      <w:r>
        <w:t xml:space="preserve">descrive lo stato del</w:t>
      </w:r>
      <w:r>
        <w:t xml:space="preserve"> </w:t>
      </w:r>
      <w:r>
        <w:rPr>
          <w:b/>
          <w:bCs/>
        </w:rPr>
        <w:t xml:space="preserve">razionale</w:t>
      </w:r>
      <w:r>
        <w:t xml:space="preserve">: non è un censimento della letteratura.</w:t>
      </w:r>
    </w:p>
    <w:p>
      <w:pPr>
        <w:pStyle w:val="Compact"/>
        <w:numPr>
          <w:ilvl w:val="0"/>
          <w:numId w:val="1001"/>
        </w:numPr>
      </w:pPr>
      <w:r>
        <w:rPr>
          <w:b/>
          <w:bCs/>
        </w:rPr>
        <w:t xml:space="preserve">L’etichetta si spezza</w:t>
      </w:r>
      <w:r>
        <w:t xml:space="preserve"> </w:t>
      </w:r>
      <w:r>
        <w:t xml:space="preserve">quando un meccanismo è fatto di pezzi con forza diversa. In quel caso metto un’etichetta per pezzo, dentro lo stesso box.</w:t>
      </w:r>
    </w:p>
    <w:p>
      <w:pPr>
        <w:pStyle w:val="Compact"/>
        <w:numPr>
          <w:ilvl w:val="0"/>
          <w:numId w:val="1001"/>
        </w:numPr>
      </w:pPr>
      <w:r>
        <w:rPr>
          <w:b/>
          <w:bCs/>
        </w:rPr>
        <w:t xml:space="preserve">Ogni fonte dichiara il suo salto.</w:t>
      </w:r>
      <w:r>
        <w:t xml:space="preserve"> </w:t>
      </w:r>
      <w:r>
        <w:t xml:space="preserve">Il</w:t>
      </w:r>
      <w:r>
        <w:t xml:space="preserve"> </w:t>
      </w:r>
      <w:r>
        <w:rPr>
          <w:b/>
          <w:bCs/>
        </w:rPr>
        <w:t xml:space="preserve">salto</w:t>
      </w:r>
      <w:r>
        <w:t xml:space="preserve"> </w:t>
      </w:r>
      <w:r>
        <w:t xml:space="preserve">è la distanza fra lo studio e il tuo paziente, e i tipi sono tre soltanto. Di</w:t>
      </w:r>
      <w:r>
        <w:t xml:space="preserve"> </w:t>
      </w:r>
      <w:r>
        <w:rPr>
          <w:b/>
          <w:bCs/>
        </w:rPr>
        <w:t xml:space="preserve">popolazione</w:t>
      </w:r>
      <w:r>
        <w:t xml:space="preserve">: misurato in altri malati. Di</w:t>
      </w:r>
      <w:r>
        <w:t xml:space="preserve"> </w:t>
      </w:r>
      <w:r>
        <w:rPr>
          <w:b/>
          <w:bCs/>
        </w:rPr>
        <w:t xml:space="preserve">intervento</w:t>
      </w:r>
      <w:r>
        <w:t xml:space="preserve">: misurato con un’altra cosa, per esempio rinforzo attivo invece di terapia manuale. Di</w:t>
      </w:r>
      <w:r>
        <w:t xml:space="preserve"> </w:t>
      </w:r>
      <w:r>
        <w:rPr>
          <w:b/>
          <w:bCs/>
        </w:rPr>
        <w:t xml:space="preserve">erogatore</w:t>
      </w:r>
      <w:r>
        <w:t xml:space="preserve">: erogato da un’altra figura professionale.</w:t>
      </w:r>
    </w:p>
    <w:p>
      <w:pPr>
        <w:pStyle w:val="Compact"/>
        <w:numPr>
          <w:ilvl w:val="0"/>
          <w:numId w:val="1001"/>
        </w:numPr>
      </w:pPr>
      <w:r>
        <w:rPr>
          <w:b/>
          <w:bCs/>
        </w:rPr>
        <w:t xml:space="preserve">I termini del metodo</w:t>
      </w:r>
      <w:r>
        <w:t xml:space="preserve"> </w:t>
      </w:r>
      <w:r>
        <w:t xml:space="preserve">che questa condizione usa davvero sono marker, reperto disfunzionale, compenso, catena, sistema dominante e livello di attivazione. Ciascuno compare con il box</w:t>
      </w:r>
      <w:r>
        <w:t xml:space="preserve"> </w:t>
      </w:r>
      <w:r>
        <w:rPr>
          <w:rStyle w:val="VerbatimChar"/>
        </w:rPr>
        <w:t xml:space="preserve">Definizione</w:t>
      </w:r>
      <w:r>
        <w:t xml:space="preserve"> </w:t>
      </w:r>
      <w:r>
        <w:t xml:space="preserve">alla sua prima comparsa</w:t>
      </w:r>
      <w:r>
        <w:t xml:space="preserve"> </w:t>
      </w:r>
      <w:r>
        <w:rPr>
          <w:b/>
          <w:bCs/>
        </w:rPr>
        <w:t xml:space="preserve">operativa</w:t>
      </w:r>
      <w:r>
        <w:t xml:space="preserve">, cioè dove regge una regola di condotta. Il testo integrale sta in Appendice A.</w:t>
      </w:r>
    </w:p>
    <w:p>
      <w:pPr>
        <w:pStyle w:val="Compact"/>
        <w:numPr>
          <w:ilvl w:val="0"/>
          <w:numId w:val="1001"/>
        </w:numPr>
      </w:pPr>
      <w:r>
        <w:rPr>
          <w:b/>
          <w:bCs/>
        </w:rPr>
        <w:t xml:space="preserve">Una parola, un significato.</w:t>
      </w:r>
      <w:r>
        <w:t xml:space="preserve"> </w:t>
      </w:r>
      <w:r>
        <w:rPr>
          <w:b/>
          <w:bCs/>
        </w:rPr>
        <w:t xml:space="preserve">Guadagno</w:t>
      </w:r>
      <w:r>
        <w:t xml:space="preserve"> </w:t>
      </w:r>
      <w:r>
        <w:t xml:space="preserve">qui vuol dire solo l’amplificazione con cui il sistema nervoso lascia passare un segnale. Per il beneficio del paziente scrivo</w:t>
      </w:r>
      <w:r>
        <w:t xml:space="preserve"> </w:t>
      </w:r>
      <w:r>
        <w:rPr>
          <w:i/>
          <w:iCs/>
        </w:rPr>
        <w:t xml:space="preserve">beneficio</w:t>
      </w:r>
      <w:r>
        <w:t xml:space="preserve">,</w:t>
      </w:r>
      <w:r>
        <w:t xml:space="preserve"> </w:t>
      </w:r>
      <w:r>
        <w:rPr>
          <w:i/>
          <w:iCs/>
        </w:rPr>
        <w:t xml:space="preserve">risultato</w:t>
      </w:r>
      <w:r>
        <w:t xml:space="preserve"> </w:t>
      </w:r>
      <w:r>
        <w:t xml:space="preserve">o</w:t>
      </w:r>
      <w:r>
        <w:t xml:space="preserve"> </w:t>
      </w:r>
      <w:r>
        <w:rPr>
          <w:i/>
          <w:iCs/>
        </w:rPr>
        <w:t xml:space="preserve">miglioramento</w:t>
      </w:r>
      <w:r>
        <w:t xml:space="preserve">.</w:t>
      </w:r>
    </w:p>
    <w:bookmarkEnd w:id="9"/>
    <w:bookmarkStart w:id="10" w:name="come-si-studia-questa-bibbia"/>
    <w:p>
      <w:pPr>
        <w:pStyle w:val="Heading3"/>
      </w:pPr>
      <w:r>
        <w:t xml:space="preserve">Come si studia questa Bibbia</w:t>
      </w:r>
    </w:p>
    <w:p>
      <w:pPr>
        <w:pStyle w:val="FirstParagraph"/>
      </w:pPr>
      <w:r>
        <w:t xml:space="preserve">Questa Bibbia si studia contro i pazienti, non contro l’orologio. Sei passi, in quest’ordine.</w:t>
      </w:r>
    </w:p>
    <w:p>
      <w:pPr>
        <w:pStyle w:val="Compact"/>
        <w:numPr>
          <w:ilvl w:val="0"/>
          <w:numId w:val="1002"/>
        </w:numPr>
      </w:pPr>
      <w:r>
        <w:rPr>
          <w:b/>
          <w:bCs/>
        </w:rPr>
        <w:t xml:space="preserve">Prima lettura, tutta di fila, senza appunti.</w:t>
      </w:r>
      <w:r>
        <w:t xml:space="preserve"> </w:t>
      </w:r>
      <w:r>
        <w:t xml:space="preserve">Serve la mappa d’insieme. Quello che non torna lo segni e lo lasci lì.</w:t>
      </w:r>
    </w:p>
    <w:p>
      <w:pPr>
        <w:pStyle w:val="Compact"/>
        <w:numPr>
          <w:ilvl w:val="0"/>
          <w:numId w:val="1002"/>
        </w:numPr>
      </w:pPr>
      <w:r>
        <w:rPr>
          <w:b/>
          <w:bCs/>
        </w:rPr>
        <w:t xml:space="preserve">Seconda passata con un paziente in testa</w:t>
      </w:r>
      <w:r>
        <w:t xml:space="preserve"> </w:t>
      </w:r>
      <w:r>
        <w:t xml:space="preserve">— uno vero, che hai già visto. Rileggi solo «Cosa si rompe» e «Come ragiono davanti a questo paziente». Su ogni meccanismo chiediti:</w:t>
      </w:r>
      <w:r>
        <w:t xml:space="preserve"> </w:t>
      </w:r>
      <w:r>
        <w:rPr>
          <w:i/>
          <w:iCs/>
        </w:rPr>
        <w:t xml:space="preserve">era lui?</w:t>
      </w:r>
    </w:p>
    <w:p>
      <w:pPr>
        <w:pStyle w:val="Compact"/>
        <w:numPr>
          <w:ilvl w:val="0"/>
          <w:numId w:val="1002"/>
        </w:numPr>
      </w:pPr>
      <w:r>
        <w:rPr>
          <w:b/>
          <w:bCs/>
        </w:rPr>
        <w:t xml:space="preserve">La prova che conta: chiudi il documento e parla.</w:t>
      </w:r>
      <w:r>
        <w:t xml:space="preserve"> </w:t>
      </w:r>
      <w:r>
        <w:t xml:space="preserve">Di’ ad alta voce quali sono i cinque meccanismi e da cosa si riconosce ciascuno. Quello che non sai dire non l’hai imparato, e torni solo lì. Poi vengono tre prove più dure, e sono quelle che ti dicono se sei pronto.</w:t>
      </w:r>
    </w:p>
    <w:p>
      <w:pPr>
        <w:pStyle w:val="Compact"/>
        <w:numPr>
          <w:ilvl w:val="1"/>
          <w:numId w:val="1003"/>
        </w:numPr>
      </w:pPr>
      <w:r>
        <w:t xml:space="preserve">Sai dire cosa separa il paziente A dal paziente B, e un dolore mediale da zampa d’oca da uno artrosico, senza esitare?</w:t>
      </w:r>
    </w:p>
    <w:p>
      <w:pPr>
        <w:pStyle w:val="Compact"/>
        <w:numPr>
          <w:ilvl w:val="1"/>
          <w:numId w:val="1003"/>
        </w:numPr>
      </w:pPr>
      <w:r>
        <w:t xml:space="preserve">Sai riconoscere il paziente su cui puoi poco — il ginocchio irritabile, il protesizzato, l’adolescente — prima di aprire un ciclo?</w:t>
      </w:r>
    </w:p>
    <w:p>
      <w:pPr>
        <w:pStyle w:val="Compact"/>
        <w:numPr>
          <w:ilvl w:val="1"/>
          <w:numId w:val="1003"/>
        </w:numPr>
      </w:pPr>
      <w:r>
        <w:t xml:space="preserve">Sai dire a un medico, in due frasi, cosa possiamo affermare e cosa no su questa condizione?</w:t>
      </w:r>
    </w:p>
    <w:p>
      <w:pPr>
        <w:pStyle w:val="Compact"/>
        <w:numPr>
          <w:ilvl w:val="0"/>
          <w:numId w:val="1000"/>
        </w:numPr>
      </w:pPr>
      <w:r>
        <w:t xml:space="preserve">Finché una delle tre ti fa esitare, non hai finito.</w:t>
      </w:r>
    </w:p>
    <w:p>
      <w:pPr>
        <w:pStyle w:val="Compact"/>
        <w:numPr>
          <w:ilvl w:val="0"/>
          <w:numId w:val="1002"/>
        </w:numPr>
      </w:pPr>
      <w:r>
        <w:rPr>
          <w:b/>
          <w:bCs/>
        </w:rPr>
        <w:t xml:space="preserve">Prima del primo paziente: la Mappa concettuale, due minuti.</w:t>
      </w:r>
      <w:r>
        <w:t xml:space="preserve"> </w:t>
      </w:r>
      <w:r>
        <w:t xml:space="preserve">Non la Bibbia.</w:t>
      </w:r>
    </w:p>
    <w:p>
      <w:pPr>
        <w:pStyle w:val="Compact"/>
        <w:numPr>
          <w:ilvl w:val="0"/>
          <w:numId w:val="1002"/>
        </w:numPr>
      </w:pPr>
      <w:r>
        <w:rPr>
          <w:b/>
          <w:bCs/>
        </w:rPr>
        <w:t xml:space="preserve">Dopo i primi tre pazienti: rileggi «Dove finisce il nostro campo» e «Cosa dice la scienza».</w:t>
      </w:r>
      <w:r>
        <w:t xml:space="preserve"> </w:t>
      </w:r>
      <w:r>
        <w:t xml:space="preserve">Dicono una cosa diversa quando hai avuto qualcuno davanti.</w:t>
      </w:r>
    </w:p>
    <w:p>
      <w:pPr>
        <w:pStyle w:val="Compact"/>
        <w:numPr>
          <w:ilvl w:val="0"/>
          <w:numId w:val="1002"/>
        </w:numPr>
      </w:pPr>
      <w:r>
        <w:rPr>
          <w:b/>
          <w:bCs/>
        </w:rPr>
        <w:t xml:space="preserve">A sei mesi: solo la Mappa.</w:t>
      </w:r>
      <w:r>
        <w:t xml:space="preserve"> </w:t>
      </w:r>
      <w:r>
        <w:t xml:space="preserve">Se un blocco non ti riaccende il capitolo, quello è il capitolo da rileggere.</w:t>
      </w:r>
    </w:p>
    <w:p>
      <w:pPr>
        <w:pStyle w:val="FirstParagraph"/>
      </w:pPr>
      <w:r>
        <w:rPr>
          <w:b/>
          <w:bCs/>
        </w:rPr>
        <w:t xml:space="preserve">Le tre cose da ricordare, più una</w:t>
      </w:r>
    </w:p>
    <w:p>
      <w:pPr>
        <w:pStyle w:val="Compact"/>
        <w:numPr>
          <w:ilvl w:val="0"/>
          <w:numId w:val="1004"/>
        </w:numPr>
      </w:pPr>
      <w:r>
        <w:t xml:space="preserve">«Gonalgia» è il posto del dolore, non la sua causa. Metà del lavoro di questo documento è insegnarti a non confondere le due cose.</w:t>
      </w:r>
    </w:p>
    <w:p>
      <w:pPr>
        <w:pStyle w:val="Compact"/>
        <w:numPr>
          <w:ilvl w:val="0"/>
          <w:numId w:val="1004"/>
        </w:numPr>
      </w:pPr>
      <w:r>
        <w:t xml:space="preserve">Su questa condizione la letteratura esiste ed è abbondante, e una parte dice di no. Il documento te la mostra tutta.</w:t>
      </w:r>
    </w:p>
    <w:p>
      <w:pPr>
        <w:pStyle w:val="Compact"/>
        <w:numPr>
          <w:ilvl w:val="0"/>
          <w:numId w:val="1004"/>
        </w:numPr>
      </w:pPr>
      <w:r>
        <w:t xml:space="preserve">Il documento che ti dice cosa fare con le mani è un altro. Questo ti dice perché.</w:t>
      </w:r>
    </w:p>
    <w:p>
      <w:pPr>
        <w:pStyle w:val="Compact"/>
        <w:numPr>
          <w:ilvl w:val="0"/>
          <w:numId w:val="1004"/>
        </w:numPr>
      </w:pPr>
      <w:r>
        <w:rPr>
          <w:b/>
          <w:bCs/>
        </w:rPr>
        <w:t xml:space="preserve">Perché ci sei tu.</w:t>
      </w:r>
      <w:r>
        <w:t xml:space="preserve"> </w:t>
      </w:r>
      <w:r>
        <w:t xml:space="preserve">Su 156 adulti con artrosi di ginocchio seguiti un anno, chi ha fatto fisioterapia stava meglio di chi ha ricevuto un’infiltrazione di cortisone. Il</w:t>
      </w:r>
      <w:r>
        <w:t xml:space="preserve"> </w:t>
      </w:r>
      <w:r>
        <w:rPr>
          <w:b/>
          <w:bCs/>
        </w:rPr>
        <w:t xml:space="preserve">WOMAC</w:t>
      </w:r>
      <w:r>
        <w:t xml:space="preserve">, il questionario che misura dolore, rigidità e funzione del ginocchio, era 37,0 contro 55,8</w:t>
      </w:r>
      <w:r>
        <w:t xml:space="preserve"> </w:t>
      </w:r>
      <w:r>
        <w:rPr>
          <w:b/>
          <w:bCs/>
        </w:rPr>
        <w:t xml:space="preserve">su una scala 0-240</w:t>
      </w:r>
      <w:r>
        <w:t xml:space="preserve">: 18,8 punti di differenza, con intervallo di confidenza da 5,0 a 32,6 (Deyle, 2020, PMID 32268027; fisioterapia erogata da fisioterapisti — il salto è di</w:t>
      </w:r>
      <w:r>
        <w:t xml:space="preserve"> </w:t>
      </w:r>
      <w:r>
        <w:rPr>
          <w:b/>
          <w:bCs/>
        </w:rPr>
        <w:t xml:space="preserve">erogatore</w:t>
      </w:r>
      <w:r>
        <w:t xml:space="preserve">).</w:t>
      </w:r>
      <w:r>
        <w:t xml:space="preserve"> </w:t>
      </w:r>
      <w:r>
        <w:rPr>
          <w:b/>
          <w:bCs/>
        </w:rPr>
        <w:t xml:space="preserve">Per te:</w:t>
      </w:r>
      <w:r>
        <w:t xml:space="preserve"> </w:t>
      </w:r>
      <w:r>
        <w:t xml:space="preserve">ti autorizza a prendere in carico chi ha già fatto l’infiltrazione e sta ancora male, che è la norma. Non ti autorizza a commentare quell’infiltrazione: la decisione è del prescrittore. E l’intervallo va letto, perché il limite basso è vicino a una differenza clinicamente piccola.</w:t>
      </w:r>
    </w:p>
    <w:p>
      <w:pPr>
        <w:pStyle w:val="FirstParagraph"/>
      </w:pPr>
      <w:r>
        <w:t xml:space="preserve">Buon nutrimento!</w:t>
      </w:r>
    </w:p>
    <w:p>
      <w:r>
        <w:pict>
          <v:rect style="width:0;height:1.5pt" o:hralign="center" o:hrstd="t" o:hr="t"/>
        </w:pict>
      </w:r>
    </w:p>
    <w:bookmarkEnd w:id="10"/>
    <w:bookmarkEnd w:id="11"/>
    <w:bookmarkStart w:id="16" w:name="capitolo-1-chi-ti-trova-davanti"/>
    <w:p>
      <w:pPr>
        <w:pStyle w:val="Heading2"/>
      </w:pPr>
      <w:r>
        <w:t xml:space="preserve">Capitolo 1 — Chi ti trova davanti</w:t>
      </w:r>
    </w:p>
    <w:p>
      <w:pPr>
        <w:pStyle w:val="BlockText"/>
      </w:pPr>
      <w:r>
        <w:rPr>
          <w:b/>
          <w:bCs/>
        </w:rPr>
        <w:t xml:space="preserve">In una riga:</w:t>
      </w:r>
      <w:r>
        <w:t xml:space="preserve"> </w:t>
      </w:r>
      <w:r>
        <w:t xml:space="preserve">ti arriva qualcuno a cui hanno mostrato un’immagine e detto che con l’età peggiora, e che ha smesso di cercare.</w:t>
      </w:r>
    </w:p>
    <w:bookmarkStart w:id="12" w:name="come-lo-racconta-lui"/>
    <w:p>
      <w:pPr>
        <w:pStyle w:val="Heading3"/>
      </w:pPr>
      <w:r>
        <w:t xml:space="preserve">Come lo racconta lui</w:t>
      </w:r>
    </w:p>
    <w:p>
      <w:pPr>
        <w:pStyle w:val="FirstParagraph"/>
      </w:pPr>
      <w:r>
        <w:t xml:space="preserve">Non dice «ho una gonalgia». Dice:</w:t>
      </w:r>
    </w:p>
    <w:p>
      <w:pPr>
        <w:pStyle w:val="Compact"/>
        <w:numPr>
          <w:ilvl w:val="0"/>
          <w:numId w:val="1005"/>
        </w:numPr>
      </w:pPr>
      <w:r>
        <w:rPr>
          <w:i/>
          <w:iCs/>
        </w:rPr>
        <w:t xml:space="preserve">«Le scale in discesa sono peggio della salita.»</w:t>
      </w:r>
      <w:r>
        <w:t xml:space="preserve"> </w:t>
      </w:r>
      <w:r>
        <w:t xml:space="preserve">Si tiene al corrimano e decide quale gamba mettere per prima. Un gesto che faceva senza pensarci è diventato una strategia.</w:t>
      </w:r>
    </w:p>
    <w:p>
      <w:pPr>
        <w:pStyle w:val="Compact"/>
        <w:numPr>
          <w:ilvl w:val="0"/>
          <w:numId w:val="1005"/>
        </w:numPr>
      </w:pPr>
      <w:r>
        <w:rPr>
          <w:i/>
          <w:iCs/>
        </w:rPr>
        <w:t xml:space="preserve">«Mi alzo dalla sedia e devo aspettare.»</w:t>
      </w:r>
      <w:r>
        <w:t xml:space="preserve"> </w:t>
      </w:r>
      <w:r>
        <w:t xml:space="preserve">I primi passi sono i peggiori. Resta fermo un attimo, lascia che si sblocchi, e poi cammina normale.</w:t>
      </w:r>
    </w:p>
    <w:p>
      <w:pPr>
        <w:pStyle w:val="Compact"/>
        <w:numPr>
          <w:ilvl w:val="0"/>
          <w:numId w:val="1005"/>
        </w:numPr>
      </w:pPr>
      <w:r>
        <w:rPr>
          <w:i/>
          <w:iCs/>
        </w:rPr>
        <w:t xml:space="preserve">«Si gonfia la sera.»</w:t>
      </w:r>
      <w:r>
        <w:t xml:space="preserve"> </w:t>
      </w:r>
      <w:r>
        <w:t xml:space="preserve">Cammina un po’ di più, fa una gita, e il conto arriva a fine giornata.</w:t>
      </w:r>
    </w:p>
    <w:p>
      <w:pPr>
        <w:pStyle w:val="Compact"/>
        <w:numPr>
          <w:ilvl w:val="0"/>
          <w:numId w:val="1005"/>
        </w:numPr>
      </w:pPr>
      <w:r>
        <w:rPr>
          <w:i/>
          <w:iCs/>
        </w:rPr>
        <w:t xml:space="preserve">«Ogni tanto molla.»</w:t>
      </w:r>
      <w:r>
        <w:t xml:space="preserve"> </w:t>
      </w:r>
      <w:r>
        <w:t xml:space="preserve">Non è solo dolore: è la paura di cosa succede se cede davvero mentre scende. E</w:t>
      </w:r>
      <w:r>
        <w:t xml:space="preserve"> </w:t>
      </w:r>
      <w:r>
        <w:rPr>
          <w:i/>
          <w:iCs/>
        </w:rPr>
        <w:t xml:space="preserve">«scrocchia»</w:t>
      </w:r>
      <w:r>
        <w:t xml:space="preserve">, che a volte sentono anche gli altri, e lo spaventa più del rumore.</w:t>
      </w:r>
    </w:p>
    <w:p>
      <w:pPr>
        <w:pStyle w:val="Compact"/>
        <w:numPr>
          <w:ilvl w:val="0"/>
          <w:numId w:val="1005"/>
        </w:numPr>
      </w:pPr>
      <w:r>
        <w:rPr>
          <w:i/>
          <w:iCs/>
        </w:rPr>
        <w:t xml:space="preserve">«Certi giorni cammino benissimo.»</w:t>
      </w:r>
      <w:r>
        <w:t xml:space="preserve"> </w:t>
      </w:r>
      <w:r>
        <w:t xml:space="preserve">Lo dice quasi scusandosi. È l’informazione più importante che ti porta.</w:t>
      </w:r>
    </w:p>
    <w:p>
      <w:pPr>
        <w:pStyle w:val="FirstParagraph"/>
      </w:pPr>
      <w:r>
        <w:t xml:space="preserve">E, quasi sempre, la frase detta guardando una lastra:</w:t>
      </w:r>
      <w:r>
        <w:t xml:space="preserve"> </w:t>
      </w:r>
      <w:r>
        <w:rPr>
          <w:i/>
          <w:iCs/>
        </w:rPr>
        <w:t xml:space="preserve">«è l’artrosi, con l’età peggiora e basta.»</w:t>
      </w:r>
      <w:r>
        <w:t xml:space="preserve"> </w:t>
      </w:r>
      <w:r>
        <w:t xml:space="preserve">Gli hanno lasciato una frase che chiude il discorso, e niente da fare.</w:t>
      </w:r>
    </w:p>
    <w:p>
      <w:pPr>
        <w:pStyle w:val="BodyText"/>
      </w:pPr>
      <w:r>
        <w:t xml:space="preserve">C’è una parte che non ti dirà se non gliela chiedi. Ha messo via lo sport «finché non passa», e ogni settimana sente di perdere qualcosa che non recupera. Qualcuno ha già nominato la</w:t>
      </w:r>
      <w:r>
        <w:t xml:space="preserve"> </w:t>
      </w:r>
      <w:r>
        <w:rPr>
          <w:b/>
          <w:bCs/>
        </w:rPr>
        <w:t xml:space="preserve">protesi</w:t>
      </w:r>
      <w:r>
        <w:t xml:space="preserve">, e da allora ogni mese senza miglioramenti gli sembra un passo su quella strada. E non riesce a sedersi per terra con i nipoti.</w:t>
      </w:r>
    </w:p>
    <w:bookmarkEnd w:id="12"/>
    <w:bookmarkStart w:id="13" w:name="cosa-ha-già-fatto"/>
    <w:p>
      <w:pPr>
        <w:pStyle w:val="Heading3"/>
      </w:pPr>
      <w:r>
        <w:t xml:space="preserve">Cosa ha già fatto</w:t>
      </w:r>
    </w:p>
    <w:p>
      <w:pPr>
        <w:pStyle w:val="FirstParagraph"/>
      </w:pPr>
      <w:r>
        <w:rPr>
          <w:b/>
          <w:bCs/>
        </w:rPr>
        <w:t xml:space="preserve">Antinfiammatori orali</w:t>
      </w:r>
      <w:r>
        <w:t xml:space="preserve">, spesso per anni e in autogestione. Ghiaccio e riposo dopo ogni sforzo. Radiografia sotto carico e, quasi sempre, una risonanza.</w:t>
      </w:r>
      <w:r>
        <w:t xml:space="preserve"> </w:t>
      </w:r>
      <w:r>
        <w:rPr>
          <w:b/>
          <w:bCs/>
        </w:rPr>
        <w:t xml:space="preserve">Fisioterapia con rinforzo del quadricipite</w:t>
      </w:r>
      <w:r>
        <w:t xml:space="preserve">, tra le cose più utili che gli siano state date. Condroprotettori, ginocchiera, plantari.</w:t>
      </w:r>
      <w:r>
        <w:t xml:space="preserve"> </w:t>
      </w:r>
      <w:r>
        <w:rPr>
          <w:b/>
          <w:bCs/>
        </w:rPr>
        <w:t xml:space="preserve">Infiltrazioni</w:t>
      </w:r>
      <w:r>
        <w:t xml:space="preserve"> </w:t>
      </w:r>
      <w:r>
        <w:t xml:space="preserve">di acido ialuronico o cortisone, con sollievo temporaneo. E spesso una valutazione per la protesi.</w:t>
      </w:r>
    </w:p>
    <w:bookmarkEnd w:id="13"/>
    <w:bookmarkStart w:id="14" w:name="chi-arriva-con-altro-addosso"/>
    <w:p>
      <w:pPr>
        <w:pStyle w:val="Heading3"/>
      </w:pPr>
      <w:r>
        <w:t xml:space="preserve">Chi arriva con altro addosso</w:t>
      </w:r>
    </w:p>
    <w:p>
      <w:pPr>
        <w:pStyle w:val="FirstParagraph"/>
      </w:pPr>
      <w:r>
        <w:t xml:space="preserve">Il paziente qui sopra ha una cosa sola. Una parte consistente della tua agenda ne ha di più, e questo cambia quello che devi guardare.</w:t>
      </w:r>
    </w:p>
    <w:p>
      <w:pPr>
        <w:pStyle w:val="Compact"/>
        <w:numPr>
          <w:ilvl w:val="0"/>
          <w:numId w:val="1006"/>
        </w:numPr>
      </w:pPr>
      <w:r>
        <w:rPr>
          <w:b/>
          <w:bCs/>
        </w:rPr>
        <w:t xml:space="preserve">Il portatore di protesi.</w:t>
      </w:r>
      <w:r>
        <w:t xml:space="preserve"> </w:t>
      </w:r>
      <w:r>
        <w:t xml:space="preserve">Non è guarito: circa il 22% ha ancora dolore a tre mesi dalla protesi e il 12-15% a due anni (Cheng, 2025, PMID 40398950). Per lui «gonalgia» ha cause che questo documento non tratta.</w:t>
      </w:r>
    </w:p>
    <w:p>
      <w:pPr>
        <w:pStyle w:val="Compact"/>
        <w:numPr>
          <w:ilvl w:val="0"/>
          <w:numId w:val="1006"/>
        </w:numPr>
      </w:pPr>
      <w:r>
        <w:rPr>
          <w:b/>
          <w:bCs/>
        </w:rPr>
        <w:t xml:space="preserve">L’anziano fragile, il diabetico, l’immunodepresso, chi è in cortisone.</w:t>
      </w:r>
      <w:r>
        <w:t xml:space="preserve"> </w:t>
      </w:r>
      <w:r>
        <w:t xml:space="preserve">Sono quelli che fanno l’artrite settica</w:t>
      </w:r>
      <w:r>
        <w:t xml:space="preserve"> </w:t>
      </w:r>
      <w:r>
        <w:rPr>
          <w:b/>
          <w:bCs/>
        </w:rPr>
        <w:t xml:space="preserve">senza febbre</w:t>
      </w:r>
      <w:r>
        <w:t xml:space="preserve">.</w:t>
      </w:r>
    </w:p>
    <w:p>
      <w:pPr>
        <w:pStyle w:val="Compact"/>
        <w:numPr>
          <w:ilvl w:val="0"/>
          <w:numId w:val="1006"/>
        </w:numPr>
      </w:pPr>
      <w:r>
        <w:rPr>
          <w:b/>
          <w:bCs/>
        </w:rPr>
        <w:t xml:space="preserve">Il paziente in politerapia</w:t>
      </w:r>
      <w:r>
        <w:t xml:space="preserve"> </w:t>
      </w:r>
      <w:r>
        <w:t xml:space="preserve">che si tira avanti con antinfiammatori comprati al banco. Quel consumo lo dice a te, perché tu glielo chiedi.</w:t>
      </w:r>
    </w:p>
    <w:p>
      <w:pPr>
        <w:pStyle w:val="Compact"/>
        <w:numPr>
          <w:ilvl w:val="0"/>
          <w:numId w:val="1006"/>
        </w:numPr>
      </w:pPr>
      <w:r>
        <w:rPr>
          <w:b/>
          <w:bCs/>
        </w:rPr>
        <w:t xml:space="preserve">L’osteoporotica.</w:t>
      </w:r>
      <w:r>
        <w:t xml:space="preserve"> </w:t>
      </w:r>
      <w:r>
        <w:t xml:space="preserve">Un dolore mediale comparso in una notte non è un’artrosi che è peggiorata.</w:t>
      </w:r>
    </w:p>
    <w:bookmarkEnd w:id="14"/>
    <w:bookmarkStart w:id="15" w:name="cosa-nessuno-ha-guardato"/>
    <w:p>
      <w:pPr>
        <w:pStyle w:val="Heading3"/>
      </w:pPr>
      <w:r>
        <w:t xml:space="preserve">Cosa nessuno ha guardato</w:t>
      </w:r>
    </w:p>
    <w:p>
      <w:pPr>
        <w:pStyle w:val="FirstParagraph"/>
      </w:pPr>
      <w:r>
        <w:t xml:space="preserve">Tre cose, e stanno tutte a portata di mano nei primi dieci minuti.</w:t>
      </w:r>
    </w:p>
    <w:p>
      <w:pPr>
        <w:pStyle w:val="Compact"/>
        <w:numPr>
          <w:ilvl w:val="0"/>
          <w:numId w:val="1007"/>
        </w:numPr>
      </w:pPr>
      <w:r>
        <w:rPr>
          <w:b/>
          <w:bCs/>
        </w:rPr>
        <w:t xml:space="preserve">L’anca.</w:t>
      </w:r>
      <w:r>
        <w:t xml:space="preserve"> </w:t>
      </w:r>
      <w:r>
        <w:t xml:space="preserve">Non come articolazione vicina, ma come possibile sorgente. Nessuno gli ha fatto ruotare il femore, né gli ha caricato l’anca in flessione e rotazione interna.</w:t>
      </w:r>
    </w:p>
    <w:p>
      <w:pPr>
        <w:pStyle w:val="Compact"/>
        <w:numPr>
          <w:ilvl w:val="0"/>
          <w:numId w:val="1007"/>
        </w:numPr>
      </w:pPr>
      <w:r>
        <w:rPr>
          <w:b/>
          <w:bCs/>
        </w:rPr>
        <w:t xml:space="preserve">La caviglia.</w:t>
      </w:r>
      <w:r>
        <w:t xml:space="preserve"> </w:t>
      </w:r>
      <w:r>
        <w:t xml:space="preserve">Nessuno ha misurato i gradi di dorsiflessione in carico, con il tallone a terra. È il vincolo che decide come il ginocchio arriva a terra in discesa.</w:t>
      </w:r>
    </w:p>
    <w:p>
      <w:pPr>
        <w:pStyle w:val="Compact"/>
        <w:numPr>
          <w:ilvl w:val="0"/>
          <w:numId w:val="1007"/>
        </w:numPr>
      </w:pPr>
      <w:r>
        <w:rPr>
          <w:b/>
          <w:bCs/>
        </w:rPr>
        <w:t xml:space="preserve">Il ginocchio mentre lavora.</w:t>
      </w:r>
      <w:r>
        <w:t xml:space="preserve"> </w:t>
      </w:r>
      <w:r>
        <w:t xml:space="preserve">La lastra è stata fatta in piedi e immobile. Il dolore invece compare scendendo un gradino, alzandosi da una sedia bassa, restando seduto un’ora. Nessuno gli ha chiesto di farlo davanti.</w:t>
      </w:r>
    </w:p>
    <w:p>
      <w:pPr>
        <w:pStyle w:val="FirstParagraph"/>
      </w:pPr>
      <w:r>
        <w:rPr>
          <w:b/>
          <w:bCs/>
        </w:rPr>
        <w:t xml:space="preserve">Le tre domande che ti farà</w:t>
      </w:r>
      <w:r>
        <w:t xml:space="preserve">, e dove sono le risposte:</w:t>
      </w:r>
    </w:p>
    <w:p>
      <w:pPr>
        <w:pStyle w:val="Compact"/>
        <w:numPr>
          <w:ilvl w:val="0"/>
          <w:numId w:val="1008"/>
        </w:numPr>
      </w:pPr>
      <w:r>
        <w:rPr>
          <w:i/>
          <w:iCs/>
        </w:rPr>
        <w:t xml:space="preserve">«Se la cartilagine è consumata, cosa cambia il vostro lavoro?»</w:t>
      </w:r>
      <w:r>
        <w:t xml:space="preserve"> </w:t>
      </w:r>
      <w:r>
        <w:t xml:space="preserve">La risposta sta in «Cosa si rompe».</w:t>
      </w:r>
    </w:p>
    <w:p>
      <w:pPr>
        <w:pStyle w:val="Compact"/>
        <w:numPr>
          <w:ilvl w:val="0"/>
          <w:numId w:val="1008"/>
        </w:numPr>
      </w:pPr>
      <w:r>
        <w:rPr>
          <w:i/>
          <w:iCs/>
        </w:rPr>
        <w:t xml:space="preserve">«Perché certi giorni cammino benissimo?»</w:t>
      </w:r>
      <w:r>
        <w:t xml:space="preserve"> </w:t>
      </w:r>
      <w:r>
        <w:t xml:space="preserve">La risposta sta in «Che cos’è davvero», ed è la chiave di tutto il documento.</w:t>
      </w:r>
    </w:p>
    <w:p>
      <w:pPr>
        <w:pStyle w:val="Compact"/>
        <w:numPr>
          <w:ilvl w:val="0"/>
          <w:numId w:val="1008"/>
        </w:numPr>
      </w:pPr>
      <w:r>
        <w:rPr>
          <w:i/>
          <w:iCs/>
        </w:rPr>
        <w:t xml:space="preserve">«Mi state rimandando la protesi?»</w:t>
      </w:r>
      <w:r>
        <w:t xml:space="preserve"> </w:t>
      </w:r>
      <w:r>
        <w:t xml:space="preserve">La risposta sta in «Cosa dire al paziente», e non è quella che spera.</w:t>
      </w:r>
    </w:p>
    <w:p>
      <w:pPr>
        <w:pStyle w:val="FirstParagraph"/>
      </w:pPr>
      <w:r>
        <w:rPr>
          <w:b/>
          <w:bCs/>
        </w:rPr>
        <w:t xml:space="preserve">Le tre cose da ricordare, più una</w:t>
      </w:r>
    </w:p>
    <w:p>
      <w:pPr>
        <w:pStyle w:val="Compact"/>
        <w:numPr>
          <w:ilvl w:val="0"/>
          <w:numId w:val="1009"/>
        </w:numPr>
      </w:pPr>
      <w:r>
        <w:t xml:space="preserve">Arriva con una spiegazione che chiude il discorso. La prima cosa che gli cambia la giornata è vedere che qualcosa si misura e si muove in dieci minuti.</w:t>
      </w:r>
    </w:p>
    <w:p>
      <w:pPr>
        <w:pStyle w:val="Compact"/>
        <w:numPr>
          <w:ilvl w:val="0"/>
          <w:numId w:val="1009"/>
        </w:numPr>
      </w:pPr>
      <w:r>
        <w:t xml:space="preserve">La frase</w:t>
      </w:r>
      <w:r>
        <w:t xml:space="preserve"> </w:t>
      </w:r>
      <w:r>
        <w:rPr>
          <w:i/>
          <w:iCs/>
        </w:rPr>
        <w:t xml:space="preserve">«certi giorni cammino benissimo»</w:t>
      </w:r>
      <w:r>
        <w:t xml:space="preserve"> </w:t>
      </w:r>
      <w:r>
        <w:t xml:space="preserve">non è una contraddizione da correggere: è il dato clinico più utile che ti porta, e va raccolto per iscritto.</w:t>
      </w:r>
    </w:p>
    <w:p>
      <w:pPr>
        <w:pStyle w:val="Compact"/>
        <w:numPr>
          <w:ilvl w:val="0"/>
          <w:numId w:val="1009"/>
        </w:numPr>
      </w:pPr>
      <w:r>
        <w:t xml:space="preserve">Tre reperti che nessuno ha preso — anca, caviglia, il ginocchio sotto carico — stanno nei primi dieci minuti.</w:t>
      </w:r>
    </w:p>
    <w:p>
      <w:pPr>
        <w:pStyle w:val="Compact"/>
        <w:numPr>
          <w:ilvl w:val="0"/>
          <w:numId w:val="1009"/>
        </w:numPr>
      </w:pPr>
      <w:r>
        <w:rPr>
          <w:b/>
          <w:bCs/>
        </w:rPr>
        <w:t xml:space="preserve">Perché ci sei tu.</w:t>
      </w:r>
      <w:r>
        <w:t xml:space="preserve"> </w:t>
      </w:r>
      <w:r>
        <w:t xml:space="preserve">Su 1.000 primi accessi in un ambulatorio ortopedico per dolore al ginocchio, in 137 la sorgente era l’</w:t>
      </w:r>
      <w:r>
        <w:rPr>
          <w:b/>
          <w:bCs/>
        </w:rPr>
        <w:t xml:space="preserve">anca o il rachide</w:t>
      </w:r>
      <w:r>
        <w:t xml:space="preserve">. Gli autori concludono che l’esame dell’anca è obbligatorio in ogni esame del ginocchio (Cornelis, 2025, PMID 41245703).</w:t>
      </w:r>
      <w:r>
        <w:t xml:space="preserve"> </w:t>
      </w:r>
      <w:r>
        <w:rPr>
          <w:b/>
          <w:bCs/>
        </w:rPr>
        <w:t xml:space="preserve">Per te:</w:t>
      </w:r>
      <w:r>
        <w:t xml:space="preserve"> </w:t>
      </w:r>
      <w:r>
        <w:t xml:space="preserve">una quota rilevante dei ginocchi che si siedono davanti a te non è un problema di ginocchio. E sei tu ad accorgertene, perché l’anca e la lombare le muovi comunque. Non ti autorizza a dire a</w:t>
      </w:r>
      <w:r>
        <w:t xml:space="preserve"> </w:t>
      </w:r>
      <w:r>
        <w:rPr>
          <w:i/>
          <w:iCs/>
        </w:rPr>
        <w:t xml:space="preserve">questo</w:t>
      </w:r>
      <w:r>
        <w:t xml:space="preserve"> </w:t>
      </w:r>
      <w:r>
        <w:t xml:space="preserve">paziente che il dolore viene dall’anca: è una frequenza misurata in chirurgia del ginocchio, non una diagnosi sulla sua gamba.</w:t>
      </w:r>
    </w:p>
    <w:p>
      <w:r>
        <w:pict>
          <v:rect style="width:0;height:1.5pt" o:hralign="center" o:hrstd="t" o:hr="t"/>
        </w:pict>
      </w:r>
    </w:p>
    <w:bookmarkEnd w:id="15"/>
    <w:bookmarkEnd w:id="16"/>
    <w:bookmarkStart w:id="22" w:name="capitolo-2-che-cosè-davvero"/>
    <w:p>
      <w:pPr>
        <w:pStyle w:val="Heading2"/>
      </w:pPr>
      <w:r>
        <w:t xml:space="preserve">Capitolo 2 — Che cos’è davvero</w:t>
      </w:r>
    </w:p>
    <w:p>
      <w:pPr>
        <w:pStyle w:val="BlockText"/>
      </w:pPr>
      <w:r>
        <w:rPr>
          <w:b/>
          <w:bCs/>
        </w:rPr>
        <w:t xml:space="preserve">In una riga:</w:t>
      </w:r>
      <w:r>
        <w:t xml:space="preserve"> </w:t>
      </w:r>
      <w:r>
        <w:t xml:space="preserve">la gonalgia è un sintomo con almeno sei cause frequenti, e l’immagine che il paziente ti porta non ti dice quale delle sei sia la sua.</w:t>
      </w:r>
    </w:p>
    <w:bookmarkStart w:id="17" w:name="la-definizione-e-cosa-nasconde"/>
    <w:p>
      <w:pPr>
        <w:pStyle w:val="Heading3"/>
      </w:pPr>
      <w:r>
        <w:t xml:space="preserve">La definizione, e cosa nasconde</w:t>
      </w:r>
    </w:p>
    <w:p>
      <w:pPr>
        <w:pStyle w:val="FirstParagraph"/>
      </w:pPr>
      <w:r>
        <w:rPr>
          <w:b/>
          <w:bCs/>
        </w:rPr>
        <w:t xml:space="preserve">Gonalgia</w:t>
      </w:r>
      <w:r>
        <w:t xml:space="preserve"> </w:t>
      </w:r>
      <w:r>
        <w:t xml:space="preserve">significa dolore al ginocchio. Non è una malattia e non è una diagnosi: è una sede. Sotto quella parola convivono almeno sei quadri, con storie naturali diverse: dolore femoro-rotuleo, artrosi tibio-femorale, lesione meniscale degenerativa, tendinopatia e sofferenza dei tessuti extra-articolari, artrite infiammatoria o infettiva, dolore riferito da un’altra sede.</w:t>
      </w:r>
    </w:p>
    <w:p>
      <w:pPr>
        <w:pStyle w:val="BodyText"/>
      </w:pPr>
      <w:r>
        <w:t xml:space="preserve">Il documento europeo sulla diagnosi di artrosi individua tre sintomi e tre segni che spostano la probabilità. I tre sintomi sono dolore persistente, rigidità mattutina breve, funzione ridotta. I tre segni sono crepitio, movimento limitato, ingrandimento osseo. Con tutti e sei presenti, sopra i 45 anni, la probabilità di artrosi radiografica sale al 99%. Quel numero vale solo se si suppone una prevalenza di fondo del 12,5%, e senza quella premessa non si interpreta (Zhang, 2010, PMID 19762361).</w:t>
      </w:r>
      <w:r>
        <w:t xml:space="preserve"> </w:t>
      </w:r>
      <w:r>
        <w:rPr>
          <w:b/>
          <w:bCs/>
        </w:rPr>
        <w:t xml:space="preserve">Per te:</w:t>
      </w:r>
      <w:r>
        <w:t xml:space="preserve"> </w:t>
      </w:r>
      <w:r>
        <w:t xml:space="preserve">l’inquadramento migliore si costruisce con l’anamnesi e l’esame, non con l’immagine.</w:t>
      </w:r>
    </w:p>
    <w:bookmarkEnd w:id="17"/>
    <w:bookmarkStart w:id="18" w:name="quanto-è-diffusa"/>
    <w:p>
      <w:pPr>
        <w:pStyle w:val="Heading3"/>
      </w:pPr>
      <w:r>
        <w:t xml:space="preserve">Quanto è diffusa</w:t>
      </w:r>
    </w:p>
    <w:p>
      <w:pPr>
        <w:pStyle w:val="FirstParagraph"/>
      </w:pPr>
      <w:r>
        <w:t xml:space="preserve">L’artrosi di ginocchio è la causa più frequente di gonalgia dopo i 40 anni. Riguarda circa</w:t>
      </w:r>
      <w:r>
        <w:t xml:space="preserve"> </w:t>
      </w:r>
      <w:r>
        <w:rPr>
          <w:b/>
          <w:bCs/>
        </w:rPr>
        <w:t xml:space="preserve">23 persone su cento sopra i quarant’anni</w:t>
      </w:r>
      <w:r>
        <w:t xml:space="preserve">, con una frequenza nelle donne 1,7 volte quella degli uomini (Cui, 2020, PMID 34505846).</w:t>
      </w:r>
      <w:r>
        <w:t xml:space="preserve"> </w:t>
      </w:r>
      <w:r>
        <w:rPr>
          <w:b/>
          <w:bCs/>
        </w:rPr>
        <w:t xml:space="preserve">Per te:</w:t>
      </w:r>
      <w:r>
        <w:t xml:space="preserve"> </w:t>
      </w:r>
      <w:r>
        <w:t xml:space="preserve">su dieci pazienti sopra i cinquanta, due o tre hanno un ginocchio che qualcuno ha già chiamato artrosico. E quasi nessuno è mai stato visto da qualcuno che gli guardasse l’anca.</w:t>
      </w:r>
    </w:p>
    <w:bookmarkEnd w:id="18"/>
    <w:bookmarkStart w:id="19" w:name="come-evolve-se-non-fai-nulla"/>
    <w:p>
      <w:pPr>
        <w:pStyle w:val="Heading3"/>
      </w:pPr>
      <w:r>
        <w:t xml:space="preserve">Come evolve se non fai nulla</w:t>
      </w:r>
    </w:p>
    <w:p>
      <w:pPr>
        <w:pStyle w:val="FirstParagraph"/>
      </w:pPr>
      <w:r>
        <w:rPr>
          <w:b/>
          <w:bCs/>
        </w:rPr>
        <w:t xml:space="preserve">Fluttua.</w:t>
      </w:r>
      <w:r>
        <w:t xml:space="preserve"> </w:t>
      </w:r>
      <w:r>
        <w:t xml:space="preserve">Il dolore di ginocchio oscilla nel tempo senza che corrisponda a un cambiamento strutturale. L’oscillazione spiega la frase</w:t>
      </w:r>
      <w:r>
        <w:t xml:space="preserve"> </w:t>
      </w:r>
      <w:r>
        <w:rPr>
          <w:i/>
          <w:iCs/>
        </w:rPr>
        <w:t xml:space="preserve">«certi giorni cammino benissimo»</w:t>
      </w:r>
      <w:r>
        <w:t xml:space="preserve">, e ti obbliga alla prudenza sui meriti.</w:t>
      </w:r>
    </w:p>
    <w:p>
      <w:pPr>
        <w:pStyle w:val="BlockText"/>
      </w:pPr>
      <w:r>
        <w:rPr>
          <w:b/>
          <w:bCs/>
        </w:rPr>
        <w:t xml:space="preserve">Quanto è solido:</w:t>
      </w:r>
      <w:r>
        <w:t xml:space="preserve"> </w:t>
      </w:r>
      <w:r>
        <w:rPr>
          <w:b/>
          <w:bCs/>
        </w:rPr>
        <w:t xml:space="preserve">RAGIONAMENTO</w:t>
      </w:r>
      <w:r>
        <w:t xml:space="preserve"> </w:t>
      </w:r>
      <w:r>
        <w:rPr>
          <w:i/>
          <w:iCs/>
        </w:rPr>
        <w:t xml:space="preserve">(cornice clinica, non una prova)</w:t>
      </w:r>
      <w:r>
        <w:t xml:space="preserve">. Non ho un numero pubblicato sull’ampiezza di quell’oscillazione in questa condizione, e lo dichiaro invece di stimarlo. Il tetto superiore di quanto la fluttuazione può valere lo dà indirettamente il braccio di controllo degli studi: nell’artrosi di anca e ginocchio, in media il 75% del miglioramento osservato compare anche nel braccio placebo, e dentro quel 75% ci sta anche il miglioramento spontaneo (Zou, 2016, PMID 26882927; su interventi di ogni tipo, non su terapia manuale osteopatica — il salto è di</w:t>
      </w:r>
      <w:r>
        <w:t xml:space="preserve"> </w:t>
      </w:r>
      <w:r>
        <w:rPr>
          <w:b/>
          <w:bCs/>
        </w:rPr>
        <w:t xml:space="preserve">intervento</w:t>
      </w:r>
      <w:r>
        <w:t xml:space="preserve">).</w:t>
      </w:r>
    </w:p>
    <w:p>
      <w:pPr>
        <w:pStyle w:val="FirstParagraph"/>
      </w:pPr>
      <w:r>
        <w:t xml:space="preserve">Il corollario è duro. Se prendi in carico un paziente nel suo peggior momento, una parte del miglioramento che vedrai sarebbe arrivata comunque. È come farsi pagare per un lavoro che era già mezzo fatto. È la ragione per cui questo documento insiste sul marker scelto</w:t>
      </w:r>
      <w:r>
        <w:t xml:space="preserve"> </w:t>
      </w:r>
      <w:r>
        <w:rPr>
          <w:b/>
          <w:bCs/>
        </w:rPr>
        <w:t xml:space="preserve">prima</w:t>
      </w:r>
      <w:r>
        <w:t xml:space="preserve">.</w:t>
      </w:r>
    </w:p>
    <w:p>
      <w:pPr>
        <w:pStyle w:val="BodyText"/>
      </w:pPr>
      <w:r>
        <w:t xml:space="preserve">Sul lungo periodo le storie divergono. Il dolore femoro-rotuleo è stato a lungo considerato autolimitante, e non lo è. A 5-8 anni dalla diagnosi,</w:t>
      </w:r>
      <w:r>
        <w:t xml:space="preserve"> </w:t>
      </w:r>
      <w:r>
        <w:rPr>
          <w:b/>
          <w:bCs/>
        </w:rPr>
        <w:t xml:space="preserve">34 pazienti su 60 che hanno risposto al questionario (57%)</w:t>
      </w:r>
      <w:r>
        <w:t xml:space="preserve"> </w:t>
      </w:r>
      <w:r>
        <w:t xml:space="preserve">riferivano un recupero insoddisfacente. E</w:t>
      </w:r>
      <w:r>
        <w:t xml:space="preserve"> </w:t>
      </w:r>
      <w:r>
        <w:rPr>
          <w:b/>
          <w:bCs/>
        </w:rPr>
        <w:t xml:space="preserve">48 su 50 di quelli radiografati (98%) non avevano segni di artrosi</w:t>
      </w:r>
      <w:r>
        <w:t xml:space="preserve"> </w:t>
      </w:r>
      <w:r>
        <w:t xml:space="preserve">(Lankhorst, 2016, PMID 26463119). Il dato va letto con il suo limite, che è grande. I partecipanti reclutati erano 310, e al controllo ha risposto il 19%. Gli autori non hanno trovato differenze fra rispondenti e non rispondenti alla partenza, ed è l’unica cosa che tiene in piedi il numero.</w:t>
      </w:r>
      <w:r>
        <w:t xml:space="preserve"> </w:t>
      </w:r>
      <w:r>
        <w:rPr>
          <w:b/>
          <w:bCs/>
        </w:rPr>
        <w:t xml:space="preserve">Per te:</w:t>
      </w:r>
      <w:r>
        <w:t xml:space="preserve"> </w:t>
      </w:r>
      <w:r>
        <w:t xml:space="preserve">non puoi dire a un ventenne con dolore anteriore che «passa da solo», e non puoi nemmeno spaventarlo con l’artrosi.</w:t>
      </w:r>
    </w:p>
    <w:bookmarkEnd w:id="19"/>
    <w:bookmarkStart w:id="20" w:name="X6820c7f04c7379b5930bec9ad9aa3ee0e127e21"/>
    <w:p>
      <w:pPr>
        <w:pStyle w:val="Heading3"/>
      </w:pPr>
      <w:r>
        <w:t xml:space="preserve">Cosa dicono le etichette che porta, e cosa non dicono</w:t>
      </w:r>
    </w:p>
    <w:p>
      <w:pPr>
        <w:pStyle w:val="Compact"/>
        <w:numPr>
          <w:ilvl w:val="0"/>
          <w:numId w:val="1010"/>
        </w:numPr>
      </w:pPr>
      <w:r>
        <w:rPr>
          <w:b/>
          <w:bCs/>
        </w:rPr>
        <w:t xml:space="preserve">«Artrosi di grado II-III»</w:t>
      </w:r>
      <w:r>
        <w:t xml:space="preserve"> </w:t>
      </w:r>
      <w:r>
        <w:t xml:space="preserve">descrive lo spazio articolare su una radiografia. Non descrive il dolore, e non dice quanto camminerà.</w:t>
      </w:r>
    </w:p>
    <w:p>
      <w:pPr>
        <w:pStyle w:val="Compact"/>
        <w:numPr>
          <w:ilvl w:val="0"/>
          <w:numId w:val="1010"/>
        </w:numPr>
      </w:pPr>
      <w:r>
        <w:rPr>
          <w:b/>
          <w:bCs/>
        </w:rPr>
        <w:t xml:space="preserve">«Lesione degenerativa del menisco»</w:t>
      </w:r>
      <w:r>
        <w:t xml:space="preserve"> </w:t>
      </w:r>
      <w:r>
        <w:t xml:space="preserve">descrive un tessuto, e quanto conta lo dice il capitolo sulla scienza.</w:t>
      </w:r>
    </w:p>
    <w:p>
      <w:pPr>
        <w:pStyle w:val="Compact"/>
        <w:numPr>
          <w:ilvl w:val="0"/>
          <w:numId w:val="1010"/>
        </w:numPr>
      </w:pPr>
      <w:r>
        <w:rPr>
          <w:b/>
          <w:bCs/>
        </w:rPr>
        <w:t xml:space="preserve">«Condropatia rotulea»</w:t>
      </w:r>
      <w:r>
        <w:t xml:space="preserve"> </w:t>
      </w:r>
      <w:r>
        <w:t xml:space="preserve">descrive una superficie priva di terminazioni nervose: quello che sente il paziente nasce altrove.</w:t>
      </w:r>
    </w:p>
    <w:p>
      <w:pPr>
        <w:pStyle w:val="Compact"/>
        <w:numPr>
          <w:ilvl w:val="0"/>
          <w:numId w:val="1010"/>
        </w:numPr>
      </w:pPr>
      <w:r>
        <w:rPr>
          <w:b/>
          <w:bCs/>
        </w:rPr>
        <w:t xml:space="preserve">«Non c’è più cartilagine».</w:t>
      </w:r>
      <w:r>
        <w:t xml:space="preserve"> </w:t>
      </w:r>
      <w:r>
        <w:t xml:space="preserve">È la frase che ha fatto più danno di qualunque diagnosi, perché il paziente la sente come una sentenza.</w:t>
      </w:r>
    </w:p>
    <w:p>
      <w:pPr>
        <w:pStyle w:val="FirstParagraph"/>
      </w:pPr>
      <w:r>
        <w:t xml:space="preserve">La diagnosi è atto medico. Qui impari a</w:t>
      </w:r>
      <w:r>
        <w:t xml:space="preserve"> </w:t>
      </w:r>
      <w:r>
        <w:rPr>
          <w:b/>
          <w:bCs/>
        </w:rPr>
        <w:t xml:space="preserve">leggere</w:t>
      </w:r>
      <w:r>
        <w:t xml:space="preserve"> </w:t>
      </w:r>
      <w:r>
        <w:t xml:space="preserve">un referto e a spiegare cosa non contiene, non a formularne uno.</w:t>
      </w:r>
    </w:p>
    <w:bookmarkEnd w:id="20"/>
    <w:bookmarkStart w:id="21" w:name="cosa-non-è"/>
    <w:p>
      <w:pPr>
        <w:pStyle w:val="Heading3"/>
      </w:pPr>
      <w:r>
        <w:t xml:space="preserve">Cosa non è</w:t>
      </w:r>
    </w:p>
    <w:p>
      <w:pPr>
        <w:pStyle w:val="Compact"/>
        <w:numPr>
          <w:ilvl w:val="0"/>
          <w:numId w:val="1011"/>
        </w:numPr>
      </w:pPr>
      <w:r>
        <w:rPr>
          <w:b/>
          <w:bCs/>
        </w:rPr>
        <w:t xml:space="preserve">Non è la sciatalgia</w:t>
      </w:r>
      <w:r>
        <w:t xml:space="preserve">, che segue un territorio e cambia con la posizione della schiena.</w:t>
      </w:r>
    </w:p>
    <w:p>
      <w:pPr>
        <w:pStyle w:val="Compact"/>
        <w:numPr>
          <w:ilvl w:val="0"/>
          <w:numId w:val="1011"/>
        </w:numPr>
      </w:pPr>
      <w:r>
        <w:rPr>
          <w:b/>
          <w:bCs/>
        </w:rPr>
        <w:t xml:space="preserve">Non è la claudicazione vascolare</w:t>
      </w:r>
      <w:r>
        <w:t xml:space="preserve">, che compare a una distanza costante e passa fermandosi in piedi.</w:t>
      </w:r>
    </w:p>
    <w:p>
      <w:pPr>
        <w:pStyle w:val="Compact"/>
        <w:numPr>
          <w:ilvl w:val="0"/>
          <w:numId w:val="1011"/>
        </w:numPr>
      </w:pPr>
      <w:r>
        <w:rPr>
          <w:b/>
          <w:bCs/>
        </w:rPr>
        <w:t xml:space="preserve">Non è la trombosi venosa profonda</w:t>
      </w:r>
      <w:r>
        <w:t xml:space="preserve">, che gonfia il polpaccio e non l’articolazione.</w:t>
      </w:r>
    </w:p>
    <w:p>
      <w:pPr>
        <w:pStyle w:val="Compact"/>
        <w:numPr>
          <w:ilvl w:val="0"/>
          <w:numId w:val="1011"/>
        </w:numPr>
      </w:pPr>
      <w:r>
        <w:rPr>
          <w:b/>
          <w:bCs/>
        </w:rPr>
        <w:t xml:space="preserve">Non è la frattura da insufficienza subcondrale.</w:t>
      </w:r>
      <w:r>
        <w:t xml:space="preserve"> </w:t>
      </w:r>
      <w:r>
        <w:t xml:space="preserve">Nell’over 60 — tipicamente una donna osteoporotica — esordisce in una notte, fa male di notte, non lascia caricare e ha la lastra</w:t>
      </w:r>
      <w:r>
        <w:t xml:space="preserve"> </w:t>
      </w:r>
      <w:r>
        <w:rPr>
          <w:b/>
          <w:bCs/>
        </w:rPr>
        <w:t xml:space="preserve">normale</w:t>
      </w:r>
      <w:r>
        <w:t xml:space="preserve">. Se non guarisce, l’osso collassa (Ochi, 2022, PMID 34843043). È l’unico quadro in cui il carico progressivo</w:t>
      </w:r>
      <w:r>
        <w:t xml:space="preserve"> </w:t>
      </w:r>
      <w:r>
        <w:rPr>
          <w:b/>
          <w:bCs/>
        </w:rPr>
        <w:t xml:space="preserve">non si comincia</w:t>
      </w:r>
      <w:r>
        <w:t xml:space="preserve">: si inquadra.</w:t>
      </w:r>
    </w:p>
    <w:p>
      <w:pPr>
        <w:pStyle w:val="Compact"/>
        <w:numPr>
          <w:ilvl w:val="0"/>
          <w:numId w:val="1011"/>
        </w:numPr>
      </w:pPr>
      <w:r>
        <w:rPr>
          <w:b/>
          <w:bCs/>
        </w:rPr>
        <w:t xml:space="preserve">Non è un attacco da cristalli.</w:t>
      </w:r>
      <w:r>
        <w:t xml:space="preserve"> </w:t>
      </w:r>
      <w:r>
        <w:t xml:space="preserve">Nell’over 60 è la causa più frequente di ginocchio acutamente caldo e gonfio, più della sepsi. Con le mani non si distingue da un’infezione: la distinzione si fa con un ago, ed è il motivo per cui quella riga rossa si esegue senza discuterla.</w:t>
      </w:r>
    </w:p>
    <w:p>
      <w:pPr>
        <w:pStyle w:val="Compact"/>
        <w:numPr>
          <w:ilvl w:val="0"/>
          <w:numId w:val="1011"/>
        </w:numPr>
      </w:pPr>
      <w:r>
        <w:rPr>
          <w:b/>
          <w:bCs/>
        </w:rPr>
        <w:t xml:space="preserve">E nell’adolescente non è un ginocchio</w:t>
      </w:r>
      <w:r>
        <w:t xml:space="preserve"> </w:t>
      </w:r>
      <w:r>
        <w:t xml:space="preserve">finché non hai escluso l’anca.</w:t>
      </w:r>
    </w:p>
    <w:p>
      <w:pPr>
        <w:pStyle w:val="FirstParagraph"/>
      </w:pPr>
      <w:r>
        <w:rPr>
          <w:b/>
          <w:bCs/>
        </w:rPr>
        <w:t xml:space="preserve">Le tre cose da ricordare, più una</w:t>
      </w:r>
    </w:p>
    <w:p>
      <w:pPr>
        <w:pStyle w:val="Compact"/>
        <w:numPr>
          <w:ilvl w:val="0"/>
          <w:numId w:val="1012"/>
        </w:numPr>
      </w:pPr>
      <w:r>
        <w:t xml:space="preserve">«Gonalgia» è una sede. Il primo atto clinico è trasformarla in un pattern, e il secondo è scrivere quale pattern hai presunto.</w:t>
      </w:r>
    </w:p>
    <w:p>
      <w:pPr>
        <w:pStyle w:val="Compact"/>
        <w:numPr>
          <w:ilvl w:val="0"/>
          <w:numId w:val="1012"/>
        </w:numPr>
      </w:pPr>
      <w:r>
        <w:t xml:space="preserve">La fluttuazione spontanea è grande: se non scegli un marker prima, ti prendi meriti che non sono tuoi.</w:t>
      </w:r>
    </w:p>
    <w:p>
      <w:pPr>
        <w:pStyle w:val="Compact"/>
        <w:numPr>
          <w:ilvl w:val="0"/>
          <w:numId w:val="1012"/>
        </w:numPr>
      </w:pPr>
      <w:r>
        <w:t xml:space="preserve">Il dolore anteriore del giovane non passa da solo in oltre metà dei casi, e non porta all’artrosi. Entrambe le cose vanno dette, con il limite del dato.</w:t>
      </w:r>
    </w:p>
    <w:p>
      <w:pPr>
        <w:pStyle w:val="Compact"/>
        <w:numPr>
          <w:ilvl w:val="0"/>
          <w:numId w:val="1012"/>
        </w:numPr>
      </w:pPr>
      <w:r>
        <w:rPr>
          <w:b/>
          <w:bCs/>
        </w:rPr>
        <w:t xml:space="preserve">Perché ci sei tu.</w:t>
      </w:r>
      <w:r>
        <w:t xml:space="preserve"> </w:t>
      </w:r>
      <w:r>
        <w:t xml:space="preserve">Fra chi ha dolore al ginocchio, la quota con artrosi visibile sulla radiografia va dal 15% al 76%. Fra chi ha artrosi visibile, la quota con dolore va dal 15% all’81%. L’intervallo è così ampio perché cambiano la proiezione radiografica e la definizione di dolore (Bedson e Croft, 2008, PMID 18764949).</w:t>
      </w:r>
      <w:r>
        <w:t xml:space="preserve"> </w:t>
      </w:r>
      <w:r>
        <w:rPr>
          <w:b/>
          <w:bCs/>
        </w:rPr>
        <w:t xml:space="preserve">Per te:</w:t>
      </w:r>
      <w:r>
        <w:t xml:space="preserve"> </w:t>
      </w:r>
      <w:r>
        <w:t xml:space="preserve">l’immagine non dice se il paziente ha male, e il male non dice cosa c’è nell’immagine. Costruisci il ragionamento su quello che misuri addosso alla persona. Non ti autorizza a dirgli che la sua lastra non conta: conta, per decisioni che non sono le tue.</w:t>
      </w:r>
    </w:p>
    <w:p>
      <w:r>
        <w:pict>
          <v:rect style="width:0;height:1.5pt" o:hralign="center" o:hrstd="t" o:hr="t"/>
        </w:pict>
      </w:r>
    </w:p>
    <w:bookmarkEnd w:id="21"/>
    <w:bookmarkEnd w:id="22"/>
    <w:bookmarkStart w:id="24" w:name="capitolo-3-le-strutture-in-gioco"/>
    <w:p>
      <w:pPr>
        <w:pStyle w:val="Heading2"/>
      </w:pPr>
      <w:r>
        <w:t xml:space="preserve">Capitolo 3 — Le strutture in gioco</w:t>
      </w:r>
    </w:p>
    <w:p>
      <w:pPr>
        <w:pStyle w:val="BlockText"/>
      </w:pPr>
      <w:r>
        <w:rPr>
          <w:b/>
          <w:bCs/>
        </w:rPr>
        <w:t xml:space="preserve">In una riga:</w:t>
      </w:r>
      <w:r>
        <w:t xml:space="preserve"> </w:t>
      </w:r>
      <w:r>
        <w:t xml:space="preserve">nel ginocchio la struttura che il paziente accusa non è quasi mai quella che manda il segnale.</w:t>
      </w:r>
    </w:p>
    <w:p>
      <w:pPr>
        <w:pStyle w:val="FirstParagraph"/>
      </w:pPr>
      <w:r>
        <w:rPr>
          <w:b/>
          <w:bCs/>
        </w:rPr>
        <w:t xml:space="preserve">L’osso subcondrale e la membrana sinoviale.</w:t>
      </w:r>
      <w:r>
        <w:t xml:space="preserve"> </w:t>
      </w:r>
      <w:r>
        <w:t xml:space="preserve">L’osso sotto la cartilagine è ricco di fibre dolorifiche. La sinovia, quando si irrita, libera mediatori che abbassano la soglia delle terminazioni capsulari.</w:t>
      </w:r>
      <w:r>
        <w:t xml:space="preserve"> </w:t>
      </w:r>
      <w:r>
        <w:rPr>
          <w:b/>
          <w:bCs/>
        </w:rPr>
        <w:t xml:space="preserve">Perché contano qui:</w:t>
      </w:r>
      <w:r>
        <w:t xml:space="preserve"> </w:t>
      </w:r>
      <w:r>
        <w:t xml:space="preserve">sono le sorgenti nocicettive principali del ginocchio artrosico, e cambiano stato nel giro di giorni. Nell’articolazione</w:t>
      </w:r>
      <w:r>
        <w:t xml:space="preserve"> </w:t>
      </w:r>
      <w:r>
        <w:rPr>
          <w:b/>
          <w:bCs/>
        </w:rPr>
        <w:t xml:space="preserve">tutte le strutture sono innervate tranne la cartilagine</w:t>
      </w:r>
      <w:r>
        <w:t xml:space="preserve"> </w:t>
      </w:r>
      <w:r>
        <w:t xml:space="preserve">(Eitner e Schaible, 2017, PMID 29163027): dal tessuto di cui parla il referto non parte niente.</w:t>
      </w:r>
    </w:p>
    <w:p>
      <w:pPr>
        <w:pStyle w:val="BodyText"/>
      </w:pPr>
      <w:r>
        <w:rPr>
          <w:b/>
          <w:bCs/>
        </w:rPr>
        <w:t xml:space="preserve">Il menisco.</w:t>
      </w:r>
      <w:r>
        <w:t xml:space="preserve"> </w:t>
      </w:r>
      <w:r>
        <w:t xml:space="preserve">Distribuisce il carico su una superficie più ampia. La porzione interna è priva di vasi e di nervi; la periferia e l’inserzione capsulare sono innervate.</w:t>
      </w:r>
      <w:r>
        <w:t xml:space="preserve"> </w:t>
      </w:r>
      <w:r>
        <w:rPr>
          <w:b/>
          <w:bCs/>
        </w:rPr>
        <w:t xml:space="preserve">Perché conta qui:</w:t>
      </w:r>
      <w:r>
        <w:t xml:space="preserve"> </w:t>
      </w:r>
      <w:r>
        <w:t xml:space="preserve">una lesione della parte interna può essere muta, e in genere lo è.</w:t>
      </w:r>
    </w:p>
    <w:p>
      <w:pPr>
        <w:pStyle w:val="BodyText"/>
      </w:pPr>
      <w:r>
        <w:rPr>
          <w:b/>
          <w:bCs/>
        </w:rPr>
        <w:t xml:space="preserve">Il quadricipite.</w:t>
      </w:r>
      <w:r>
        <w:t xml:space="preserve"> </w:t>
      </w:r>
      <w:r>
        <w:t xml:space="preserve">Non serve solo a estendere: frena. In discesa assorbe in allungamento l’energia che altrimenti arriva all’osso.</w:t>
      </w:r>
      <w:r>
        <w:t xml:space="preserve"> </w:t>
      </w:r>
      <w:r>
        <w:rPr>
          <w:b/>
          <w:bCs/>
        </w:rPr>
        <w:t xml:space="preserve">Perché conta qui:</w:t>
      </w:r>
      <w:r>
        <w:t xml:space="preserve"> </w:t>
      </w:r>
      <w:r>
        <w:t xml:space="preserve">è la struttura che si perde per prima, per due vie diverse.</w:t>
      </w:r>
    </w:p>
    <w:p>
      <w:pPr>
        <w:pStyle w:val="BodyText"/>
      </w:pPr>
      <w:r>
        <w:rPr>
          <w:b/>
          <w:bCs/>
        </w:rPr>
        <w:t xml:space="preserve">L’articolazione femoro-rotulea.</w:t>
      </w:r>
      <w:r>
        <w:t xml:space="preserve"> </w:t>
      </w:r>
      <w:r>
        <w:t xml:space="preserve">La rotula è una carrucola che aumenta il braccio di leva del quadricipite. Il prezzo è una forza fra rotula e femore che cresce con la flessione sotto carico.</w:t>
      </w:r>
      <w:r>
        <w:t xml:space="preserve"> </w:t>
      </w:r>
      <w:r>
        <w:rPr>
          <w:b/>
          <w:bCs/>
        </w:rPr>
        <w:t xml:space="preserve">Perché conta qui:</w:t>
      </w:r>
      <w:r>
        <w:t xml:space="preserve"> </w:t>
      </w:r>
      <w:r>
        <w:t xml:space="preserve">spiega il dolore anteriore su scale, accosciata e seduta lunga, e non in piano.</w:t>
      </w:r>
    </w:p>
    <w:p>
      <w:pPr>
        <w:pStyle w:val="BodyText"/>
      </w:pPr>
      <w:r>
        <w:rPr>
          <w:b/>
          <w:bCs/>
        </w:rPr>
        <w:t xml:space="preserve">I tessuti extra-articolari.</w:t>
      </w:r>
      <w:r>
        <w:t xml:space="preserve"> </w:t>
      </w:r>
      <w:r>
        <w:t xml:space="preserve">Tendine rotuleo e quadricipitale, zampa d’oca, bandelletta, borse.</w:t>
      </w:r>
      <w:r>
        <w:t xml:space="preserve"> </w:t>
      </w:r>
      <w:r>
        <w:rPr>
          <w:b/>
          <w:bCs/>
        </w:rPr>
        <w:t xml:space="preserve">Perché contano qui:</w:t>
      </w:r>
      <w:r>
        <w:t xml:space="preserve"> </w:t>
      </w:r>
      <w:r>
        <w:t xml:space="preserve">hanno una loro tolleranza al carico e rispondono meglio e più in fretta al lavoro manuale. Il capitolo dei pattern gli dà una riga apposta, perché finiscono quasi sempre in quella sbagliata.</w:t>
      </w:r>
    </w:p>
    <w:p>
      <w:pPr>
        <w:pStyle w:val="BodyText"/>
      </w:pPr>
      <w:r>
        <w:rPr>
          <w:b/>
          <w:bCs/>
        </w:rPr>
        <w:t xml:space="preserve">La caviglia.</w:t>
      </w:r>
      <w:r>
        <w:t xml:space="preserve"> </w:t>
      </w:r>
      <w:r>
        <w:t xml:space="preserve">La dorsiflessione in carico decide quanto la tibia avanza sul piede quando il ginocchio si flette.</w:t>
      </w:r>
      <w:r>
        <w:t xml:space="preserve"> </w:t>
      </w:r>
      <w:r>
        <w:rPr>
          <w:b/>
          <w:bCs/>
        </w:rPr>
        <w:t xml:space="preserve">Perché conta qui:</w:t>
      </w:r>
      <w:r>
        <w:t xml:space="preserve"> </w:t>
      </w:r>
      <w:r>
        <w:t xml:space="preserve">è un vincolo misurabile in trenta secondi, su un piano che non stai trattando — per questo diventerà un marker.</w:t>
      </w:r>
    </w:p>
    <w:p>
      <w:pPr>
        <w:pStyle w:val="BodyText"/>
      </w:pPr>
      <w:r>
        <w:rPr>
          <w:b/>
          <w:bCs/>
        </w:rPr>
        <w:t xml:space="preserve">L’anca e il rachide lombare.</w:t>
      </w:r>
      <w:r>
        <w:t xml:space="preserve"> </w:t>
      </w:r>
      <w:r>
        <w:t xml:space="preserve">Non come vicini di sopra, ma come</w:t>
      </w:r>
      <w:r>
        <w:t xml:space="preserve"> </w:t>
      </w:r>
      <w:r>
        <w:rPr>
          <w:b/>
          <w:bCs/>
        </w:rPr>
        <w:t xml:space="preserve">sorgenti possibili</w:t>
      </w:r>
      <w:r>
        <w:t xml:space="preserve">.</w:t>
      </w:r>
      <w:r>
        <w:t xml:space="preserve"> </w:t>
      </w:r>
      <w:r>
        <w:rPr>
          <w:b/>
          <w:bCs/>
        </w:rPr>
        <w:t xml:space="preserve">Perché contano qui:</w:t>
      </w:r>
      <w:r>
        <w:t xml:space="preserve"> </w:t>
      </w:r>
      <w:r>
        <w:t xml:space="preserve">sono la prima cosa che escludi, non l’ultima. Il segnale dell’anca converge sugli stessi neuroni del ginocchio; quello della radice lombare no.</w:t>
      </w:r>
    </w:p>
    <w:bookmarkStart w:id="23" w:name="X8b858d18b12afe3b3d2de2a9eddd478bd1404ca"/>
    <w:p>
      <w:pPr>
        <w:pStyle w:val="Heading3"/>
      </w:pPr>
      <w:r>
        <w:t xml:space="preserve">La chicca: il tessuto che fa male e nessuno nomina</w:t>
      </w:r>
    </w:p>
    <w:p>
      <w:pPr>
        <w:pStyle w:val="FirstParagraph"/>
      </w:pPr>
      <w:r>
        <w:t xml:space="preserve">Il</w:t>
      </w:r>
      <w:r>
        <w:t xml:space="preserve"> </w:t>
      </w:r>
      <w:r>
        <w:rPr>
          <w:b/>
          <w:bCs/>
        </w:rPr>
        <w:t xml:space="preserve">corpo adiposo di Hoffa</w:t>
      </w:r>
      <w:r>
        <w:t xml:space="preserve"> </w:t>
      </w:r>
      <w:r>
        <w:t xml:space="preserve">è il cuscinetto di grasso dietro il tendine rotuleo, ed è fra le strutture più dolorifiche del ginocchio umano. È stato misurato palpando l’interno di ginocchia sveglie in artroscopia, senza anestesia intrarticolare. Sinovia anteriore, corpo adiposo e capsula hanno preso il punteggio massimo di dolore; la cartilagine rotulea</w:t>
      </w:r>
      <w:r>
        <w:t xml:space="preserve"> </w:t>
      </w:r>
      <w:r>
        <w:rPr>
          <w:b/>
          <w:bCs/>
        </w:rPr>
        <w:t xml:space="preserve">zero</w:t>
      </w:r>
      <w:r>
        <w:t xml:space="preserve"> </w:t>
      </w:r>
      <w:r>
        <w:t xml:space="preserve">(Dye, 1998, PMID 9850777). Lo riconosci nel paziente con dolore anteriore che sta peggio</w:t>
      </w:r>
      <w:r>
        <w:t xml:space="preserve"> </w:t>
      </w:r>
      <w:r>
        <w:rPr>
          <w:b/>
          <w:bCs/>
        </w:rPr>
        <w:t xml:space="preserve">in piedi fermo e in estensione</w:t>
      </w:r>
      <w:r>
        <w:t xml:space="preserve">. Indica sotto e attorno alla rotula, e peggiora se lo porti in estensione terminale sotto carico.</w:t>
      </w:r>
    </w:p>
    <w:p>
      <w:pPr>
        <w:pStyle w:val="BodyText"/>
      </w:pPr>
      <w:r>
        <w:t xml:space="preserve">E per questo un’anca fa male al ginocchio. Otturatorio e femorale innervano entrambe le articolazioni e condividono i segmenti</w:t>
      </w:r>
      <w:r>
        <w:t xml:space="preserve"> </w:t>
      </w:r>
      <w:r>
        <w:rPr>
          <w:b/>
          <w:bCs/>
        </w:rPr>
        <w:t xml:space="preserve">L2-L4</w:t>
      </w:r>
      <w:r>
        <w:t xml:space="preserve">, così i due segnali finiscono sugli stessi neuroni del midollo, che non ha modo di distinguerli. Il dolore riferito dall’anca cade sulla faccia anteriore e mediale; un dolore laterale è un candidato più debole.</w:t>
      </w:r>
    </w:p>
    <w:p>
      <w:pPr>
        <w:pStyle w:val="BlockText"/>
      </w:pPr>
      <w:r>
        <w:rPr>
          <w:b/>
          <w:bCs/>
        </w:rPr>
        <w:t xml:space="preserve">Quanto è solido:</w:t>
      </w:r>
      <w:r>
        <w:t xml:space="preserve"> </w:t>
      </w:r>
      <w:r>
        <w:rPr>
          <w:b/>
          <w:bCs/>
        </w:rPr>
        <w:t xml:space="preserve">DIMOSTRATO</w:t>
      </w:r>
      <w:r>
        <w:t xml:space="preserve"> </w:t>
      </w:r>
      <w:r>
        <w:rPr>
          <w:i/>
          <w:iCs/>
        </w:rPr>
        <w:t xml:space="preserve">(studi sull’uomo, solidi)</w:t>
      </w:r>
      <w:r>
        <w:t xml:space="preserve"> </w:t>
      </w:r>
      <w:r>
        <w:t xml:space="preserve">per la capacità del corpo adiposo di produrre dolore nell’uomo.</w:t>
      </w:r>
      <w:r>
        <w:t xml:space="preserve"> </w:t>
      </w:r>
      <w:r>
        <w:rPr>
          <w:b/>
          <w:bCs/>
        </w:rPr>
        <w:t xml:space="preserve">IPOTESI</w:t>
      </w:r>
      <w:r>
        <w:t xml:space="preserve"> </w:t>
      </w:r>
      <w:r>
        <w:rPr>
          <w:i/>
          <w:iCs/>
        </w:rPr>
        <w:t xml:space="preserve">(meccanismo coerente, nessuno studio)</w:t>
      </w:r>
      <w:r>
        <w:t xml:space="preserve"> </w:t>
      </w:r>
      <w:r>
        <w:t xml:space="preserve">per l’effetto di una mano su quel tessuto.</w:t>
      </w:r>
    </w:p>
    <w:p>
      <w:pPr>
        <w:pStyle w:val="FirstParagraph"/>
      </w:pPr>
      <w:r>
        <w:rPr>
          <w:b/>
          <w:bCs/>
        </w:rPr>
        <w:t xml:space="preserve">Le tre cose da ricordare, più una</w:t>
      </w:r>
    </w:p>
    <w:p>
      <w:pPr>
        <w:pStyle w:val="Compact"/>
        <w:numPr>
          <w:ilvl w:val="0"/>
          <w:numId w:val="1013"/>
        </w:numPr>
      </w:pPr>
      <w:r>
        <w:t xml:space="preserve">La cartilagine non ha nervi: nessun dolore parte da lì, e il referto che il paziente ti mostra descrive un tessuto muto.</w:t>
      </w:r>
    </w:p>
    <w:p>
      <w:pPr>
        <w:pStyle w:val="Compact"/>
        <w:numPr>
          <w:ilvl w:val="0"/>
          <w:numId w:val="1013"/>
        </w:numPr>
      </w:pPr>
      <w:r>
        <w:t xml:space="preserve">L’osso subcondrale, la sinovia e il corpo adiposo anteriore cambiano stato in giorni. È la finestra in cui il tuo lavoro e la sua fluttuazione si confondono.</w:t>
      </w:r>
    </w:p>
    <w:p>
      <w:pPr>
        <w:pStyle w:val="Compact"/>
        <w:numPr>
          <w:ilvl w:val="0"/>
          <w:numId w:val="1013"/>
        </w:numPr>
      </w:pPr>
      <w:r>
        <w:t xml:space="preserve">La caviglia è un vincolo misurabile che non stai trattando quando tratti il ginocchio: tienila da parte, ti servirà come marker.</w:t>
      </w:r>
    </w:p>
    <w:p>
      <w:pPr>
        <w:pStyle w:val="Compact"/>
        <w:numPr>
          <w:ilvl w:val="0"/>
          <w:numId w:val="1013"/>
        </w:numPr>
      </w:pPr>
      <w:r>
        <w:rPr>
          <w:b/>
          <w:bCs/>
        </w:rPr>
        <w:t xml:space="preserve">Perché ci sei tu.</w:t>
      </w:r>
      <w:r>
        <w:t xml:space="preserve"> </w:t>
      </w:r>
      <w:r>
        <w:t xml:space="preserve">Il carico è stato misurato dentro l’uomo vivo, con protesi strumentate. Scendendo le scale il picco è il</w:t>
      </w:r>
      <w:r>
        <w:t xml:space="preserve"> </w:t>
      </w:r>
      <w:r>
        <w:rPr>
          <w:b/>
          <w:bCs/>
        </w:rPr>
        <w:t xml:space="preserve">346% del peso corporeo</w:t>
      </w:r>
      <w:r>
        <w:t xml:space="preserve">, salendo il 316%, in piano il 261%, alzandosi da seduti il 246% (Kutzner, 2010, PMID 20537336).</w:t>
      </w:r>
      <w:r>
        <w:t xml:space="preserve"> </w:t>
      </w:r>
      <w:r>
        <w:rPr>
          <w:b/>
          <w:bCs/>
        </w:rPr>
        <w:t xml:space="preserve">Per te:</w:t>
      </w:r>
      <w:r>
        <w:t xml:space="preserve"> </w:t>
      </w:r>
      <w:r>
        <w:t xml:space="preserve">hai un numero per spiegare perché la discesa è peggio della salita, e per costruire con lui una gerarchia dei gesti che gli costano. Non ti autorizza a dire che stai riducendo quel carico: nessuno l’ha misurato prima e dopo un trattamento manuale.</w:t>
      </w:r>
    </w:p>
    <w:p>
      <w:r>
        <w:pict>
          <v:rect style="width:0;height:1.5pt" o:hralign="center" o:hrstd="t" o:hr="t"/>
        </w:pict>
      </w:r>
    </w:p>
    <w:bookmarkEnd w:id="23"/>
    <w:bookmarkEnd w:id="24"/>
    <w:bookmarkStart w:id="25" w:name="capitolo-4-come-funziona-quando-funziona"/>
    <w:p>
      <w:pPr>
        <w:pStyle w:val="Heading2"/>
      </w:pPr>
      <w:r>
        <w:t xml:space="preserve">Capitolo 4 — Come funziona quando funziona</w:t>
      </w:r>
    </w:p>
    <w:p>
      <w:pPr>
        <w:pStyle w:val="BlockText"/>
      </w:pPr>
      <w:r>
        <w:rPr>
          <w:b/>
          <w:bCs/>
        </w:rPr>
        <w:t xml:space="preserve">In una riga:</w:t>
      </w:r>
      <w:r>
        <w:t xml:space="preserve"> </w:t>
      </w:r>
      <w:r>
        <w:t xml:space="preserve">un ginocchio sano non è un ginocchio integro, è un ginocchio in cui il carico viene distribuito, frenato e segnalato con il guadagno giusto.</w:t>
      </w:r>
    </w:p>
    <w:p>
      <w:pPr>
        <w:pStyle w:val="FirstParagraph"/>
      </w:pPr>
      <w:r>
        <w:t xml:space="preserve">La sequenza, in cinque passaggi.</w:t>
      </w:r>
    </w:p>
    <w:p>
      <w:pPr>
        <w:pStyle w:val="Compact"/>
        <w:numPr>
          <w:ilvl w:val="0"/>
          <w:numId w:val="1014"/>
        </w:numPr>
      </w:pPr>
      <w:r>
        <w:rPr>
          <w:b/>
          <w:bCs/>
        </w:rPr>
        <w:t xml:space="preserve">Il piede arriva a terra e la tibia riceve una forza</w:t>
      </w:r>
      <w:r>
        <w:t xml:space="preserve"> </w:t>
      </w:r>
      <w:r>
        <w:t xml:space="preserve">di due volte e mezza il peso corporeo in piano, tre e mezza scendendo le scale. I numeri misurati stanno nel capitolo precedente.</w:t>
      </w:r>
    </w:p>
    <w:p>
      <w:pPr>
        <w:pStyle w:val="Compact"/>
        <w:numPr>
          <w:ilvl w:val="0"/>
          <w:numId w:val="1014"/>
        </w:numPr>
      </w:pPr>
      <w:r>
        <w:rPr>
          <w:b/>
          <w:bCs/>
        </w:rPr>
        <w:t xml:space="preserve">Il menisco allarga l’area di contatto.</w:t>
      </w:r>
      <w:r>
        <w:t xml:space="preserve"> </w:t>
      </w:r>
      <w:r>
        <w:t xml:space="preserve">La stessa forza distribuita su più superficie fa meno pressione sull’osso sotto la cartilagine.</w:t>
      </w:r>
    </w:p>
    <w:p>
      <w:pPr>
        <w:pStyle w:val="Compact"/>
        <w:numPr>
          <w:ilvl w:val="0"/>
          <w:numId w:val="1014"/>
        </w:numPr>
      </w:pPr>
      <w:r>
        <w:rPr>
          <w:b/>
          <w:bCs/>
        </w:rPr>
        <w:t xml:space="preserve">Il quadricipite frena.</w:t>
      </w:r>
      <w:r>
        <w:t xml:space="preserve"> </w:t>
      </w:r>
      <w:r>
        <w:t xml:space="preserve">In appoggio si allunga contraendosi, e assorbe parte dell’energia che altrimenti arriva integra all’osso.</w:t>
      </w:r>
    </w:p>
    <w:p>
      <w:pPr>
        <w:pStyle w:val="Compact"/>
        <w:numPr>
          <w:ilvl w:val="0"/>
          <w:numId w:val="1014"/>
        </w:numPr>
      </w:pPr>
      <w:r>
        <w:rPr>
          <w:b/>
          <w:bCs/>
        </w:rPr>
        <w:t xml:space="preserve">L’articolazione si adatta di continuo.</w:t>
      </w:r>
      <w:r>
        <w:t xml:space="preserve"> </w:t>
      </w:r>
      <w:r>
        <w:t xml:space="preserve">La flessione cambia il punto di contatto, la rotula scorre nella gola, la caviglia concede i gradi che fanno avanzare la tibia.</w:t>
      </w:r>
    </w:p>
    <w:p>
      <w:pPr>
        <w:pStyle w:val="Compact"/>
        <w:numPr>
          <w:ilvl w:val="0"/>
          <w:numId w:val="1014"/>
        </w:numPr>
      </w:pPr>
      <w:r>
        <w:rPr>
          <w:b/>
          <w:bCs/>
        </w:rPr>
        <w:t xml:space="preserve">Il sistema nervoso tiene il guadagno basso.</w:t>
      </w:r>
      <w:r>
        <w:t xml:space="preserve"> </w:t>
      </w:r>
      <w:r>
        <w:t xml:space="preserve">Capsula, osso e grasso anteriore scaricano di continuo, e il midollo tiene quel traffico sotto la soglia della coscienza.</w:t>
      </w:r>
      <w:r>
        <w:t xml:space="preserve"> </w:t>
      </w:r>
      <w:r>
        <w:rPr>
          <w:b/>
          <w:bCs/>
        </w:rPr>
        <w:t xml:space="preserve">Un ginocchio che non fa male non è un ginocchio che non manda segnali: è un ginocchio i cui segnali non passano.</w:t>
      </w:r>
      <w:r>
        <w:t xml:space="preserve"> </w:t>
      </w:r>
      <w:r>
        <w:t xml:space="preserve">È un filtro attivo, come il rumore del frigorifero che senti solo quando si ferma. E questo passaggio regge metà del documento.</w:t>
      </w:r>
    </w:p>
    <w:p>
      <w:pPr>
        <w:pStyle w:val="FirstParagraph"/>
      </w:pPr>
      <w:r>
        <w:rPr>
          <w:b/>
          <w:bCs/>
        </w:rPr>
        <w:t xml:space="preserve">Le tre cose da ricordare, più una</w:t>
      </w:r>
    </w:p>
    <w:p>
      <w:pPr>
        <w:pStyle w:val="Compact"/>
        <w:numPr>
          <w:ilvl w:val="0"/>
          <w:numId w:val="1015"/>
        </w:numPr>
      </w:pPr>
      <w:r>
        <w:t xml:space="preserve">La distribuzione del carico e la frenata muscolare sono due protezioni diverse. La prima è passiva e non è tua; la seconda è attiva e in parte lo è.</w:t>
      </w:r>
    </w:p>
    <w:p>
      <w:pPr>
        <w:pStyle w:val="Compact"/>
        <w:numPr>
          <w:ilvl w:val="0"/>
          <w:numId w:val="1015"/>
        </w:numPr>
      </w:pPr>
      <w:r>
        <w:t xml:space="preserve">Il silenzio di un ginocchio sano è prodotto da un filtro, non dall’assenza di segnale.</w:t>
      </w:r>
    </w:p>
    <w:p>
      <w:pPr>
        <w:pStyle w:val="Compact"/>
        <w:numPr>
          <w:ilvl w:val="0"/>
          <w:numId w:val="1015"/>
        </w:numPr>
      </w:pPr>
      <w:r>
        <w:t xml:space="preserve">Ogni volta che spieghi un guasto, dichiara quale dei cinque passaggi è saltato. È il modo più rapido per capire dove hai una leva.</w:t>
      </w:r>
    </w:p>
    <w:p>
      <w:pPr>
        <w:pStyle w:val="Compact"/>
        <w:numPr>
          <w:ilvl w:val="0"/>
          <w:numId w:val="1015"/>
        </w:numPr>
      </w:pPr>
      <w:r>
        <w:rPr>
          <w:b/>
          <w:bCs/>
        </w:rPr>
        <w:t xml:space="preserve">Perché ci sei tu.</w:t>
      </w:r>
      <w:r>
        <w:t xml:space="preserve"> </w:t>
      </w:r>
      <w:r>
        <w:t xml:space="preserve">Su 991 persone di 50-90 anni con risonanza fatta a tutti, indipendentemente dai sintomi, la lesione meniscale era presente dal 19% al 56%. E</w:t>
      </w:r>
      <w:r>
        <w:t xml:space="preserve"> </w:t>
      </w:r>
      <w:r>
        <w:rPr>
          <w:b/>
          <w:bCs/>
        </w:rPr>
        <w:t xml:space="preserve">61 su cento fra chi ne aveva una non avevano avuto dolore né rigidità nel mese precedente</w:t>
      </w:r>
      <w:r>
        <w:t xml:space="preserve"> </w:t>
      </w:r>
      <w:r>
        <w:t xml:space="preserve">(Englund, 2008, PMID 18784100).</w:t>
      </w:r>
      <w:r>
        <w:t xml:space="preserve"> </w:t>
      </w:r>
      <w:r>
        <w:rPr>
          <w:b/>
          <w:bCs/>
        </w:rPr>
        <w:t xml:space="preserve">Per te:</w:t>
      </w:r>
      <w:r>
        <w:t xml:space="preserve"> </w:t>
      </w:r>
      <w:r>
        <w:t xml:space="preserve">davanti al referto «lesione del corno posteriore» hai un numero per spiegare che quel reperto è comune in ginocchia che non fanno male. E hai un numero per togliere alla parola «rotto» il potere che ha su di lui. Non ti autorizza a dire che la sua lesione è irrilevante: non lo sai.</w:t>
      </w:r>
    </w:p>
    <w:p>
      <w:r>
        <w:pict>
          <v:rect style="width:0;height:1.5pt" o:hralign="center" o:hrstd="t" o:hr="t"/>
        </w:pict>
      </w:r>
    </w:p>
    <w:bookmarkEnd w:id="25"/>
    <w:bookmarkStart w:id="31" w:name="capitolo-5-cosa-si-rompe-i-meccanismi"/>
    <w:p>
      <w:pPr>
        <w:pStyle w:val="Heading2"/>
      </w:pPr>
      <w:r>
        <w:t xml:space="preserve">Capitolo 5 — Cosa si rompe: i meccanismi</w:t>
      </w:r>
    </w:p>
    <w:p>
      <w:pPr>
        <w:pStyle w:val="BlockText"/>
      </w:pPr>
      <w:r>
        <w:rPr>
          <w:b/>
          <w:bCs/>
        </w:rPr>
        <w:t xml:space="preserve">In una riga:</w:t>
      </w:r>
      <w:r>
        <w:t xml:space="preserve"> </w:t>
      </w:r>
      <w:r>
        <w:t xml:space="preserve">cinque cose si rompono, e la cartilagine consumata è la sola di cui il paziente parli e la sola su cui non hai niente da fare.</w:t>
      </w:r>
    </w:p>
    <w:p>
      <w:pPr>
        <w:pStyle w:val="FirstParagraph"/>
      </w:pPr>
      <w:r>
        <w:t xml:space="preserve">I cinque meccanismi sono ordinati</w:t>
      </w:r>
      <w:r>
        <w:t xml:space="preserve"> </w:t>
      </w:r>
      <w:r>
        <w:rPr>
          <w:b/>
          <w:bCs/>
        </w:rPr>
        <w:t xml:space="preserve">dal più solido al meno solido</w:t>
      </w:r>
      <w:r>
        <w:t xml:space="preserve">. Non stanno in fila: stanno in cerchio. Il carico si concentra, l’osso duole, il paziente risparmia, il freno si scarica, il carico si concentra di più. Ogni meccanismo è un punto d’ingresso nello stesso giro.</w:t>
      </w:r>
    </w:p>
    <w:p>
      <w:pPr>
        <w:pStyle w:val="BodyText"/>
      </w:pPr>
      <w:r>
        <w:rPr>
          <w:b/>
          <w:bCs/>
        </w:rPr>
        <w:t xml:space="preserve">Di che dolore stiamo parlando.</w:t>
      </w:r>
      <w:r>
        <w:t xml:space="preserve"> </w:t>
      </w:r>
      <w:r>
        <w:t xml:space="preserve">Il quadro atteso è misto, ed è fatto di tre componenti.</w:t>
      </w:r>
    </w:p>
    <w:p>
      <w:pPr>
        <w:pStyle w:val="Compact"/>
        <w:numPr>
          <w:ilvl w:val="0"/>
          <w:numId w:val="1016"/>
        </w:numPr>
      </w:pPr>
      <w:r>
        <w:t xml:space="preserve">Una componente</w:t>
      </w:r>
      <w:r>
        <w:t xml:space="preserve"> </w:t>
      </w:r>
      <w:r>
        <w:rPr>
          <w:i/>
          <w:iCs/>
        </w:rPr>
        <w:t xml:space="preserve">nocicettiva</w:t>
      </w:r>
      <w:r>
        <w:t xml:space="preserve">, prodotta da tessuti realmente sollecitati.</w:t>
      </w:r>
    </w:p>
    <w:p>
      <w:pPr>
        <w:pStyle w:val="Compact"/>
        <w:numPr>
          <w:ilvl w:val="0"/>
          <w:numId w:val="1016"/>
        </w:numPr>
      </w:pPr>
      <w:r>
        <w:t xml:space="preserve">In un sottogruppo, una componente</w:t>
      </w:r>
      <w:r>
        <w:t xml:space="preserve"> </w:t>
      </w:r>
      <w:r>
        <w:rPr>
          <w:i/>
          <w:iCs/>
        </w:rPr>
        <w:t xml:space="preserve">nociplastica</w:t>
      </w:r>
      <w:r>
        <w:t xml:space="preserve">: il dolore nasce da come il sistema nervoso elabora il segnale, non da un danno proporzionato. Non si vede sulle immagini e ha prognosi peggiore.</w:t>
      </w:r>
    </w:p>
    <w:p>
      <w:pPr>
        <w:pStyle w:val="Compact"/>
        <w:numPr>
          <w:ilvl w:val="0"/>
          <w:numId w:val="1016"/>
        </w:numPr>
      </w:pPr>
      <w:r>
        <w:t xml:space="preserve">In una minoranza, una componente</w:t>
      </w:r>
      <w:r>
        <w:t xml:space="preserve"> </w:t>
      </w:r>
      <w:r>
        <w:rPr>
          <w:i/>
          <w:iCs/>
        </w:rPr>
        <w:t xml:space="preserve">neuropatica</w:t>
      </w:r>
      <w:r>
        <w:t xml:space="preserve">, da lesione o malattia del nervo: bruciore, scosse, alterazioni della sensibilità. Non risponde al carico, e cambia l’interlocutore medico prima ancora della leva.</w:t>
      </w:r>
    </w:p>
    <w:bookmarkStart w:id="26" w:name="Xaf09f4564a5144dc97b2c2fbed11d3db8662c67"/>
    <w:p>
      <w:pPr>
        <w:pStyle w:val="Heading3"/>
      </w:pPr>
      <w:r>
        <w:t xml:space="preserve">1. Il carico che si concentra sempre nello stesso punto</w:t>
      </w:r>
    </w:p>
    <w:p>
      <w:pPr>
        <w:pStyle w:val="FirstParagraph"/>
      </w:pPr>
      <w:r>
        <w:t xml:space="preserve">La sequenza:</w:t>
      </w:r>
    </w:p>
    <w:p>
      <w:pPr>
        <w:pStyle w:val="Compact"/>
        <w:numPr>
          <w:ilvl w:val="0"/>
          <w:numId w:val="1017"/>
        </w:numPr>
      </w:pPr>
      <w:r>
        <w:t xml:space="preserve">La distribuzione del carico peggiora. Può essere un assottigliamento cartilagineo, una perdita di funzione meniscale, o un asse che porta più forza da un lato.</w:t>
      </w:r>
    </w:p>
    <w:p>
      <w:pPr>
        <w:pStyle w:val="Compact"/>
        <w:numPr>
          <w:ilvl w:val="0"/>
          <w:numId w:val="1017"/>
        </w:numPr>
      </w:pPr>
      <w:r>
        <w:t xml:space="preserve">La pressione per unità di superficie sale sull’osso subcondrale, che è pieno di fibre dolorifiche.</w:t>
      </w:r>
    </w:p>
    <w:p>
      <w:pPr>
        <w:pStyle w:val="Compact"/>
        <w:numPr>
          <w:ilvl w:val="0"/>
          <w:numId w:val="1017"/>
        </w:numPr>
      </w:pPr>
      <w:r>
        <w:t xml:space="preserve">L’osso reagisce con</w:t>
      </w:r>
      <w:r>
        <w:t xml:space="preserve"> </w:t>
      </w:r>
      <w:r>
        <w:rPr>
          <w:b/>
          <w:bCs/>
        </w:rPr>
        <w:t xml:space="preserve">edema dell’osso subcondrale</w:t>
      </w:r>
      <w:r>
        <w:t xml:space="preserve"> </w:t>
      </w:r>
      <w:r>
        <w:t xml:space="preserve">e rimodellamento. La sinovia si irrita e abbassa la soglia delle terminazioni capsulari.</w:t>
      </w:r>
    </w:p>
    <w:p>
      <w:pPr>
        <w:pStyle w:val="Compact"/>
        <w:numPr>
          <w:ilvl w:val="0"/>
          <w:numId w:val="1017"/>
        </w:numPr>
      </w:pPr>
      <w:r>
        <w:t xml:space="preserve">Il segnale parte da osso, sinovia, capsula e grasso anteriore. Dalla cartilagine non parte niente.</w:t>
      </w:r>
    </w:p>
    <w:p>
      <w:pPr>
        <w:pStyle w:val="BlockText"/>
      </w:pPr>
      <w:r>
        <w:rPr>
          <w:b/>
          <w:bCs/>
        </w:rPr>
        <w:t xml:space="preserve">Quanto è solido:</w:t>
      </w:r>
      <w:r>
        <w:t xml:space="preserve"> </w:t>
      </w:r>
      <w:r>
        <w:t xml:space="preserve">l’etichetta si spezza, perché i pezzi non hanno la stessa forza.</w:t>
      </w:r>
    </w:p>
    <w:p>
      <w:pPr>
        <w:pStyle w:val="BlockText"/>
      </w:pPr>
      <w:r>
        <w:rPr>
          <w:b/>
          <w:bCs/>
        </w:rPr>
        <w:t xml:space="preserve">DIMOSTRATO</w:t>
      </w:r>
      <w:r>
        <w:t xml:space="preserve"> </w:t>
      </w:r>
      <w:r>
        <w:rPr>
          <w:i/>
          <w:iCs/>
        </w:rPr>
        <w:t xml:space="preserve">(studi sull’uomo, solidi)</w:t>
      </w:r>
      <w:r>
        <w:t xml:space="preserve"> </w:t>
      </w:r>
      <w:r>
        <w:t xml:space="preserve">che il carico dentro il ginocchio umano vari con l’attività nella misura descritta, misurato con protesi strumentate (Kutzner, 2010, PMID 20537336).</w:t>
      </w:r>
    </w:p>
    <w:p>
      <w:pPr>
        <w:pStyle w:val="BlockText"/>
      </w:pPr>
      <w:r>
        <w:rPr>
          <w:b/>
          <w:bCs/>
        </w:rPr>
        <w:t xml:space="preserve">IPOTESI</w:t>
      </w:r>
      <w:r>
        <w:t xml:space="preserve"> </w:t>
      </w:r>
      <w:r>
        <w:rPr>
          <w:i/>
          <w:iCs/>
        </w:rPr>
        <w:t xml:space="preserve">(meccanismo coerente, nessuno studio)</w:t>
      </w:r>
      <w:r>
        <w:t xml:space="preserve"> </w:t>
      </w:r>
      <w:r>
        <w:t xml:space="preserve">che un trattamento manuale modifichi la distribuzione del carico dentro l’articolazione: nessuno l’ha misurato.</w:t>
      </w:r>
    </w:p>
    <w:p>
      <w:pPr>
        <w:pStyle w:val="BlockText"/>
      </w:pPr>
      <w:r>
        <w:t xml:space="preserve">E la catena «meno carico quindi meno dolore» non è chiusa nemmeno a monte, perché a dirlo è lo studio che la sosterrebbe. Nello studio IDEA il gruppo che ha ridotto di più la forza di compressione al ginocchio è quello della</w:t>
      </w:r>
      <w:r>
        <w:t xml:space="preserve"> </w:t>
      </w:r>
      <w:r>
        <w:rPr>
          <w:b/>
          <w:bCs/>
        </w:rPr>
        <w:t xml:space="preserve">sola dieta</w:t>
      </w:r>
      <w:r>
        <w:t xml:space="preserve">: 2487 N contro 2687 N dell’esercizio. Il gruppo migliorato di più su dolore e funzione è invece</w:t>
      </w:r>
      <w:r>
        <w:t xml:space="preserve"> </w:t>
      </w:r>
      <w:r>
        <w:rPr>
          <w:b/>
          <w:bCs/>
        </w:rPr>
        <w:t xml:space="preserve">dieta più esercizio</w:t>
      </w:r>
      <w:r>
        <w:t xml:space="preserve"> </w:t>
      </w:r>
      <w:r>
        <w:t xml:space="preserve">(Messier, 2013, PMID 24065013). Chi ha scaricato di più non è chi è migliorato di più: tienilo presente ogni volta che stai per raccontare il tuo lavoro come uno scarico meccanico.</w:t>
      </w:r>
    </w:p>
    <w:p>
      <w:pPr>
        <w:pStyle w:val="FirstParagraph"/>
      </w:pPr>
      <w:r>
        <w:rPr>
          <w:b/>
          <w:bCs/>
        </w:rPr>
        <w:t xml:space="preserve">Come si vede addosso al paziente.</w:t>
      </w:r>
      <w:r>
        <w:t xml:space="preserve"> </w:t>
      </w:r>
      <w:r>
        <w:t xml:space="preserve">Dolore profondo e sordo, che compare dopo un tempo di carico e non subito, peggiora col cammino prolungato e migliora fermandosi. Gonfiore che va e viene nella settimana. Nei giorni con versamento l’articolazione non arriva né in flessione né in estensione completa.</w:t>
      </w:r>
    </w:p>
    <w:p>
      <w:pPr>
        <w:pStyle w:val="BodyText"/>
      </w:pPr>
      <w:r>
        <w:rPr>
          <w:b/>
          <w:bCs/>
        </w:rPr>
        <w:t xml:space="preserve">La borsa della spesa con un manico solo: non è più pesante, è tutta di là.</w:t>
      </w:r>
    </w:p>
    <w:bookmarkEnd w:id="26"/>
    <w:bookmarkStart w:id="27" w:name="il-freno-che-si-scarica"/>
    <w:p>
      <w:pPr>
        <w:pStyle w:val="Heading3"/>
      </w:pPr>
      <w:r>
        <w:t xml:space="preserve">2. Il freno che si scarica</w:t>
      </w:r>
    </w:p>
    <w:p>
      <w:pPr>
        <w:pStyle w:val="FirstParagraph"/>
      </w:pPr>
      <w:r>
        <w:t xml:space="preserve">La sequenza.</w:t>
      </w:r>
      <w:r>
        <w:t xml:space="preserve"> </w:t>
      </w:r>
      <w:r>
        <w:rPr>
          <w:b/>
          <w:bCs/>
        </w:rPr>
        <w:t xml:space="preserve">Sono due cause parallele sullo stesso muscolo, e solo una dipende dal dolore.</w:t>
      </w:r>
    </w:p>
    <w:p>
      <w:pPr>
        <w:pStyle w:val="Compact"/>
        <w:numPr>
          <w:ilvl w:val="0"/>
          <w:numId w:val="1018"/>
        </w:numPr>
      </w:pPr>
      <w:r>
        <w:rPr>
          <w:b/>
          <w:bCs/>
        </w:rPr>
        <w:t xml:space="preserve">Via volontaria:</w:t>
      </w:r>
      <w:r>
        <w:t xml:space="preserve"> </w:t>
      </w:r>
      <w:r>
        <w:t xml:space="preserve">il ginocchio fa male, il paziente riduce il carico su quella gamba senza accorgersene, e il muscolo perde forza per disuso. È un compenso guidato dalla paura, e ha il prezzo che ogni compenso ha.</w:t>
      </w:r>
    </w:p>
    <w:p>
      <w:pPr>
        <w:pStyle w:val="BlockText"/>
      </w:pPr>
      <w:r>
        <w:rPr>
          <w:b/>
          <w:bCs/>
        </w:rPr>
        <w:t xml:space="preserve">Definizione.</w:t>
      </w:r>
      <w:r>
        <w:t xml:space="preserve"> </w:t>
      </w:r>
      <w:r>
        <w:t xml:space="preserve">Il</w:t>
      </w:r>
      <w:r>
        <w:t xml:space="preserve"> </w:t>
      </w:r>
      <w:r>
        <w:rPr>
          <w:b/>
          <w:bCs/>
        </w:rPr>
        <w:t xml:space="preserve">compenso</w:t>
      </w:r>
      <w:r>
        <w:t xml:space="preserve"> </w:t>
      </w:r>
      <w:r>
        <w:t xml:space="preserve">è un adattamento che il corpo mette in atto per continuare a funzionare nonostante un problema. Costa qualcosa — comfort, efficienza, escursione — e regge finché può. Il sintomo compare spesso dove il compenso ha ceduto, non dove il problema è nato.</w:t>
      </w:r>
    </w:p>
    <w:p>
      <w:pPr>
        <w:pStyle w:val="Compact"/>
        <w:numPr>
          <w:ilvl w:val="0"/>
          <w:numId w:val="1019"/>
        </w:numPr>
      </w:pPr>
      <w:r>
        <w:rPr>
          <w:b/>
          <w:bCs/>
        </w:rPr>
        <w:t xml:space="preserve">Via riflessa:</w:t>
      </w:r>
      <w:r>
        <w:t xml:space="preserve"> </w:t>
      </w:r>
      <w:r>
        <w:t xml:space="preserve">una scarica alterata dei recettori articolari inibisce per via spinale l’attivazione volontaria dell’estensore. È l’</w:t>
      </w:r>
      <w:r>
        <w:rPr>
          <w:b/>
          <w:bCs/>
        </w:rPr>
        <w:t xml:space="preserve">inibizione muscolare artrogena</w:t>
      </w:r>
      <w:r>
        <w:t xml:space="preserve">, e non passa togliendo il dolore. Le cause di quella scarica sono tre, ed è a loro che si guarda:</w:t>
      </w:r>
      <w:r>
        <w:t xml:space="preserve"> </w:t>
      </w:r>
      <w:r>
        <w:rPr>
          <w:b/>
          <w:bCs/>
        </w:rPr>
        <w:t xml:space="preserve">distensione dell’articolazione</w:t>
      </w:r>
      <w:r>
        <w:t xml:space="preserve"> </w:t>
      </w:r>
      <w:r>
        <w:t xml:space="preserve">(il versamento),</w:t>
      </w:r>
      <w:r>
        <w:t xml:space="preserve"> </w:t>
      </w:r>
      <w:r>
        <w:rPr>
          <w:b/>
          <w:bCs/>
        </w:rPr>
        <w:t xml:space="preserve">infiammazione sinoviale</w:t>
      </w:r>
      <w:r>
        <w:t xml:space="preserve">,</w:t>
      </w:r>
      <w:r>
        <w:t xml:space="preserve"> </w:t>
      </w:r>
      <w:r>
        <w:rPr>
          <w:b/>
          <w:bCs/>
        </w:rPr>
        <w:t xml:space="preserve">danno o lassità delle afferenze articolari</w:t>
      </w:r>
      <w:r>
        <w:t xml:space="preserve"> </w:t>
      </w:r>
      <w:r>
        <w:t xml:space="preserve">(Rice e McNair, 2010, PMID 19954822). Resta un fenomeno spinale: la prova di un contributo corticale non c’è (Rice, 2014, PMID 25497133).</w:t>
      </w:r>
    </w:p>
    <w:p>
      <w:pPr>
        <w:pStyle w:val="Compact"/>
        <w:numPr>
          <w:ilvl w:val="0"/>
          <w:numId w:val="1019"/>
        </w:numPr>
      </w:pPr>
      <w:r>
        <w:t xml:space="preserve">Meno frenata in allungamento significa picchi di carico più alti sull’osso già sensibile.</w:t>
      </w:r>
    </w:p>
    <w:p>
      <w:pPr>
        <w:pStyle w:val="Compact"/>
        <w:numPr>
          <w:ilvl w:val="0"/>
          <w:numId w:val="1019"/>
        </w:numPr>
      </w:pPr>
      <w:r>
        <w:t xml:space="preserve">Più dolore, più risparmio, più inibizione. Il giro si stringe.</w:t>
      </w:r>
    </w:p>
    <w:p>
      <w:pPr>
        <w:pStyle w:val="FirstParagraph"/>
      </w:pPr>
      <w:r>
        <w:t xml:space="preserve">Un reperto meccanico entra qui, ed è quello con il costo a valle più alto: il</w:t>
      </w:r>
      <w:r>
        <w:t xml:space="preserve"> </w:t>
      </w:r>
      <w:r>
        <w:rPr>
          <w:b/>
          <w:bCs/>
        </w:rPr>
        <w:t xml:space="preserve">deficit di estensione terminale</w:t>
      </w:r>
      <w:r>
        <w:t xml:space="preserve">. Un ginocchio che non arriva in estensione completa perde il blocco passivo, e tiene il quadricipite al lavoro per tutta la fase di appoggio. Si misura in meno di un minuto, confrontando l’altezza dei due talloni in decubito prono.</w:t>
      </w:r>
    </w:p>
    <w:p>
      <w:pPr>
        <w:pStyle w:val="BlockText"/>
      </w:pPr>
      <w:r>
        <w:rPr>
          <w:b/>
          <w:bCs/>
        </w:rPr>
        <w:t xml:space="preserve">Quanto è solido:</w:t>
      </w:r>
      <w:r>
        <w:t xml:space="preserve"> </w:t>
      </w:r>
      <w:r>
        <w:t xml:space="preserve">l’etichetta si spezza.</w:t>
      </w:r>
    </w:p>
    <w:p>
      <w:pPr>
        <w:pStyle w:val="BlockText"/>
      </w:pPr>
      <w:r>
        <w:rPr>
          <w:b/>
          <w:bCs/>
        </w:rPr>
        <w:t xml:space="preserve">PROBABILE</w:t>
      </w:r>
      <w:r>
        <w:t xml:space="preserve"> </w:t>
      </w:r>
      <w:r>
        <w:rPr>
          <w:i/>
          <w:iCs/>
        </w:rPr>
        <w:t xml:space="preserve">(razionale forte, prove parziali)</w:t>
      </w:r>
      <w:r>
        <w:t xml:space="preserve"> </w:t>
      </w:r>
      <w:r>
        <w:t xml:space="preserve">che la debolezza degli estensori preceda l’artrosi sintomatica: 46.819 persone in una revisione sistematica, con prove dichiarate di bassa qualità dagli autori stessi e rapporti di probabilità fra 1,39 e 1,85 (Øiestad, 2022, PMID 34916210).</w:t>
      </w:r>
    </w:p>
    <w:p>
      <w:pPr>
        <w:pStyle w:val="BlockText"/>
      </w:pPr>
      <w:r>
        <w:rPr>
          <w:b/>
          <w:bCs/>
        </w:rPr>
        <w:t xml:space="preserve">DIMOSTRATO</w:t>
      </w:r>
      <w:r>
        <w:t xml:space="preserve"> </w:t>
      </w:r>
      <w:r>
        <w:rPr>
          <w:i/>
          <w:iCs/>
        </w:rPr>
        <w:t xml:space="preserve">(studi sull’uomo, solidi)</w:t>
      </w:r>
      <w:r>
        <w:t xml:space="preserve"> </w:t>
      </w:r>
      <w:r>
        <w:t xml:space="preserve">che il carico ripetuto costruisca forza e tolleranza.</w:t>
      </w:r>
    </w:p>
    <w:p>
      <w:pPr>
        <w:pStyle w:val="BlockText"/>
      </w:pPr>
      <w:r>
        <w:rPr>
          <w:b/>
          <w:bCs/>
        </w:rPr>
        <w:t xml:space="preserve">IPOTESI</w:t>
      </w:r>
      <w:r>
        <w:t xml:space="preserve"> </w:t>
      </w:r>
      <w:r>
        <w:rPr>
          <w:i/>
          <w:iCs/>
        </w:rPr>
        <w:t xml:space="preserve">(meccanismo coerente, nessuno studio)</w:t>
      </w:r>
      <w:r>
        <w:t xml:space="preserve"> </w:t>
      </w:r>
      <w:r>
        <w:t xml:space="preserve">che il carico ripetuto sciolga l’inibizione riflessa: chi l’ha studiata la descrive come una barriera resistente alla riabilitazione (Rice e McNair, 2010, PMID 19954822).</w:t>
      </w:r>
    </w:p>
    <w:p>
      <w:pPr>
        <w:pStyle w:val="BlockText"/>
      </w:pPr>
      <w:r>
        <w:rPr>
          <w:b/>
          <w:bCs/>
        </w:rPr>
        <w:t xml:space="preserve">IPOTESI</w:t>
      </w:r>
      <w:r>
        <w:t xml:space="preserve"> </w:t>
      </w:r>
      <w:r>
        <w:rPr>
          <w:i/>
          <w:iCs/>
        </w:rPr>
        <w:t xml:space="preserve">(meccanismo coerente, nessuno studio)</w:t>
      </w:r>
      <w:r>
        <w:t xml:space="preserve"> </w:t>
      </w:r>
      <w:r>
        <w:t xml:space="preserve">che una tecnica manuale la sblocchi, e qui con prove contrarie. Una revisione sistematica ha raggruppato dieci studi per tipo di intervento: la terapia manuale, con quattro studi, ha prodotto sull’attivazione volontaria del quadricipite un effetto immediato debole e non significativo,</w:t>
      </w:r>
      <w:r>
        <w:t xml:space="preserve"> </w:t>
      </w:r>
      <w:r>
        <w:rPr>
          <w:b/>
          <w:bCs/>
        </w:rPr>
        <w:t xml:space="preserve">d = 0,38 (IC 95% da −0,35 a 1,09)</w:t>
      </w:r>
      <w:r>
        <w:t xml:space="preserve">. La</w:t>
      </w:r>
      <w:r>
        <w:t xml:space="preserve"> </w:t>
      </w:r>
      <w:r>
        <w:rPr>
          <w:b/>
          <w:bCs/>
        </w:rPr>
        <w:t xml:space="preserve">d</w:t>
      </w:r>
      <w:r>
        <w:t xml:space="preserve"> </w:t>
      </w:r>
      <w:r>
        <w:t xml:space="preserve">è la dimensione dell’effetto, cioè quanto è grande il cambiamento rispetto alla variabilità. L’effetto più forte è quello della</w:t>
      </w:r>
      <w:r>
        <w:t xml:space="preserve"> </w:t>
      </w:r>
      <w:r>
        <w:rPr>
          <w:b/>
          <w:bCs/>
        </w:rPr>
        <w:t xml:space="preserve">TENS</w:t>
      </w:r>
      <w:r>
        <w:t xml:space="preserve"> </w:t>
      </w:r>
      <w:r>
        <w:t xml:space="preserve">ad alta frequenza, cioè la stimolazione elettrica applicata attraverso la pelle: d immediato 1,03, IC da 0,06 a 1,92. E</w:t>
      </w:r>
      <w:r>
        <w:t xml:space="preserve"> </w:t>
      </w:r>
      <w:r>
        <w:rPr>
          <w:b/>
          <w:bCs/>
        </w:rPr>
        <w:t xml:space="preserve">non è un atto nostro</w:t>
      </w:r>
      <w:r>
        <w:t xml:space="preserve"> </w:t>
      </w:r>
      <w:r>
        <w:t xml:space="preserve">(Harkey, 2014, PMID 24490843; misurato sull’attivazione volontaria del quadricipite in ginocchia lesionate e artrosiche, con quattro studi eterogenei e pochi soggetti, non su un ciclo osteopatico su questi pazienti).</w:t>
      </w:r>
    </w:p>
    <w:p>
      <w:pPr>
        <w:pStyle w:val="BlockText"/>
      </w:pPr>
      <w:r>
        <w:rPr>
          <w:b/>
          <w:bCs/>
        </w:rPr>
        <w:t xml:space="preserve">Cosa cambia per te.</w:t>
      </w:r>
      <w:r>
        <w:t xml:space="preserve"> </w:t>
      </w:r>
      <w:r>
        <w:t xml:space="preserve">Togliere il dolore non restituisce il reclutamento, perché la via riflessa non passa da lì. Il carico ripetuto resta al centro del ciclo perché costruisce forza e tolleranza, non perché sappiamo che scioglie l’inibizione. La condotta non cambia; cambia il motivo, ed è più modesto — tanto più che qualcuno ha già provato a scioglierla con le mani, e non l’ha trovata.</w:t>
      </w:r>
    </w:p>
    <w:p>
      <w:pPr>
        <w:pStyle w:val="FirstParagraph"/>
      </w:pPr>
      <w:r>
        <w:rPr>
          <w:b/>
          <w:bCs/>
        </w:rPr>
        <w:t xml:space="preserve">Come si vede addosso al paziente.</w:t>
      </w:r>
      <w:r>
        <w:t xml:space="preserve"> </w:t>
      </w:r>
      <w:r>
        <w:t xml:space="preserve">Coscia più sottile da un lato. Non si alza da una sedia bassa senza spingersi con le braccia. Scende le scale un gradino alla volta. Manca l’ultimo grado di estensione. Ed è lui che dice</w:t>
      </w:r>
      <w:r>
        <w:t xml:space="preserve"> </w:t>
      </w:r>
      <w:r>
        <w:rPr>
          <w:i/>
          <w:iCs/>
        </w:rPr>
        <w:t xml:space="preserve">«ogni tanto molla»</w:t>
      </w:r>
      <w:r>
        <w:t xml:space="preserve">.</w:t>
      </w:r>
    </w:p>
    <w:p>
      <w:pPr>
        <w:pStyle w:val="BodyText"/>
      </w:pPr>
      <w:r>
        <w:rPr>
          <w:b/>
          <w:bCs/>
        </w:rPr>
        <w:t xml:space="preserve">Il freno motore in discesa: se non lo usi, ci pensano i freni, e i freni si scaldano.</w:t>
      </w:r>
    </w:p>
    <w:bookmarkEnd w:id="27"/>
    <w:bookmarkStart w:id="28" w:name="la-soglia-che-si-abbassa"/>
    <w:p>
      <w:pPr>
        <w:pStyle w:val="Heading3"/>
      </w:pPr>
      <w:r>
        <w:t xml:space="preserve">3. La soglia che si abbassa</w:t>
      </w:r>
    </w:p>
    <w:p>
      <w:pPr>
        <w:pStyle w:val="FirstParagraph"/>
      </w:pPr>
      <w:r>
        <w:t xml:space="preserve">La sequenza:</w:t>
      </w:r>
    </w:p>
    <w:p>
      <w:pPr>
        <w:pStyle w:val="Compact"/>
        <w:numPr>
          <w:ilvl w:val="0"/>
          <w:numId w:val="1020"/>
        </w:numPr>
      </w:pPr>
      <w:r>
        <w:t xml:space="preserve">Un ingresso nocicettivo che dura settimane o mesi tiene attive le vie che portano il segnale al midollo spinale.</w:t>
      </w:r>
    </w:p>
    <w:p>
      <w:pPr>
        <w:pStyle w:val="Compact"/>
        <w:numPr>
          <w:ilvl w:val="0"/>
          <w:numId w:val="1020"/>
        </w:numPr>
      </w:pPr>
      <w:r>
        <w:t xml:space="preserve">Il midollo alza il proprio guadagno: le sinapsi del corno posteriore, sotto un ingresso ripetuto, rispondono di più allo stesso stimolo. È la</w:t>
      </w:r>
      <w:r>
        <w:t xml:space="preserve"> </w:t>
      </w:r>
      <w:r>
        <w:rPr>
          <w:b/>
          <w:bCs/>
        </w:rPr>
        <w:t xml:space="preserve">sensibilizzazione centrale</w:t>
      </w:r>
      <w:r>
        <w:t xml:space="preserve">; la</w:t>
      </w:r>
      <w:r>
        <w:t xml:space="preserve"> </w:t>
      </w:r>
      <w:r>
        <w:rPr>
          <w:b/>
          <w:bCs/>
        </w:rPr>
        <w:t xml:space="preserve">sommazione temporale</w:t>
      </w:r>
      <w:r>
        <w:t xml:space="preserve"> </w:t>
      </w:r>
      <w:r>
        <w:t xml:space="preserve">è il modo di misurarla, non il fenomeno.</w:t>
      </w:r>
    </w:p>
    <w:p>
      <w:pPr>
        <w:pStyle w:val="Compact"/>
        <w:numPr>
          <w:ilvl w:val="0"/>
          <w:numId w:val="1020"/>
        </w:numPr>
      </w:pPr>
      <w:r>
        <w:t xml:space="preserve">Il</w:t>
      </w:r>
      <w:r>
        <w:t xml:space="preserve"> </w:t>
      </w:r>
      <w:r>
        <w:rPr>
          <w:b/>
          <w:bCs/>
        </w:rPr>
        <w:t xml:space="preserve">controllo discendente</w:t>
      </w:r>
      <w:r>
        <w:t xml:space="preserve"> </w:t>
      </w:r>
      <w:r>
        <w:t xml:space="preserve">che dovrebbe abbassare il volume funziona meno bene: in questi pazienti è ridotto (Arendt-Nielsen, 2010, PMID 20418016).</w:t>
      </w:r>
    </w:p>
    <w:p>
      <w:pPr>
        <w:pStyle w:val="Compact"/>
        <w:numPr>
          <w:ilvl w:val="0"/>
          <w:numId w:val="1020"/>
        </w:numPr>
      </w:pPr>
      <w:r>
        <w:t xml:space="preserve">Il risultato è un guadagno alzato in modo stabile.</w:t>
      </w:r>
    </w:p>
    <w:p>
      <w:pPr>
        <w:pStyle w:val="BlockText"/>
      </w:pPr>
      <w:r>
        <w:rPr>
          <w:b/>
          <w:bCs/>
        </w:rPr>
        <w:t xml:space="preserve">Quanto è solido:</w:t>
      </w:r>
      <w:r>
        <w:t xml:space="preserve"> </w:t>
      </w:r>
      <w:r>
        <w:rPr>
          <w:b/>
          <w:bCs/>
        </w:rPr>
        <w:t xml:space="preserve">PROBABILE</w:t>
      </w:r>
      <w:r>
        <w:t xml:space="preserve"> </w:t>
      </w:r>
      <w:r>
        <w:rPr>
          <w:i/>
          <w:iCs/>
        </w:rPr>
        <w:t xml:space="preserve">(razionale forte, prove parziali)</w:t>
      </w:r>
      <w:r>
        <w:t xml:space="preserve"> </w:t>
      </w:r>
      <w:r>
        <w:t xml:space="preserve">che il fenomeno pesi sull’esito. In 78 pazienti operati di protesi, chi aveva prima dell’intervento una sommazione temporale più facilitata aveva più dolore dodici mesi dopo. Ma è una sola coorte, R = 0,240, cioè circa il 6% della variabilità, e gli autori scrivono che</w:t>
      </w:r>
      <w:r>
        <w:t xml:space="preserve"> </w:t>
      </w:r>
      <w:r>
        <w:rPr>
          <w:i/>
          <w:iCs/>
        </w:rPr>
        <w:t xml:space="preserve">può</w:t>
      </w:r>
      <w:r>
        <w:t xml:space="preserve"> </w:t>
      </w:r>
      <w:r>
        <w:t xml:space="preserve">essere un predittore (Petersen, 2015, PMID 25599301).</w:t>
      </w:r>
    </w:p>
    <w:p>
      <w:pPr>
        <w:pStyle w:val="BlockText"/>
      </w:pPr>
      <w:r>
        <w:rPr>
          <w:b/>
          <w:bCs/>
        </w:rPr>
        <w:t xml:space="preserve">IPOTESI</w:t>
      </w:r>
      <w:r>
        <w:t xml:space="preserve"> </w:t>
      </w:r>
      <w:r>
        <w:rPr>
          <w:i/>
          <w:iCs/>
        </w:rPr>
        <w:t xml:space="preserve">(meccanismo coerente, nessuno studio)</w:t>
      </w:r>
      <w:r>
        <w:t xml:space="preserve"> </w:t>
      </w:r>
      <w:r>
        <w:t xml:space="preserve">che il trattamento manuale abbassi quel guadagno, e qui con prove discordanti: trenta revisioni sistematiche sugli effetti della terapia manuale sulle soglie sensoriali danno</w:t>
      </w:r>
      <w:r>
        <w:t xml:space="preserve"> </w:t>
      </w:r>
      <w:r>
        <w:rPr>
          <w:b/>
          <w:bCs/>
        </w:rPr>
        <w:t xml:space="preserve">prove in conflitto</w:t>
      </w:r>
      <w:r>
        <w:t xml:space="preserve">, da revisioni di qualità da bassa a criticamente bassa (Rodgers e Coronado, 2024, PMID 37908101; il salto è di</w:t>
      </w:r>
      <w:r>
        <w:t xml:space="preserve"> </w:t>
      </w:r>
      <w:r>
        <w:rPr>
          <w:b/>
          <w:bCs/>
        </w:rPr>
        <w:t xml:space="preserve">popolazione</w:t>
      </w:r>
      <w:r>
        <w:t xml:space="preserve">).</w:t>
      </w:r>
    </w:p>
    <w:p>
      <w:pPr>
        <w:pStyle w:val="FirstParagraph"/>
      </w:pPr>
      <w:r>
        <w:rPr>
          <w:b/>
          <w:bCs/>
        </w:rPr>
        <w:t xml:space="preserve">Come si vede addosso al paziente.</w:t>
      </w:r>
      <w:r>
        <w:t xml:space="preserve"> </w:t>
      </w:r>
      <w:r>
        <w:t xml:space="preserve">Dolore sproporzionato all’attività svolta, che lo sveglia la notte cambiando posizione, con dolorabilità estesa a coscia e polpaccio. Dice che il dolore «si è allargato» senza che sia successo niente.</w:t>
      </w:r>
    </w:p>
    <w:p>
      <w:pPr>
        <w:pStyle w:val="BodyText"/>
      </w:pPr>
      <w:r>
        <w:rPr>
          <w:b/>
          <w:bCs/>
        </w:rPr>
        <w:t xml:space="preserve">La sveglia che continua a suonare dopo che ti sei alzato.</w:t>
      </w:r>
    </w:p>
    <w:bookmarkEnd w:id="28"/>
    <w:bookmarkStart w:id="29" w:name="il-ginocchio-che-paga-per-i-vicini"/>
    <w:p>
      <w:pPr>
        <w:pStyle w:val="Heading3"/>
      </w:pPr>
      <w:r>
        <w:t xml:space="preserve">4. Il ginocchio che paga per i vicini</w:t>
      </w:r>
    </w:p>
    <w:p>
      <w:pPr>
        <w:pStyle w:val="FirstParagraph"/>
      </w:pPr>
      <w:r>
        <w:t xml:space="preserve">La sequenza:</w:t>
      </w:r>
    </w:p>
    <w:p>
      <w:pPr>
        <w:pStyle w:val="Compact"/>
        <w:numPr>
          <w:ilvl w:val="0"/>
          <w:numId w:val="1021"/>
        </w:numPr>
      </w:pPr>
      <w:r>
        <w:t xml:space="preserve">L’anca controlla poco la rotazione del femore sotto carico, oppure concede pochi gradi; la caviglia concede poca dorsiflessione in carico.</w:t>
      </w:r>
    </w:p>
    <w:p>
      <w:pPr>
        <w:pStyle w:val="Compact"/>
        <w:numPr>
          <w:ilvl w:val="0"/>
          <w:numId w:val="1021"/>
        </w:numPr>
      </w:pPr>
      <w:r>
        <w:t xml:space="preserve">Il ginocchio, che è in mezzo e non decide, lavora per migliaia di passi al giorno in una posizione che non sceglie.</w:t>
      </w:r>
    </w:p>
    <w:p>
      <w:pPr>
        <w:pStyle w:val="Compact"/>
        <w:numPr>
          <w:ilvl w:val="0"/>
          <w:numId w:val="1021"/>
        </w:numPr>
      </w:pPr>
      <w:r>
        <w:t xml:space="preserve">Il carico si concentra su una porzione dell’articolazione, e rientra nel primo meccanismo.</w:t>
      </w:r>
    </w:p>
    <w:p>
      <w:pPr>
        <w:pStyle w:val="FirstParagraph"/>
      </w:pPr>
      <w:r>
        <w:t xml:space="preserve">Qui è il punto in cui questa professione promette più di quanto abbia. La catena esiste ed è vera nei primi anelli, ma</w:t>
      </w:r>
      <w:r>
        <w:t xml:space="preserve"> </w:t>
      </w:r>
      <w:r>
        <w:rPr>
          <w:b/>
          <w:bCs/>
        </w:rPr>
        <w:t xml:space="preserve">non si trasmette rigidamente fino al ginocchio</w:t>
      </w:r>
      <w:r>
        <w:t xml:space="preserve">.</w:t>
      </w:r>
    </w:p>
    <w:p>
      <w:pPr>
        <w:pStyle w:val="BlockText"/>
      </w:pPr>
      <w:r>
        <w:rPr>
          <w:b/>
          <w:bCs/>
        </w:rPr>
        <w:t xml:space="preserve">Definizione.</w:t>
      </w:r>
      <w:r>
        <w:t xml:space="preserve"> </w:t>
      </w:r>
      <w:r>
        <w:t xml:space="preserve">Una</w:t>
      </w:r>
      <w:r>
        <w:t xml:space="preserve"> </w:t>
      </w:r>
      <w:r>
        <w:rPr>
          <w:b/>
          <w:bCs/>
        </w:rPr>
        <w:t xml:space="preserve">catena</w:t>
      </w:r>
      <w:r>
        <w:t xml:space="preserve"> </w:t>
      </w:r>
      <w:r>
        <w:t xml:space="preserve">è un insieme di strutture collegate che si influenzano a distanza, per continuità meccanica o per via nervosa. Spiega perché un problema in un punto può manifestarsi in un altro.</w:t>
      </w:r>
    </w:p>
    <w:p>
      <w:pPr>
        <w:pStyle w:val="BlockText"/>
      </w:pPr>
      <w:r>
        <w:rPr>
          <w:b/>
          <w:bCs/>
        </w:rPr>
        <w:t xml:space="preserve">Quanto è solido:</w:t>
      </w:r>
      <w:r>
        <w:t xml:space="preserve"> </w:t>
      </w:r>
      <w:r>
        <w:t xml:space="preserve">l’etichetta si spezza.</w:t>
      </w:r>
    </w:p>
    <w:p>
      <w:pPr>
        <w:pStyle w:val="BlockText"/>
      </w:pPr>
      <w:r>
        <w:rPr>
          <w:b/>
          <w:bCs/>
        </w:rPr>
        <w:t xml:space="preserve">PROBABILE</w:t>
      </w:r>
      <w:r>
        <w:t xml:space="preserve"> </w:t>
      </w:r>
      <w:r>
        <w:rPr>
          <w:i/>
          <w:iCs/>
        </w:rPr>
        <w:t xml:space="preserve">(razionale forte, prove parziali)</w:t>
      </w:r>
      <w:r>
        <w:t xml:space="preserve"> </w:t>
      </w:r>
      <w:r>
        <w:t xml:space="preserve">che il lavoro sull’anca migliori i sintomi del ginocchio. In 89 persone con artrosi mediale e ginocchio varo, dodici settimane di rinforzo d’anca hanno migliorato dolore, funzione e forza. Il</w:t>
      </w:r>
      <w:r>
        <w:t xml:space="preserve"> </w:t>
      </w:r>
      <w:r>
        <w:rPr>
          <w:b/>
          <w:bCs/>
        </w:rPr>
        <w:t xml:space="preserve">rischio relativo era di 20,0 (IC 95% da 6,21 a 64,47)</w:t>
      </w:r>
      <w:r>
        <w:t xml:space="preserve"> </w:t>
      </w:r>
      <w:r>
        <w:t xml:space="preserve">per il miglioramento</w:t>
      </w:r>
      <w:r>
        <w:t xml:space="preserve"> </w:t>
      </w:r>
      <w:r>
        <w:rPr>
          <w:i/>
          <w:iCs/>
        </w:rPr>
        <w:t xml:space="preserve">auto-percepito</w:t>
      </w:r>
      <w:r>
        <w:t xml:space="preserve">. Quell’intervallo è così largo da dire da solo quanto la stima è fragile. È un solo studio randomizzato, il confronto era con</w:t>
      </w:r>
      <w:r>
        <w:t xml:space="preserve"> </w:t>
      </w:r>
      <w:r>
        <w:rPr>
          <w:b/>
          <w:bCs/>
        </w:rPr>
        <w:t xml:space="preserve">nessun intervento</w:t>
      </w:r>
      <w:r>
        <w:t xml:space="preserve"> </w:t>
      </w:r>
      <w:r>
        <w:t xml:space="preserve">e senza cecità, quindi quel numero contiene per intero la quota contestuale (Bennell, 2010, PMID 20175973; rinforzo attivo, non terapia manuale — il salto è di</w:t>
      </w:r>
      <w:r>
        <w:t xml:space="preserve"> </w:t>
      </w:r>
      <w:r>
        <w:rPr>
          <w:b/>
          <w:bCs/>
        </w:rPr>
        <w:t xml:space="preserve">intervento</w:t>
      </w:r>
      <w:r>
        <w:t xml:space="preserve">).</w:t>
      </w:r>
    </w:p>
    <w:p>
      <w:pPr>
        <w:pStyle w:val="BlockText"/>
      </w:pPr>
      <w:r>
        <w:rPr>
          <w:b/>
          <w:bCs/>
        </w:rPr>
        <w:t xml:space="preserve">IPOTESI</w:t>
      </w:r>
      <w:r>
        <w:t xml:space="preserve"> </w:t>
      </w:r>
      <w:r>
        <w:rPr>
          <w:i/>
          <w:iCs/>
        </w:rPr>
        <w:t xml:space="preserve">(meccanismo coerente, nessuno studio)</w:t>
      </w:r>
      <w:r>
        <w:t xml:space="preserve"> </w:t>
      </w:r>
      <w:r>
        <w:t xml:space="preserve">che quel miglioramento avvenga scaricando il compartimento mediale, e qui con prove contrarie</w:t>
      </w:r>
      <w:r>
        <w:t xml:space="preserve"> </w:t>
      </w:r>
      <w:r>
        <w:rPr>
          <w:b/>
          <w:bCs/>
        </w:rPr>
        <w:t xml:space="preserve">nello stesso studio</w:t>
      </w:r>
      <w:r>
        <w:t xml:space="preserve">: il</w:t>
      </w:r>
      <w:r>
        <w:t xml:space="preserve"> </w:t>
      </w:r>
      <w:r>
        <w:rPr>
          <w:b/>
          <w:bCs/>
        </w:rPr>
        <w:t xml:space="preserve">momento adduttorio</w:t>
      </w:r>
      <w:r>
        <w:t xml:space="preserve"> </w:t>
      </w:r>
      <w:r>
        <w:t xml:space="preserve">— quanto carico passa dal compartimento interno durante il cammino — misurato da un valutatore cieco,</w:t>
      </w:r>
      <w:r>
        <w:t xml:space="preserve"> </w:t>
      </w:r>
      <w:r>
        <w:rPr>
          <w:b/>
          <w:bCs/>
        </w:rPr>
        <w:t xml:space="preserve">non è cambiato</w:t>
      </w:r>
      <w:r>
        <w:t xml:space="preserve">.</w:t>
      </w:r>
    </w:p>
    <w:p>
      <w:pPr>
        <w:pStyle w:val="BlockText"/>
      </w:pPr>
      <w:r>
        <w:t xml:space="preserve">Sull’anello caviglia esiste una prova prospettica, e viene dallo sport.</w:t>
      </w:r>
      <w:r>
        <w:t xml:space="preserve"> </w:t>
      </w:r>
      <w:r>
        <w:rPr>
          <w:b/>
          <w:bCs/>
        </w:rPr>
        <w:t xml:space="preserve">PROBABILE</w:t>
      </w:r>
      <w:r>
        <w:t xml:space="preserve"> </w:t>
      </w:r>
      <w:r>
        <w:rPr>
          <w:i/>
          <w:iCs/>
        </w:rPr>
        <w:t xml:space="preserve">(razionale forte, prove parziali)</w:t>
      </w:r>
      <w:r>
        <w:t xml:space="preserve"> </w:t>
      </w:r>
      <w:r>
        <w:t xml:space="preserve">che una dorsiflessione ridotta preceda una patologia da carico del ginocchio: in 75 cestisti d’élite juniores seguiti un anno, i 12 che hanno sviluppato una tendinopatia rotulea avevano al reclutamento una dorsiflessione più bassa. La differenza era di 4,7 e 5,1 gradi (p = 0,038 e p = 0,024). Sotto i 36,5 gradi il rischio a un anno era del 18,5-29,4%, contro l’1,8-2,1% sopra (Backman e Danielson, 2011, PMID 21917610; misurato su cestisti d’élite juniores e sulla tendinopatia rotulea, non su pazienti di mezza età con artrosi — i salti sono di</w:t>
      </w:r>
      <w:r>
        <w:t xml:space="preserve"> </w:t>
      </w:r>
      <w:r>
        <w:rPr>
          <w:b/>
          <w:bCs/>
        </w:rPr>
        <w:t xml:space="preserve">popolazione</w:t>
      </w:r>
      <w:r>
        <w:t xml:space="preserve"> </w:t>
      </w:r>
      <w:r>
        <w:t xml:space="preserve">e di</w:t>
      </w:r>
      <w:r>
        <w:t xml:space="preserve"> </w:t>
      </w:r>
      <w:r>
        <w:rPr>
          <w:b/>
          <w:bCs/>
        </w:rPr>
        <w:t xml:space="preserve">condizione</w:t>
      </w:r>
      <w:r>
        <w:t xml:space="preserve">, ed è una coorte, non un esperimento).</w:t>
      </w:r>
    </w:p>
    <w:p>
      <w:pPr>
        <w:pStyle w:val="BlockText"/>
      </w:pPr>
      <w:r>
        <w:rPr>
          <w:b/>
          <w:bCs/>
        </w:rPr>
        <w:t xml:space="preserve">IPOTESI</w:t>
      </w:r>
      <w:r>
        <w:t xml:space="preserve"> </w:t>
      </w:r>
      <w:r>
        <w:rPr>
          <w:i/>
          <w:iCs/>
        </w:rPr>
        <w:t xml:space="preserve">(meccanismo coerente, nessuno studio)</w:t>
      </w:r>
      <w:r>
        <w:t xml:space="preserve"> </w:t>
      </w:r>
      <w:r>
        <w:t xml:space="preserve">che guadagnare quei gradi con le mani cambi il sintomo.</w:t>
      </w:r>
    </w:p>
    <w:p>
      <w:pPr>
        <w:pStyle w:val="FirstParagraph"/>
      </w:pPr>
      <w:r>
        <w:rPr>
          <w:b/>
          <w:bCs/>
        </w:rPr>
        <w:t xml:space="preserve">Come si vede addosso al paziente.</w:t>
      </w:r>
      <w:r>
        <w:t xml:space="preserve"> </w:t>
      </w:r>
      <w:r>
        <w:t xml:space="preserve">Il ginocchio va verso l’interno quando scende un gradino su una gamba sola. Mancano gradi di dorsiflessione in carico rispetto all’altro lato, e l’anca è rigida in rotazione.</w:t>
      </w:r>
    </w:p>
    <w:p>
      <w:pPr>
        <w:pStyle w:val="BodyText"/>
      </w:pPr>
      <w:r>
        <w:rPr>
          <w:b/>
          <w:bCs/>
        </w:rPr>
        <w:t xml:space="preserve">La porta che sfrega sul pavimento: il problema non è la porta, sono i cardini.</w:t>
      </w:r>
    </w:p>
    <w:bookmarkEnd w:id="29"/>
    <w:bookmarkStart w:id="30" w:name="il-dolore-che-non-è-del-ginocchio"/>
    <w:p>
      <w:pPr>
        <w:pStyle w:val="Heading3"/>
      </w:pPr>
      <w:r>
        <w:t xml:space="preserve">5. Il dolore che non è del ginocchio</w:t>
      </w:r>
    </w:p>
    <w:p>
      <w:pPr>
        <w:pStyle w:val="FirstParagraph"/>
      </w:pPr>
      <w:r>
        <w:t xml:space="preserve">La sequenza:</w:t>
      </w:r>
    </w:p>
    <w:p>
      <w:pPr>
        <w:pStyle w:val="Compact"/>
        <w:numPr>
          <w:ilvl w:val="0"/>
          <w:numId w:val="1022"/>
        </w:numPr>
      </w:pPr>
      <w:r>
        <w:t xml:space="preserve">Una sorgente che condivide con il ginocchio i segmenti</w:t>
      </w:r>
      <w:r>
        <w:t xml:space="preserve"> </w:t>
      </w:r>
      <w:r>
        <w:rPr>
          <w:b/>
          <w:bCs/>
        </w:rPr>
        <w:t xml:space="preserve">L2-L4</w:t>
      </w:r>
      <w:r>
        <w:t xml:space="preserve"> </w:t>
      </w:r>
      <w:r>
        <w:t xml:space="preserve">produce un segnale nocicettivo. Può essere un’anca artrosica o un’epifisiolisi.</w:t>
      </w:r>
    </w:p>
    <w:p>
      <w:pPr>
        <w:pStyle w:val="Compact"/>
        <w:numPr>
          <w:ilvl w:val="0"/>
          <w:numId w:val="1022"/>
        </w:numPr>
      </w:pPr>
      <w:r>
        <w:t xml:space="preserve">Quel segnale converge nel corno posteriore sugli stessi neuroni che ricevono dal ginocchio, e il midollo non ha modo di distinguerli.</w:t>
      </w:r>
    </w:p>
    <w:p>
      <w:pPr>
        <w:pStyle w:val="Compact"/>
        <w:numPr>
          <w:ilvl w:val="0"/>
          <w:numId w:val="1022"/>
        </w:numPr>
      </w:pPr>
      <w:r>
        <w:t xml:space="preserve">Il paziente indica il ginocchio, in buona fede.</w:t>
      </w:r>
    </w:p>
    <w:p>
      <w:pPr>
        <w:pStyle w:val="Compact"/>
        <w:numPr>
          <w:ilvl w:val="0"/>
          <w:numId w:val="1022"/>
        </w:numPr>
      </w:pPr>
      <w:r>
        <w:t xml:space="preserve">Chi guarda solo il ginocchio non trova niente che spieghi. Oppure trova un reperto qualsiasi e lo elegge a causa.</w:t>
      </w:r>
    </w:p>
    <w:p>
      <w:pPr>
        <w:pStyle w:val="FirstParagraph"/>
      </w:pPr>
      <w:r>
        <w:rPr>
          <w:b/>
          <w:bCs/>
        </w:rPr>
        <w:t xml:space="preserve">Una radice lombare irritata è un’altra cosa.</w:t>
      </w:r>
      <w:r>
        <w:t xml:space="preserve"> </w:t>
      </w:r>
      <w:r>
        <w:t xml:space="preserve">Lì il dolore non nasce dalla convergenza ma dalla radice: segue un territorio, cambia con la posizione della schiena e può portare segni neurologici. Va cercata, perché una radicolopatia L3-L4 si presenta proprio come dolore alla coscia anteriore e al ginocchio.</w:t>
      </w:r>
    </w:p>
    <w:p>
      <w:pPr>
        <w:pStyle w:val="BlockText"/>
      </w:pPr>
      <w:r>
        <w:rPr>
          <w:b/>
          <w:bCs/>
        </w:rPr>
        <w:t xml:space="preserve">Quanto è solido:</w:t>
      </w:r>
      <w:r>
        <w:t xml:space="preserve"> </w:t>
      </w:r>
      <w:r>
        <w:rPr>
          <w:b/>
          <w:bCs/>
        </w:rPr>
        <w:t xml:space="preserve">PROBABILE</w:t>
      </w:r>
      <w:r>
        <w:t xml:space="preserve"> </w:t>
      </w:r>
      <w:r>
        <w:rPr>
          <w:i/>
          <w:iCs/>
        </w:rPr>
        <w:t xml:space="preserve">(razionale forte, prove parziali)</w:t>
      </w:r>
      <w:r>
        <w:t xml:space="preserve"> </w:t>
      </w:r>
      <w:r>
        <w:t xml:space="preserve">per la frequenza. In una coorte retrospettiva monocentrica di livello III, 137 casi su 1.000 primi accessi ambulatoriali per dolore al ginocchio avevano come sorgente l’</w:t>
      </w:r>
      <w:r>
        <w:rPr>
          <w:b/>
          <w:bCs/>
        </w:rPr>
        <w:t xml:space="preserve">anca o il rachide</w:t>
      </w:r>
      <w:r>
        <w:t xml:space="preserve">. Il limite è che il «dolore riferito» è stato definito a posteriori dalla risposta al trattamento di quella sede, non da uno standard indipendente (Cornelis, 2025, PMID 41245703; misurato in un ambulatorio di chirurgia del ginocchio — il salto è di</w:t>
      </w:r>
      <w:r>
        <w:t xml:space="preserve"> </w:t>
      </w:r>
      <w:r>
        <w:rPr>
          <w:b/>
          <w:bCs/>
        </w:rPr>
        <w:t xml:space="preserve">popolazione</w:t>
      </w:r>
      <w:r>
        <w:t xml:space="preserve">).</w:t>
      </w:r>
    </w:p>
    <w:p>
      <w:pPr>
        <w:pStyle w:val="BlockText"/>
      </w:pPr>
      <w:r>
        <w:rPr>
          <w:b/>
          <w:bCs/>
        </w:rPr>
        <w:t xml:space="preserve">DIMOSTRATO</w:t>
      </w:r>
      <w:r>
        <w:t xml:space="preserve"> </w:t>
      </w:r>
      <w:r>
        <w:rPr>
          <w:i/>
          <w:iCs/>
        </w:rPr>
        <w:t xml:space="preserve">(studi sull’uomo, solidi)</w:t>
      </w:r>
      <w:r>
        <w:t xml:space="preserve"> </w:t>
      </w:r>
      <w:r>
        <w:t xml:space="preserve">che nell’adolescente</w:t>
      </w:r>
      <w:r>
        <w:t xml:space="preserve"> </w:t>
      </w:r>
      <w:r>
        <w:rPr>
          <w:b/>
          <w:bCs/>
        </w:rPr>
        <w:t xml:space="preserve">16 casi su 106 (15%)</w:t>
      </w:r>
      <w:r>
        <w:t xml:space="preserve"> </w:t>
      </w:r>
      <w:r>
        <w:t xml:space="preserve">di epifisiolisi della testa del femore esordiscano con dolore alla coscia distale o al ginocchio (Matava, 1999, PMID 10412993).</w:t>
      </w:r>
    </w:p>
    <w:p>
      <w:pPr>
        <w:pStyle w:val="FirstParagraph"/>
      </w:pPr>
      <w:r>
        <w:rPr>
          <w:b/>
          <w:bCs/>
        </w:rPr>
        <w:t xml:space="preserve">Come si vede addosso al paziente.</w:t>
      </w:r>
      <w:r>
        <w:t xml:space="preserve"> </w:t>
      </w:r>
      <w:r>
        <w:t xml:space="preserve">Nessuna manovra sul ginocchio cambia il dolore: l’esame locale è muto e il paziente ha male comunque. La rotazione interna dell’anca è ridotta o dolorosa. Nell’adolescente: zoppia, rotazione esterna dell’arto, dolore che dura da settimane senza trauma.</w:t>
      </w:r>
    </w:p>
    <w:p>
      <w:pPr>
        <w:pStyle w:val="BodyText"/>
      </w:pPr>
      <w:r>
        <w:rPr>
          <w:b/>
          <w:bCs/>
        </w:rPr>
        <w:t xml:space="preserve">La bolletta che arriva a un indirizzo sbagliato: il consumo è in un’altra casa.</w:t>
      </w:r>
    </w:p>
    <w:p>
      <w:pPr>
        <w:pStyle w:val="BodyText"/>
      </w:pPr>
      <w:r>
        <w:rPr>
          <w:b/>
          <w:bCs/>
        </w:rPr>
        <w:t xml:space="preserve">Le tre cose da ricordare, più una</w:t>
      </w:r>
    </w:p>
    <w:p>
      <w:pPr>
        <w:pStyle w:val="Compact"/>
        <w:numPr>
          <w:ilvl w:val="0"/>
          <w:numId w:val="1023"/>
        </w:numPr>
      </w:pPr>
      <w:r>
        <w:t xml:space="preserve">Il segnale nasce da osso, sinovia, capsula e grasso anteriore. La struttura di cui parla il referto non ne produce nessuno.</w:t>
      </w:r>
    </w:p>
    <w:p>
      <w:pPr>
        <w:pStyle w:val="Compact"/>
        <w:numPr>
          <w:ilvl w:val="0"/>
          <w:numId w:val="1023"/>
        </w:numPr>
      </w:pPr>
      <w:r>
        <w:t xml:space="preserve">Il freno si scarica per due vie, e togliere il dolore ne ripara solo una. L’altra non si sblocca a comando, e il carico ripetuto è quello che costruisce forza e tolleranza.</w:t>
      </w:r>
    </w:p>
    <w:p>
      <w:pPr>
        <w:pStyle w:val="Compact"/>
        <w:numPr>
          <w:ilvl w:val="0"/>
          <w:numId w:val="1023"/>
        </w:numPr>
      </w:pPr>
      <w:r>
        <w:t xml:space="preserve">Il quinto meccanismo non è raro, ed è l’unico che si esclude prima di toccare qualcosa, non dopo.</w:t>
      </w:r>
    </w:p>
    <w:p>
      <w:pPr>
        <w:pStyle w:val="Compact"/>
        <w:numPr>
          <w:ilvl w:val="0"/>
          <w:numId w:val="1023"/>
        </w:numPr>
      </w:pPr>
      <w:r>
        <w:rPr>
          <w:b/>
          <w:bCs/>
        </w:rPr>
        <w:t xml:space="preserve">Perché ci sei tu.</w:t>
      </w:r>
      <w:r>
        <w:t xml:space="preserve"> </w:t>
      </w:r>
      <w:r>
        <w:t xml:space="preserve">Quasi</w:t>
      </w:r>
      <w:r>
        <w:t xml:space="preserve"> </w:t>
      </w:r>
      <w:r>
        <w:rPr>
          <w:b/>
          <w:bCs/>
        </w:rPr>
        <w:t xml:space="preserve">12 persone su cento</w:t>
      </w:r>
      <w:r>
        <w:t xml:space="preserve"> </w:t>
      </w:r>
      <w:r>
        <w:t xml:space="preserve">hanno avuto un episodio in cui il ginocchio ha ceduto negli ultimi tre mesi. Il cedimento è associato in modo indipendente al dolore e alla</w:t>
      </w:r>
      <w:r>
        <w:t xml:space="preserve"> </w:t>
      </w:r>
      <w:r>
        <w:rPr>
          <w:b/>
          <w:bCs/>
        </w:rPr>
        <w:t xml:space="preserve">debolezza del quadricipite</w:t>
      </w:r>
      <w:r>
        <w:t xml:space="preserve">. E</w:t>
      </w:r>
      <w:r>
        <w:t xml:space="preserve"> </w:t>
      </w:r>
      <w:r>
        <w:rPr>
          <w:b/>
          <w:bCs/>
        </w:rPr>
        <w:t xml:space="preserve">oltre la metà di chi lo riferiva non aveva artrosi sulla radiografia</w:t>
      </w:r>
      <w:r>
        <w:t xml:space="preserve"> </w:t>
      </w:r>
      <w:r>
        <w:t xml:space="preserve">(Felson, 2007, PMID 17938391; studio trasversale su 2.351 partecipanti, e gli autori dichiarano che il disegno non permette conclusioni causali).</w:t>
      </w:r>
      <w:r>
        <w:t xml:space="preserve"> </w:t>
      </w:r>
      <w:r>
        <w:rPr>
          <w:b/>
          <w:bCs/>
        </w:rPr>
        <w:t xml:space="preserve">Per te:</w:t>
      </w:r>
      <w:r>
        <w:t xml:space="preserve"> </w:t>
      </w:r>
      <w:r>
        <w:t xml:space="preserve">quando dice</w:t>
      </w:r>
      <w:r>
        <w:t xml:space="preserve"> </w:t>
      </w:r>
      <w:r>
        <w:rPr>
          <w:i/>
          <w:iCs/>
        </w:rPr>
        <w:t xml:space="preserve">«ogni tanto molla»</w:t>
      </w:r>
      <w:r>
        <w:t xml:space="preserve"> </w:t>
      </w:r>
      <w:r>
        <w:t xml:space="preserve">non stai ascoltando né una lesione legamentosa né un’ansia. È un segno da raccogliere, documentare e testare. Non ti autorizza a dedurre da qui che allenare il quadricipite riduca i cedimenti, né a chiamarla instabilità: quella la stabilisce chi esamina legamenti e immagini.</w:t>
      </w:r>
    </w:p>
    <w:p>
      <w:r>
        <w:pict>
          <v:rect style="width:0;height:1.5pt" o:hralign="center" o:hrstd="t" o:hr="t"/>
        </w:pict>
      </w:r>
    </w:p>
    <w:bookmarkEnd w:id="30"/>
    <w:bookmarkEnd w:id="31"/>
    <w:bookmarkStart w:id="32" w:name="X73cfc9b44780cb1d9f2357b3490cfca0ad098e4"/>
    <w:p>
      <w:pPr>
        <w:pStyle w:val="Heading2"/>
      </w:pPr>
      <w:r>
        <w:t xml:space="preserve">Capitolo 6 — Non è una condizione sola: i pattern</w:t>
      </w:r>
    </w:p>
    <w:p>
      <w:pPr>
        <w:pStyle w:val="BlockText"/>
      </w:pPr>
      <w:r>
        <w:rPr>
          <w:b/>
          <w:bCs/>
        </w:rPr>
        <w:t xml:space="preserve">In una riga:</w:t>
      </w:r>
      <w:r>
        <w:t xml:space="preserve"> </w:t>
      </w:r>
      <w:r>
        <w:t xml:space="preserve">nove pattern. Due non si trattano e si mandano, uno si inquadra prima di decidere, e il primo atto clinico è decidere quale hai davanti.</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Pattern</w:t>
            </w:r>
          </w:p>
        </w:tc>
        <w:tc>
          <w:tcPr/>
          <w:p>
            <w:pPr>
              <w:pStyle w:val="Compact"/>
            </w:pPr>
            <w:r>
              <w:t xml:space="preserve">Segnale che lo riconosce</w:t>
            </w:r>
          </w:p>
        </w:tc>
        <w:tc>
          <w:tcPr/>
          <w:p>
            <w:pPr>
              <w:pStyle w:val="Compact"/>
            </w:pPr>
            <w:r>
              <w:t xml:space="preserve">Meccanismo che comanda</w:t>
            </w:r>
          </w:p>
        </w:tc>
        <w:tc>
          <w:tcPr/>
          <w:p>
            <w:pPr>
              <w:pStyle w:val="Compact"/>
            </w:pPr>
            <w:r>
              <w:t xml:space="preserve">Quanto puoi fare</w:t>
            </w:r>
          </w:p>
        </w:tc>
      </w:tr>
      <w:tr>
        <w:tc>
          <w:tcPr/>
          <w:p>
            <w:pPr>
              <w:pStyle w:val="Compact"/>
            </w:pPr>
            <w:r>
              <w:t xml:space="preserve">Femoro-rotuleo</w:t>
            </w:r>
          </w:p>
        </w:tc>
        <w:tc>
          <w:tcPr/>
          <w:p>
            <w:pPr>
              <w:pStyle w:val="Compact"/>
            </w:pPr>
            <w:r>
              <w:t xml:space="preserve">Dolore anteriore, scale, seduta lunga</w:t>
            </w:r>
          </w:p>
        </w:tc>
        <w:tc>
          <w:tcPr/>
          <w:p>
            <w:pPr>
              <w:pStyle w:val="Compact"/>
            </w:pPr>
            <w:r>
              <w:t xml:space="preserve">Carico concentrato, freno scarico</w:t>
            </w:r>
          </w:p>
        </w:tc>
        <w:tc>
          <w:tcPr/>
          <w:p>
            <w:pPr>
              <w:pStyle w:val="Compact"/>
            </w:pPr>
            <w:r>
              <w:t xml:space="preserve">Abbastanza</w:t>
            </w:r>
          </w:p>
        </w:tc>
      </w:tr>
      <w:tr>
        <w:tc>
          <w:tcPr/>
          <w:p>
            <w:pPr>
              <w:pStyle w:val="Compact"/>
            </w:pPr>
            <w:r>
              <w:t xml:space="preserve">Artrosico da carico</w:t>
            </w:r>
          </w:p>
        </w:tc>
        <w:tc>
          <w:tcPr/>
          <w:p>
            <w:pPr>
              <w:pStyle w:val="Compact"/>
            </w:pPr>
            <w:r>
              <w:t xml:space="preserve">Over 45, rigidità breve, crepitio</w:t>
            </w:r>
          </w:p>
        </w:tc>
        <w:tc>
          <w:tcPr/>
          <w:p>
            <w:pPr>
              <w:pStyle w:val="Compact"/>
            </w:pPr>
            <w:r>
              <w:t xml:space="preserve">Carico concentrato</w:t>
            </w:r>
          </w:p>
        </w:tc>
        <w:tc>
          <w:tcPr/>
          <w:p>
            <w:pPr>
              <w:pStyle w:val="Compact"/>
            </w:pPr>
            <w:r>
              <w:t xml:space="preserve">Abbastanza</w:t>
            </w:r>
          </w:p>
        </w:tc>
      </w:tr>
      <w:tr>
        <w:tc>
          <w:tcPr/>
          <w:p>
            <w:pPr>
              <w:pStyle w:val="Compact"/>
            </w:pPr>
            <w:r>
              <w:t xml:space="preserve">Meniscale degenerativo</w:t>
            </w:r>
          </w:p>
        </w:tc>
        <w:tc>
          <w:tcPr/>
          <w:p>
            <w:pPr>
              <w:pStyle w:val="Compact"/>
            </w:pPr>
            <w:r>
              <w:t xml:space="preserve">Mezza età, dolore mediale, scatto che non blocca</w:t>
            </w:r>
          </w:p>
        </w:tc>
        <w:tc>
          <w:tcPr/>
          <w:p>
            <w:pPr>
              <w:pStyle w:val="Compact"/>
            </w:pPr>
            <w:r>
              <w:t xml:space="preserve">Carico concentrato, soglia</w:t>
            </w:r>
          </w:p>
        </w:tc>
        <w:tc>
          <w:tcPr/>
          <w:p>
            <w:pPr>
              <w:pStyle w:val="Compact"/>
            </w:pPr>
            <w:r>
              <w:t xml:space="preserve">Abbastanza</w:t>
            </w:r>
          </w:p>
        </w:tc>
      </w:tr>
      <w:tr>
        <w:tc>
          <w:tcPr/>
          <w:p>
            <w:pPr>
              <w:pStyle w:val="Compact"/>
            </w:pPr>
            <w:r>
              <w:t xml:space="preserve">Extra-articolare, tendineo</w:t>
            </w:r>
          </w:p>
        </w:tc>
        <w:tc>
          <w:tcPr/>
          <w:p>
            <w:pPr>
              <w:pStyle w:val="Compact"/>
            </w:pPr>
            <w:r>
              <w:t xml:space="preserve">Dolorabilità focale fuori dall’articolazione</w:t>
            </w:r>
          </w:p>
        </w:tc>
        <w:tc>
          <w:tcPr/>
          <w:p>
            <w:pPr>
              <w:pStyle w:val="Compact"/>
            </w:pPr>
            <w:r>
              <w:t xml:space="preserve">Fuori dai cinque: tolleranza al carico del tendine</w:t>
            </w:r>
          </w:p>
        </w:tc>
        <w:tc>
          <w:tcPr/>
          <w:p>
            <w:pPr>
              <w:pStyle w:val="Compact"/>
            </w:pPr>
            <w:r>
              <w:t xml:space="preserve">Molto</w:t>
            </w:r>
          </w:p>
        </w:tc>
      </w:tr>
      <w:tr>
        <w:tc>
          <w:tcPr/>
          <w:p>
            <w:pPr>
              <w:pStyle w:val="Compact"/>
            </w:pPr>
            <w:r>
              <w:t xml:space="preserve">Vicini che comandano</w:t>
            </w:r>
          </w:p>
        </w:tc>
        <w:tc>
          <w:tcPr/>
          <w:p>
            <w:pPr>
              <w:pStyle w:val="Compact"/>
            </w:pPr>
            <w:r>
              <w:t xml:space="preserve">Anca o caviglia limitate</w:t>
            </w:r>
          </w:p>
        </w:tc>
        <w:tc>
          <w:tcPr/>
          <w:p>
            <w:pPr>
              <w:pStyle w:val="Compact"/>
            </w:pPr>
            <w:r>
              <w:t xml:space="preserve">Il ginocchio paga per i vicini</w:t>
            </w:r>
          </w:p>
        </w:tc>
        <w:tc>
          <w:tcPr/>
          <w:p>
            <w:pPr>
              <w:pStyle w:val="Compact"/>
            </w:pPr>
            <w:r>
              <w:t xml:space="preserve">Abbastanza</w:t>
            </w:r>
          </w:p>
        </w:tc>
      </w:tr>
      <w:tr>
        <w:tc>
          <w:tcPr/>
          <w:p>
            <w:pPr>
              <w:pStyle w:val="Compact"/>
            </w:pPr>
            <w:r>
              <w:t xml:space="preserve">Ginocchio sensibilizzato</w:t>
            </w:r>
          </w:p>
        </w:tc>
        <w:tc>
          <w:tcPr/>
          <w:p>
            <w:pPr>
              <w:pStyle w:val="Compact"/>
            </w:pPr>
            <w:r>
              <w:t xml:space="preserve">Dolore allargato, notturno, sproporzionato</w:t>
            </w:r>
          </w:p>
        </w:tc>
        <w:tc>
          <w:tcPr/>
          <w:p>
            <w:pPr>
              <w:pStyle w:val="Compact"/>
            </w:pPr>
            <w:r>
              <w:t xml:space="preserve">La soglia che si abbassa</w:t>
            </w:r>
          </w:p>
        </w:tc>
        <w:tc>
          <w:tcPr/>
          <w:p>
            <w:pPr>
              <w:pStyle w:val="Compact"/>
            </w:pPr>
            <w:r>
              <w:t xml:space="preserve">Abbastanza, ma altrove</w:t>
            </w:r>
          </w:p>
        </w:tc>
      </w:tr>
      <w:tr>
        <w:tc>
          <w:tcPr/>
          <w:p>
            <w:pPr>
              <w:pStyle w:val="Compact"/>
            </w:pPr>
            <w:r>
              <w:t xml:space="preserve">Ginocchio irritabile</w:t>
            </w:r>
          </w:p>
        </w:tc>
        <w:tc>
          <w:tcPr/>
          <w:p>
            <w:pPr>
              <w:pStyle w:val="Compact"/>
            </w:pPr>
            <w:r>
              <w:t xml:space="preserve">Gonfiore ricorrente, calore, escursione persa</w:t>
            </w:r>
          </w:p>
        </w:tc>
        <w:tc>
          <w:tcPr/>
          <w:p>
            <w:pPr>
              <w:pStyle w:val="Compact"/>
            </w:pPr>
            <w:r>
              <w:t xml:space="preserve">Dentro i meccanismi 1 e 2</w:t>
            </w:r>
          </w:p>
        </w:tc>
        <w:tc>
          <w:tcPr/>
          <w:p>
            <w:pPr>
              <w:pStyle w:val="Compact"/>
            </w:pPr>
            <w:r>
              <w:t xml:space="preserve">Poco sul ginocchio</w:t>
            </w:r>
          </w:p>
        </w:tc>
      </w:tr>
      <w:tr>
        <w:tc>
          <w:tcPr/>
          <w:p>
            <w:pPr>
              <w:pStyle w:val="Compact"/>
            </w:pPr>
            <w:r>
              <w:t xml:space="preserve">Ginocchio protesizzato</w:t>
            </w:r>
          </w:p>
        </w:tc>
        <w:tc>
          <w:tcPr/>
          <w:p>
            <w:pPr>
              <w:pStyle w:val="Compact"/>
            </w:pPr>
            <w:r>
              <w:t xml:space="preserve">Dolore dopo una protesi</w:t>
            </w:r>
          </w:p>
        </w:tc>
        <w:tc>
          <w:tcPr/>
          <w:p>
            <w:pPr>
              <w:pStyle w:val="Compact"/>
            </w:pPr>
            <w:r>
              <w:t xml:space="preserve">Fuori da questi cinque</w:t>
            </w:r>
          </w:p>
        </w:tc>
        <w:tc>
          <w:tcPr/>
          <w:p>
            <w:pPr>
              <w:pStyle w:val="Compact"/>
            </w:pPr>
            <w:r>
              <w:t xml:space="preserve">Niente: si rinvia</w:t>
            </w:r>
          </w:p>
        </w:tc>
      </w:tr>
      <w:tr>
        <w:tc>
          <w:tcPr/>
          <w:p>
            <w:pPr>
              <w:pStyle w:val="Compact"/>
            </w:pPr>
            <w:r>
              <w:t xml:space="preserve">Dolore riferito</w:t>
            </w:r>
          </w:p>
        </w:tc>
        <w:tc>
          <w:tcPr/>
          <w:p>
            <w:pPr>
              <w:pStyle w:val="Compact"/>
            </w:pPr>
            <w:r>
              <w:t xml:space="preserve">Esame del ginocchio muto</w:t>
            </w:r>
          </w:p>
        </w:tc>
        <w:tc>
          <w:tcPr/>
          <w:p>
            <w:pPr>
              <w:pStyle w:val="Compact"/>
            </w:pPr>
            <w:r>
              <w:t xml:space="preserve">Dolore che non è del ginocchio</w:t>
            </w:r>
          </w:p>
        </w:tc>
        <w:tc>
          <w:tcPr/>
          <w:p>
            <w:pPr>
              <w:pStyle w:val="Compact"/>
            </w:pPr>
            <w:r>
              <w:t xml:space="preserve">Niente: si manda</w:t>
            </w:r>
          </w:p>
        </w:tc>
      </w:tr>
    </w:tbl>
    <w:p>
      <w:pPr>
        <w:pStyle w:val="BlockText"/>
      </w:pPr>
      <w:r>
        <w:rPr>
          <w:b/>
          <w:bCs/>
        </w:rPr>
        <w:t xml:space="preserve">Quanto è solido:</w:t>
      </w:r>
      <w:r>
        <w:t xml:space="preserve"> </w:t>
      </w:r>
      <w:r>
        <w:rPr>
          <w:b/>
          <w:bCs/>
        </w:rPr>
        <w:t xml:space="preserve">RAGIONAMENTO</w:t>
      </w:r>
      <w:r>
        <w:t xml:space="preserve"> </w:t>
      </w:r>
      <w:r>
        <w:rPr>
          <w:i/>
          <w:iCs/>
        </w:rPr>
        <w:t xml:space="preserve">(cornice clinica, non una prova)</w:t>
      </w:r>
      <w:r>
        <w:t xml:space="preserve"> </w:t>
      </w:r>
      <w:r>
        <w:t xml:space="preserve">per la colonna «Meccanismo che comanda». È l’ipotesi di partenza del pattern, non un fatto misurato sul singolo paziente.</w:t>
      </w:r>
    </w:p>
    <w:p>
      <w:pPr>
        <w:pStyle w:val="FirstParagraph"/>
      </w:pPr>
      <w:r>
        <w:rPr>
          <w:b/>
          <w:bCs/>
        </w:rPr>
        <w:t xml:space="preserve">Femoro-rotuleo.</w:t>
      </w:r>
      <w:r>
        <w:t xml:space="preserve"> </w:t>
      </w:r>
      <w:r>
        <w:t xml:space="preserve">È il pattern del giovane e dell’adulto attivo, e la prognosi non è benigna (Lankhorst, 2016, PMID 26463119, con il limite dichiarato in «Che cos’è davvero»).</w:t>
      </w:r>
    </w:p>
    <w:p>
      <w:pPr>
        <w:pStyle w:val="BodyText"/>
      </w:pPr>
      <w:r>
        <w:rPr>
          <w:b/>
          <w:bCs/>
        </w:rPr>
        <w:t xml:space="preserve">Artrosico da carico.</w:t>
      </w:r>
      <w:r>
        <w:t xml:space="preserve"> </w:t>
      </w:r>
      <w:r>
        <w:t xml:space="preserve">Con una diagnosi di artrosi già formulata, il documento è la</w:t>
      </w:r>
      <w:r>
        <w:t xml:space="preserve"> </w:t>
      </w:r>
      <w:r>
        <w:rPr>
          <w:b/>
          <w:bCs/>
        </w:rPr>
        <w:t xml:space="preserve">Bibbia dell’Artrosi</w:t>
      </w:r>
      <w:r>
        <w:t xml:space="preserve">.</w:t>
      </w:r>
    </w:p>
    <w:p>
      <w:pPr>
        <w:pStyle w:val="BodyText"/>
      </w:pPr>
      <w:r>
        <w:rPr>
          <w:b/>
          <w:bCs/>
        </w:rPr>
        <w:t xml:space="preserve">Meniscale degenerativo.</w:t>
      </w:r>
      <w:r>
        <w:t xml:space="preserve"> </w:t>
      </w:r>
      <w:r>
        <w:t xml:space="preserve">Arriva con il referto di risonanza in mano, e quello che conta sta nel capitolo sulla scienza: cambia la conversazione.</w:t>
      </w:r>
    </w:p>
    <w:p>
      <w:pPr>
        <w:pStyle w:val="BodyText"/>
      </w:pPr>
      <w:r>
        <w:rPr>
          <w:b/>
          <w:bCs/>
        </w:rPr>
        <w:t xml:space="preserve">Extra-articolare, tendineo.</w:t>
      </w:r>
      <w:r>
        <w:t xml:space="preserve"> </w:t>
      </w:r>
      <w:r>
        <w:t xml:space="preserve">Il punto dolente tu e il paziente lo ritrovate allo stesso millimetro. Il dolore</w:t>
      </w:r>
      <w:r>
        <w:t xml:space="preserve"> </w:t>
      </w:r>
      <w:r>
        <w:rPr>
          <w:i/>
          <w:iCs/>
        </w:rPr>
        <w:t xml:space="preserve">si scalda</w:t>
      </w:r>
      <w:r>
        <w:t xml:space="preserve"> </w:t>
      </w:r>
      <w:r>
        <w:t xml:space="preserve">con l’attività e torna a freddo. L’esame articolare è negativo e non c’è versamento. Il meccanismo che comanda non è il carico dentro l’articolazione: è la tolleranza al carico di un tendine. Il falso positivo classico è la</w:t>
      </w:r>
      <w:r>
        <w:t xml:space="preserve"> </w:t>
      </w:r>
      <w:r>
        <w:rPr>
          <w:b/>
          <w:bCs/>
        </w:rPr>
        <w:t xml:space="preserve">zampa d’oca</w:t>
      </w:r>
      <w:r>
        <w:t xml:space="preserve"> </w:t>
      </w:r>
      <w:r>
        <w:t xml:space="preserve">— donna sopra i cinquanta, dolore mediale quattro dita sotto l’interlinea — che finisce nel pattern artrosico e viene trattata come un’articolazione. È il gruppo che risponde meglio e più in fretta alle mani, ed è un’attesa clinica, non un dato misurato.</w:t>
      </w:r>
    </w:p>
    <w:p>
      <w:pPr>
        <w:pStyle w:val="BodyText"/>
      </w:pPr>
      <w:r>
        <w:rPr>
          <w:b/>
          <w:bCs/>
        </w:rPr>
        <w:t xml:space="preserve">Vicini che comandano.</w:t>
      </w:r>
      <w:r>
        <w:t xml:space="preserve"> </w:t>
      </w:r>
      <w:r>
        <w:t xml:space="preserve">Il segno che li porta a galla è il ginocchio che collassa verso l’interno nello step-down. Con una deviazione in valgo marcata e stabile, il documento è la</w:t>
      </w:r>
      <w:r>
        <w:t xml:space="preserve"> </w:t>
      </w:r>
      <w:r>
        <w:rPr>
          <w:b/>
          <w:bCs/>
        </w:rPr>
        <w:t xml:space="preserve">Bibbia del Valgismo</w:t>
      </w:r>
      <w:r>
        <w:t xml:space="preserve">.</w:t>
      </w:r>
    </w:p>
    <w:p>
      <w:pPr>
        <w:pStyle w:val="BodyText"/>
      </w:pPr>
      <w:r>
        <w:rPr>
          <w:b/>
          <w:bCs/>
        </w:rPr>
        <w:t xml:space="preserve">Ginocchio sensibilizzato.</w:t>
      </w:r>
      <w:r>
        <w:t xml:space="preserve"> </w:t>
      </w:r>
      <w:r>
        <w:t xml:space="preserve">La dolorabilità si estende a siti lontani dal ginocchio. Non è uno stato infiammatorio: è il meccanismo 3 diventato il quadro dominante. Puoi fare parecchio, ma il bersaglio non è il ginocchio.</w:t>
      </w:r>
    </w:p>
    <w:p>
      <w:pPr>
        <w:pStyle w:val="BodyText"/>
      </w:pPr>
      <w:r>
        <w:rPr>
          <w:b/>
          <w:bCs/>
        </w:rPr>
        <w:t xml:space="preserve">Ginocchio irritabile.</w:t>
      </w:r>
      <w:r>
        <w:t xml:space="preserve"> </w:t>
      </w:r>
      <w:r>
        <w:t xml:space="preserve">È uno</w:t>
      </w:r>
      <w:r>
        <w:t xml:space="preserve"> </w:t>
      </w:r>
      <w:r>
        <w:rPr>
          <w:b/>
          <w:bCs/>
        </w:rPr>
        <w:t xml:space="preserve">stato</w:t>
      </w:r>
      <w:r>
        <w:t xml:space="preserve">, non un sottotipo — la spia accesa stamattina, non il modello dell’auto — e sposta l’uscita del triage. Non significa però che non ci sia niente da fare:</w:t>
      </w:r>
      <w:r>
        <w:t xml:space="preserve"> </w:t>
      </w:r>
      <w:r>
        <w:rPr>
          <w:b/>
          <w:bCs/>
        </w:rPr>
        <w:t xml:space="preserve">sul ginocchio si fa poco e attorno si fa molto</w:t>
      </w:r>
      <w:r>
        <w:t xml:space="preserve"> </w:t>
      </w:r>
      <w:r>
        <w:t xml:space="preserve">— piani adiacenti che non provocano, livello di attivazione, educazione sul tetto di carico — mentre l’inquadramento cammina in parallelo. Il</w:t>
      </w:r>
      <w:r>
        <w:t xml:space="preserve"> </w:t>
      </w:r>
      <w:r>
        <w:rPr>
          <w:b/>
          <w:bCs/>
        </w:rPr>
        <w:t xml:space="preserve">segno di stato</w:t>
      </w:r>
      <w:r>
        <w:t xml:space="preserve"> </w:t>
      </w:r>
      <w:r>
        <w:t xml:space="preserve">è l’escursione che tiene fra le sedute.</w:t>
      </w:r>
    </w:p>
    <w:p>
      <w:pPr>
        <w:pStyle w:val="BodyText"/>
      </w:pPr>
      <w:r>
        <w:rPr>
          <w:b/>
          <w:bCs/>
        </w:rPr>
        <w:t xml:space="preserve">Dolore riferito.</w:t>
      </w:r>
      <w:r>
        <w:t xml:space="preserve"> </w:t>
      </w:r>
      <w:r>
        <w:t xml:space="preserve">La rotazione interna dell’anca è ridotta o dolorosa, il rachide riproduce il sintomo, oppure il paziente è un adolescente.</w:t>
      </w:r>
      <w:r>
        <w:t xml:space="preserve"> </w:t>
      </w:r>
      <w:r>
        <w:rPr>
          <w:b/>
          <w:bCs/>
        </w:rPr>
        <w:t xml:space="preserve">Non è un pattern da trattare: è un cancello</w:t>
      </w:r>
      <w:r>
        <w:t xml:space="preserve">, e il ginocchio non si tratta nemmeno in parallelo.</w:t>
      </w:r>
    </w:p>
    <w:p>
      <w:pPr>
        <w:pStyle w:val="BodyText"/>
      </w:pPr>
      <w:r>
        <w:rPr>
          <w:b/>
          <w:bCs/>
        </w:rPr>
        <w:t xml:space="preserve">Due righe sono trasversali e non esclusive.</w:t>
      </w:r>
      <w:r>
        <w:t xml:space="preserve"> </w:t>
      </w:r>
      <w:r>
        <w:t xml:space="preserve">«Vicini che comandano» è il meccanismo 4, e può stare</w:t>
      </w:r>
      <w:r>
        <w:t xml:space="preserve"> </w:t>
      </w:r>
      <w:r>
        <w:rPr>
          <w:i/>
          <w:iCs/>
        </w:rPr>
        <w:t xml:space="preserve">dentro</w:t>
      </w:r>
      <w:r>
        <w:t xml:space="preserve"> </w:t>
      </w:r>
      <w:r>
        <w:t xml:space="preserve">gli altri pattern. «Meniscale degenerativo» è una categoria di referto, gestita come l’artrosico da carico. Forzarci dentro il paziente lo mette nella riga sbagliata.</w:t>
      </w:r>
    </w:p>
    <w:p>
      <w:pPr>
        <w:pStyle w:val="BlockText"/>
      </w:pPr>
      <w:r>
        <w:rPr>
          <w:b/>
          <w:bCs/>
        </w:rPr>
        <w:t xml:space="preserve">Condizioni spesso associate:</w:t>
      </w:r>
      <w:r>
        <w:t xml:space="preserve"> </w:t>
      </w:r>
      <w:r>
        <w:t xml:space="preserve">se il paziente ha anche una diagnosi di artrosi accertata, vedi la Bibbia dell’Artrosi; se ha una deviazione in valgo stabile, la Bibbia del Valgismo; se ha più articolazioni dolenti insieme, la Bibbia dei Dolori articolari.</w:t>
      </w:r>
    </w:p>
    <w:p>
      <w:pPr>
        <w:pStyle w:val="FirstParagraph"/>
      </w:pPr>
      <w:r>
        <w:rPr>
          <w:b/>
          <w:bCs/>
        </w:rPr>
        <w:t xml:space="preserve">Le tre cose da ricordare, più una</w:t>
      </w:r>
    </w:p>
    <w:p>
      <w:pPr>
        <w:pStyle w:val="Compact"/>
        <w:numPr>
          <w:ilvl w:val="0"/>
          <w:numId w:val="1024"/>
        </w:numPr>
      </w:pPr>
      <w:r>
        <w:t xml:space="preserve">Il pattern si presume, non si diagnostica. Scrivilo in cartella come presunzione, e di’ al paziente che è una presunzione.</w:t>
      </w:r>
    </w:p>
    <w:p>
      <w:pPr>
        <w:pStyle w:val="Compact"/>
        <w:numPr>
          <w:ilvl w:val="0"/>
          <w:numId w:val="1024"/>
        </w:numPr>
      </w:pPr>
      <w:r>
        <w:t xml:space="preserve">Il ginocchio irritabile non è un vicolo cieco: sul ginocchio fai poco, attorno fai molto, e il segno di stato è l’escursione che tiene fra le sedute.</w:t>
      </w:r>
    </w:p>
    <w:p>
      <w:pPr>
        <w:pStyle w:val="Compact"/>
        <w:numPr>
          <w:ilvl w:val="0"/>
          <w:numId w:val="1024"/>
        </w:numPr>
      </w:pPr>
      <w:r>
        <w:t xml:space="preserve">L’adolescente con dolore al ginocchio e senza trauma non è un ginocchio: è un’anca finché non è dimostrato il contrario.</w:t>
      </w:r>
    </w:p>
    <w:p>
      <w:pPr>
        <w:pStyle w:val="Compact"/>
        <w:numPr>
          <w:ilvl w:val="0"/>
          <w:numId w:val="1024"/>
        </w:numPr>
      </w:pPr>
      <w:r>
        <w:rPr>
          <w:b/>
          <w:bCs/>
        </w:rPr>
        <w:t xml:space="preserve">Perché ci sei tu.</w:t>
      </w:r>
      <w:r>
        <w:t xml:space="preserve"> </w:t>
      </w:r>
      <w:r>
        <w:t xml:space="preserve">Su 106 adolescenti con epifisiolisi della testa del femore,</w:t>
      </w:r>
      <w:r>
        <w:t xml:space="preserve"> </w:t>
      </w:r>
      <w:r>
        <w:rPr>
          <w:b/>
          <w:bCs/>
        </w:rPr>
        <w:t xml:space="preserve">16 (il 15%) si erano presentati lamentando dolore alla coscia distale o al ginocchio</w:t>
      </w:r>
      <w:r>
        <w:t xml:space="preserve">. E nel sottogruppo di 65 ragazzi non ancora trattati altrove, chi aveva questa presentazione ha avuto più diagnosi sbagliate, più radiografie inutili e scivolamenti radiograficamente più gravi (Matava, 1999, PMID 10412993).</w:t>
      </w:r>
      <w:r>
        <w:t xml:space="preserve"> </w:t>
      </w:r>
      <w:r>
        <w:rPr>
          <w:b/>
          <w:bCs/>
        </w:rPr>
        <w:t xml:space="preserve">Per te:</w:t>
      </w:r>
      <w:r>
        <w:t xml:space="preserve"> </w:t>
      </w:r>
      <w:r>
        <w:t xml:space="preserve">su questo pattern non ci sei. Questo ti autorizza a essere l’anello della catena che finalmente esamina l’anca e attiva il canale medico. Non ti autorizza a trattarlo, e nemmeno a rivederlo fra una settimana per vedere come va.</w:t>
      </w:r>
    </w:p>
    <w:p>
      <w:r>
        <w:pict>
          <v:rect style="width:0;height:1.5pt" o:hralign="center" o:hrstd="t" o:hr="t"/>
        </w:pict>
      </w:r>
    </w:p>
    <w:bookmarkEnd w:id="32"/>
    <w:bookmarkStart w:id="38" w:name="X09247322a2da79841e87919ec6d62c213d7949d"/>
    <w:p>
      <w:pPr>
        <w:pStyle w:val="Heading2"/>
      </w:pPr>
      <w:r>
        <w:t xml:space="preserve">Capitolo 7 — La lettura osteopatica: i cinque modelli</w:t>
      </w:r>
    </w:p>
    <w:p>
      <w:pPr>
        <w:pStyle w:val="BlockText"/>
      </w:pPr>
      <w:r>
        <w:rPr>
          <w:b/>
          <w:bCs/>
        </w:rPr>
        <w:t xml:space="preserve">In una riga:</w:t>
      </w:r>
      <w:r>
        <w:t xml:space="preserve"> </w:t>
      </w:r>
      <w:r>
        <w:t xml:space="preserve">due modelli comandano — quello che decide dove va il carico, e quello che decide quanto il paziente ne mette. E il modello con la prova migliore porta una leva che non eroghi tu.</w:t>
      </w:r>
    </w:p>
    <w:p>
      <w:pPr>
        <w:pStyle w:val="FirstParagraph"/>
      </w:pPr>
      <w:r>
        <w:rPr>
          <w:b/>
          <w:bCs/>
        </w:rPr>
        <w:t xml:space="preserve">Come si legge «dominante» qui:</w:t>
      </w:r>
      <w:r>
        <w:t xml:space="preserve"> </w:t>
      </w:r>
      <w:r>
        <w:rPr>
          <w:i/>
          <w:iCs/>
        </w:rPr>
        <w:t xml:space="preserve">quale modello porta più peso su questa condizione in generale</w:t>
      </w:r>
      <w:r>
        <w:t xml:space="preserve">. Quale comanda</w:t>
      </w:r>
      <w:r>
        <w:t xml:space="preserve"> </w:t>
      </w:r>
      <w:r>
        <w:rPr>
          <w:b/>
          <w:bCs/>
        </w:rPr>
        <w:t xml:space="preserve">in questo paziente</w:t>
      </w:r>
      <w:r>
        <w:t xml:space="preserve"> </w:t>
      </w:r>
      <w:r>
        <w:t xml:space="preserve">lo decide il capitolo successivo, ed è una cosa diversa e per persona: è la media degli stipendi in azienda, non quello che prendi tu.</w:t>
      </w:r>
    </w:p>
    <w:bookmarkStart w:id="33" w:name="Xf481f25aa7ee6f3013dcd2bba110f86c9b82999"/>
    <w:p>
      <w:pPr>
        <w:pStyle w:val="Heading3"/>
      </w:pPr>
      <w:r>
        <w:t xml:space="preserve">Biomeccanico-strutturale —</w:t>
      </w:r>
      <w:r>
        <w:t xml:space="preserve"> </w:t>
      </w:r>
      <w:r>
        <w:rPr>
          <w:b/>
          <w:bCs/>
        </w:rPr>
        <w:t xml:space="preserve">dominante operativo</w:t>
      </w:r>
    </w:p>
    <w:p>
      <w:pPr>
        <w:pStyle w:val="FirstParagraph"/>
      </w:pPr>
      <w:r>
        <w:rPr>
          <w:b/>
          <w:bCs/>
        </w:rPr>
        <w:t xml:space="preserve">Cosa governa qui.</w:t>
      </w:r>
      <w:r>
        <w:t xml:space="preserve"> </w:t>
      </w:r>
      <w:r>
        <w:t xml:space="preserve">La distribuzione del carico dentro l’articolazione, l’escursione a monte e a valle, la traiettoria dell’arto sotto carico. È</w:t>
      </w:r>
      <w:r>
        <w:t xml:space="preserve"> </w:t>
      </w:r>
      <w:r>
        <w:rPr>
          <w:b/>
          <w:bCs/>
        </w:rPr>
        <w:t xml:space="preserve">dove metti le mani</w:t>
      </w:r>
      <w:r>
        <w:t xml:space="preserve">. Perché quel lavoro funzioni è un’altra domanda, e la risposta migliore che abbiamo non è meccanica.</w:t>
      </w:r>
      <w:r>
        <w:t xml:space="preserve"> </w:t>
      </w:r>
      <w:r>
        <w:rPr>
          <w:b/>
          <w:bCs/>
        </w:rPr>
        <w:t xml:space="preserve">Quali meccanismi governa:</w:t>
      </w:r>
      <w:r>
        <w:t xml:space="preserve"> </w:t>
      </w:r>
      <w:r>
        <w:t xml:space="preserve">«Il carico che si concentra» e «Il ginocchio che paga per i vicini».</w:t>
      </w:r>
    </w:p>
    <w:p>
      <w:pPr>
        <w:pStyle w:val="BodyText"/>
      </w:pPr>
      <w:r>
        <w:rPr>
          <w:b/>
          <w:bCs/>
        </w:rPr>
        <w:t xml:space="preserve">Gli attori.</w:t>
      </w:r>
      <w:r>
        <w:t xml:space="preserve"> </w:t>
      </w:r>
      <w:r>
        <w:t xml:space="preserve">Osso subcondrale, menisco, femoro-rotulea, tessuti extra-articolari, anca, caviglia, rachide lombare.</w:t>
      </w:r>
    </w:p>
    <w:p>
      <w:pPr>
        <w:pStyle w:val="BodyText"/>
      </w:pPr>
      <w:r>
        <w:rPr>
          <w:b/>
          <w:bCs/>
        </w:rPr>
        <w:t xml:space="preserve">I segnali che pesa in questo paziente.</w:t>
      </w:r>
      <w:r>
        <w:t xml:space="preserve"> </w:t>
      </w:r>
      <w:r>
        <w:t xml:space="preserve">Dorsiflessione in carico asimmetrica oltre l’errore di misura. Rotazione d’anca ridotta. Sintomo che compare a un punto preciso della corsa. Deficit di estensione terminale.</w:t>
      </w:r>
    </w:p>
    <w:p>
      <w:pPr>
        <w:pStyle w:val="BlockText"/>
      </w:pPr>
      <w:r>
        <w:rPr>
          <w:b/>
          <w:bCs/>
        </w:rPr>
        <w:t xml:space="preserve">Quanto è solido:</w:t>
      </w:r>
      <w:r>
        <w:t xml:space="preserve"> </w:t>
      </w:r>
      <w:r>
        <w:t xml:space="preserve">l’etichetta si spezza.</w:t>
      </w:r>
      <w:r>
        <w:t xml:space="preserve"> </w:t>
      </w:r>
      <w:r>
        <w:rPr>
          <w:b/>
          <w:bCs/>
        </w:rPr>
        <w:t xml:space="preserve">DIMOSTRATO</w:t>
      </w:r>
      <w:r>
        <w:t xml:space="preserve"> </w:t>
      </w:r>
      <w:r>
        <w:rPr>
          <w:i/>
          <w:iCs/>
        </w:rPr>
        <w:t xml:space="preserve">(studi sull’uomo, solidi)</w:t>
      </w:r>
      <w:r>
        <w:t xml:space="preserve"> </w:t>
      </w:r>
      <w:r>
        <w:t xml:space="preserve">che il carico dentro il ginocchio vari con l’attività (Kutzner, 2010, PMID 20537336, con i numeri in «Le strutture in gioco»).</w:t>
      </w:r>
      <w:r>
        <w:t xml:space="preserve"> </w:t>
      </w:r>
      <w:r>
        <w:rPr>
          <w:b/>
          <w:bCs/>
        </w:rPr>
        <w:t xml:space="preserve">PROBABILE</w:t>
      </w:r>
      <w:r>
        <w:t xml:space="preserve"> </w:t>
      </w:r>
      <w:r>
        <w:rPr>
          <w:i/>
          <w:iCs/>
        </w:rPr>
        <w:t xml:space="preserve">(razionale forte, prove parziali)</w:t>
      </w:r>
      <w:r>
        <w:t xml:space="preserve"> </w:t>
      </w:r>
      <w:r>
        <w:t xml:space="preserve">che il lavoro sui segmenti adiacenti migliori i sintomi (Bennell, 2010, PMID 20175973; rinforzo attivo, non terapia manuale — il salto è di</w:t>
      </w:r>
      <w:r>
        <w:t xml:space="preserve"> </w:t>
      </w:r>
      <w:r>
        <w:rPr>
          <w:b/>
          <w:bCs/>
        </w:rPr>
        <w:t xml:space="preserve">intervento</w:t>
      </w:r>
      <w:r>
        <w:t xml:space="preserve">; il disegno sta in «Cosa si rompe»).</w:t>
      </w:r>
      <w:r>
        <w:t xml:space="preserve"> </w:t>
      </w:r>
      <w:r>
        <w:rPr>
          <w:b/>
          <w:bCs/>
        </w:rPr>
        <w:t xml:space="preserve">IPOTESI</w:t>
      </w:r>
      <w:r>
        <w:t xml:space="preserve"> </w:t>
      </w:r>
      <w:r>
        <w:rPr>
          <w:i/>
          <w:iCs/>
        </w:rPr>
        <w:t xml:space="preserve">(meccanismo coerente, nessuno studio)</w:t>
      </w:r>
      <w:r>
        <w:t xml:space="preserve"> </w:t>
      </w:r>
      <w:r>
        <w:t xml:space="preserve">che avvenga cambiando la distribuzione del carico, e qui con prove contrarie: il momento adduttorio non è cambiato.</w:t>
      </w:r>
    </w:p>
    <w:bookmarkEnd w:id="33"/>
    <w:bookmarkStart w:id="34" w:name="X6701371b6ffebd5288c635d9f1c4442c39f6bd5"/>
    <w:p>
      <w:pPr>
        <w:pStyle w:val="Heading3"/>
      </w:pPr>
      <w:r>
        <w:t xml:space="preserve">Comportamentale-biopsicosociale —</w:t>
      </w:r>
      <w:r>
        <w:t xml:space="preserve"> </w:t>
      </w:r>
      <w:r>
        <w:rPr>
          <w:b/>
          <w:bCs/>
        </w:rPr>
        <w:t xml:space="preserve">dominante</w:t>
      </w:r>
    </w:p>
    <w:p>
      <w:pPr>
        <w:pStyle w:val="FirstParagraph"/>
      </w:pPr>
      <w:r>
        <w:rPr>
          <w:b/>
          <w:bCs/>
        </w:rPr>
        <w:t xml:space="preserve">Cosa governa qui.</w:t>
      </w:r>
      <w:r>
        <w:t xml:space="preserve"> </w:t>
      </w:r>
      <w:r>
        <w:t xml:space="preserve">Quanto il paziente carica il ginocchio nella vita reale, che cosa crede di poter caricare, con quale aspettativa entra.</w:t>
      </w:r>
      <w:r>
        <w:t xml:space="preserve"> </w:t>
      </w:r>
      <w:r>
        <w:rPr>
          <w:b/>
          <w:bCs/>
        </w:rPr>
        <w:t xml:space="preserve">Quali meccanismi governa:</w:t>
      </w:r>
      <w:r>
        <w:t xml:space="preserve"> </w:t>
      </w:r>
      <w:r>
        <w:rPr>
          <w:b/>
          <w:bCs/>
        </w:rPr>
        <w:t xml:space="preserve">in proprio la via volontaria</w:t>
      </w:r>
      <w:r>
        <w:t xml:space="preserve"> </w:t>
      </w:r>
      <w:r>
        <w:t xml:space="preserve">del «freno che si scarica», perché il risparmio guidato dalla paura è comportamentale e non meccanico. E modula «la soglia che si abbassa».</w:t>
      </w:r>
    </w:p>
    <w:p>
      <w:pPr>
        <w:pStyle w:val="BodyText"/>
      </w:pPr>
      <w:r>
        <w:rPr>
          <w:b/>
          <w:bCs/>
        </w:rPr>
        <w:t xml:space="preserve">Gli attori.</w:t>
      </w:r>
      <w:r>
        <w:t xml:space="preserve"> </w:t>
      </w:r>
      <w:r>
        <w:t xml:space="preserve">La paura del cedimento. La credenza «più cammino, più consumo». La frase sentita davanti alla lastra. La tendenza a ingigantire il dolore. Il rapporto con te.</w:t>
      </w:r>
    </w:p>
    <w:p>
      <w:pPr>
        <w:pStyle w:val="BodyText"/>
      </w:pPr>
      <w:r>
        <w:rPr>
          <w:b/>
          <w:bCs/>
        </w:rPr>
        <w:t xml:space="preserve">I segnali che pesa in questo paziente.</w:t>
      </w:r>
      <w:r>
        <w:t xml:space="preserve"> </w:t>
      </w:r>
      <w:r>
        <w:t xml:space="preserve">Ha smesso attività che potrebbe fare. Racconta la lastra prima del dolore. Chiede se camminare «rovina».</w:t>
      </w:r>
    </w:p>
    <w:p>
      <w:pPr>
        <w:pStyle w:val="BlockText"/>
      </w:pPr>
      <w:r>
        <w:rPr>
          <w:b/>
          <w:bCs/>
        </w:rPr>
        <w:t xml:space="preserve">Quanto è solido:</w:t>
      </w:r>
      <w:r>
        <w:t xml:space="preserve"> </w:t>
      </w:r>
      <w:r>
        <w:t xml:space="preserve">l’etichetta si spezza.</w:t>
      </w:r>
    </w:p>
    <w:p>
      <w:pPr>
        <w:pStyle w:val="BlockText"/>
      </w:pPr>
      <w:r>
        <w:rPr>
          <w:b/>
          <w:bCs/>
        </w:rPr>
        <w:t xml:space="preserve">PROBABILE</w:t>
      </w:r>
      <w:r>
        <w:t xml:space="preserve"> </w:t>
      </w:r>
      <w:r>
        <w:rPr>
          <w:i/>
          <w:iCs/>
        </w:rPr>
        <w:t xml:space="preserve">(razionale forte, prove parziali)</w:t>
      </w:r>
      <w:r>
        <w:t xml:space="preserve"> </w:t>
      </w:r>
      <w:r>
        <w:t xml:space="preserve">che il fattore psicologico pesi sull’esito più di quello strutturale: in 29 studi prospettici e 10.360 pazienti la tendenza a ingigantire il dolore correla con il dolore a dodici mesi (r = 0,36) più di ogni altro fattore preoperatorio. Un’artrosi radiograficamente più grave, invece, correla con</w:t>
      </w:r>
      <w:r>
        <w:t xml:space="preserve"> </w:t>
      </w:r>
      <w:r>
        <w:rPr>
          <w:b/>
          <w:bCs/>
        </w:rPr>
        <w:t xml:space="preserve">meno</w:t>
      </w:r>
      <w:r>
        <w:t xml:space="preserve"> </w:t>
      </w:r>
      <w:r>
        <w:t xml:space="preserve">dolore (Olsen, 2023, PMID 36961863).</w:t>
      </w:r>
    </w:p>
    <w:p>
      <w:pPr>
        <w:pStyle w:val="BlockText"/>
      </w:pPr>
      <w:r>
        <w:rPr>
          <w:b/>
          <w:bCs/>
        </w:rPr>
        <w:t xml:space="preserve">DIMOSTRATO</w:t>
      </w:r>
      <w:r>
        <w:t xml:space="preserve"> </w:t>
      </w:r>
      <w:r>
        <w:rPr>
          <w:i/>
          <w:iCs/>
        </w:rPr>
        <w:t xml:space="preserve">(studi sull’uomo, solidi)</w:t>
      </w:r>
      <w:r>
        <w:t xml:space="preserve"> </w:t>
      </w:r>
      <w:r>
        <w:t xml:space="preserve">che la quota di miglioramento non attribuibile all’ingrediente specifico sia grande: su 215 studi randomizzati, in media il</w:t>
      </w:r>
      <w:r>
        <w:t xml:space="preserve"> </w:t>
      </w:r>
      <w:r>
        <w:rPr>
          <w:b/>
          <w:bCs/>
        </w:rPr>
        <w:t xml:space="preserve">75%</w:t>
      </w:r>
      <w:r>
        <w:t xml:space="preserve"> </w:t>
      </w:r>
      <w:r>
        <w:t xml:space="preserve">della riduzione del dolore compariva anche nel braccio di controllo (Zou, 2016, PMID 26882927; su interventi di ogni tipo, non su terapia manuale osteopatica — il salto è di</w:t>
      </w:r>
      <w:r>
        <w:t xml:space="preserve"> </w:t>
      </w:r>
      <w:r>
        <w:rPr>
          <w:b/>
          <w:bCs/>
        </w:rPr>
        <w:t xml:space="preserve">intervento</w:t>
      </w:r>
      <w:r>
        <w:t xml:space="preserve">).</w:t>
      </w:r>
    </w:p>
    <w:p>
      <w:pPr>
        <w:pStyle w:val="BlockText"/>
      </w:pPr>
      <w:r>
        <w:rPr>
          <w:b/>
          <w:bCs/>
        </w:rPr>
        <w:t xml:space="preserve">PROBABILE</w:t>
      </w:r>
      <w:r>
        <w:t xml:space="preserve"> </w:t>
      </w:r>
      <w:r>
        <w:rPr>
          <w:i/>
          <w:iCs/>
        </w:rPr>
        <w:t xml:space="preserve">(razionale forte, prove parziali)</w:t>
      </w:r>
      <w:r>
        <w:t xml:space="preserve"> </w:t>
      </w:r>
      <w:r>
        <w:t xml:space="preserve">che</w:t>
      </w:r>
      <w:r>
        <w:t xml:space="preserve"> </w:t>
      </w:r>
      <w:r>
        <w:rPr>
          <w:b/>
          <w:bCs/>
        </w:rPr>
        <w:t xml:space="preserve">agire</w:t>
      </w:r>
      <w:r>
        <w:t xml:space="preserve"> </w:t>
      </w:r>
      <w:r>
        <w:t xml:space="preserve">su quel piano sposti l’esito, ed è la cosa che le due fonti sopra non dicono. Prendi 4 studi randomizzati a basso rischio di bias e 628 pazienti con artrosi di ginocchio. Alla cura standard è stata aggiunta una terapia cognitivo-comportamentale, oppure un addestramento formale alle strategie di gestione del dolore. Fra i tre e i sei mesi sono migliorati il dolore (d = 0,488) e la funzione (d = 0,340) (Phelps, 2025, PMID 40533263; erogati da terapeuti formati e per otto-dodici sedute, non sulla spiegazione che dai tu in seduta — i salti sono di</w:t>
      </w:r>
      <w:r>
        <w:t xml:space="preserve"> </w:t>
      </w:r>
      <w:r>
        <w:rPr>
          <w:b/>
          <w:bCs/>
        </w:rPr>
        <w:t xml:space="preserve">intervento</w:t>
      </w:r>
      <w:r>
        <w:t xml:space="preserve"> </w:t>
      </w:r>
      <w:r>
        <w:t xml:space="preserve">e di</w:t>
      </w:r>
      <w:r>
        <w:t xml:space="preserve"> </w:t>
      </w:r>
      <w:r>
        <w:rPr>
          <w:b/>
          <w:bCs/>
        </w:rPr>
        <w:t xml:space="preserve">erogatore</w:t>
      </w:r>
      <w:r>
        <w:t xml:space="preserve">, e sono</w:t>
      </w:r>
      <w:r>
        <w:t xml:space="preserve"> </w:t>
      </w:r>
      <w:r>
        <w:rPr>
          <w:b/>
          <w:bCs/>
        </w:rPr>
        <w:t xml:space="preserve">solo quattro studi</w:t>
      </w:r>
      <w:r>
        <w:t xml:space="preserve">).</w:t>
      </w:r>
    </w:p>
    <w:p>
      <w:pPr>
        <w:pStyle w:val="BlockText"/>
      </w:pPr>
      <w:r>
        <w:rPr>
          <w:b/>
          <w:bCs/>
        </w:rPr>
        <w:t xml:space="preserve">IPOTESI</w:t>
      </w:r>
      <w:r>
        <w:t xml:space="preserve"> </w:t>
      </w:r>
      <w:r>
        <w:rPr>
          <w:i/>
          <w:iCs/>
        </w:rPr>
        <w:t xml:space="preserve">(meccanismo coerente, nessuno studio)</w:t>
      </w:r>
      <w:r>
        <w:t xml:space="preserve"> </w:t>
      </w:r>
      <w:r>
        <w:t xml:space="preserve">che quella quota contestuale sia prodotta dal modo in cui</w:t>
      </w:r>
      <w:r>
        <w:t xml:space="preserve"> </w:t>
      </w:r>
      <w:r>
        <w:rPr>
          <w:i/>
          <w:iCs/>
        </w:rPr>
        <w:t xml:space="preserve">tu</w:t>
      </w:r>
      <w:r>
        <w:t xml:space="preserve"> </w:t>
      </w:r>
      <w:r>
        <w:t xml:space="preserve">eroghi: dentro quel 75% stanno, indistinguibili, anche la storia naturale e il ritorno verso la media.</w:t>
      </w:r>
    </w:p>
    <w:bookmarkEnd w:id="34"/>
    <w:bookmarkStart w:id="35" w:name="neurologico-secondario-forte"/>
    <w:p>
      <w:pPr>
        <w:pStyle w:val="Heading3"/>
      </w:pPr>
      <w:r>
        <w:t xml:space="preserve">Neurologico —</w:t>
      </w:r>
      <w:r>
        <w:t xml:space="preserve"> </w:t>
      </w:r>
      <w:r>
        <w:rPr>
          <w:b/>
          <w:bCs/>
        </w:rPr>
        <w:t xml:space="preserve">secondario forte</w:t>
      </w:r>
    </w:p>
    <w:p>
      <w:pPr>
        <w:pStyle w:val="FirstParagraph"/>
      </w:pPr>
      <w:r>
        <w:rPr>
          <w:b/>
          <w:bCs/>
        </w:rPr>
        <w:t xml:space="preserve">Cosa governa qui.</w:t>
      </w:r>
      <w:r>
        <w:t xml:space="preserve"> </w:t>
      </w:r>
      <w:r>
        <w:t xml:space="preserve">Il guadagno con cui il segnale articolare arriva alla coscienza, e la disponibilità del quadricipite a farsi reclutare.</w:t>
      </w:r>
      <w:r>
        <w:t xml:space="preserve"> </w:t>
      </w:r>
      <w:r>
        <w:rPr>
          <w:b/>
          <w:bCs/>
        </w:rPr>
        <w:t xml:space="preserve">Quali meccanismi governa:</w:t>
      </w:r>
      <w:r>
        <w:t xml:space="preserve"> </w:t>
      </w:r>
      <w:r>
        <w:t xml:space="preserve">«La soglia che si abbassa» e la via riflessa del «freno che si scarica».</w:t>
      </w:r>
    </w:p>
    <w:p>
      <w:pPr>
        <w:pStyle w:val="BodyText"/>
      </w:pPr>
      <w:r>
        <w:rPr>
          <w:b/>
          <w:bCs/>
        </w:rPr>
        <w:t xml:space="preserve">Gli attori.</w:t>
      </w:r>
      <w:r>
        <w:t xml:space="preserve"> </w:t>
      </w:r>
      <w:r>
        <w:t xml:space="preserve">Le terminazioni di capsula, osso subcondrale, grasso anteriore e sinovia. Il riflesso spinale che inibisce l’estensore quando l’articolazione è distesa o infiammata. Le vie discendenti.</w:t>
      </w:r>
    </w:p>
    <w:p>
      <w:pPr>
        <w:pStyle w:val="BodyText"/>
      </w:pPr>
      <w:r>
        <w:rPr>
          <w:b/>
          <w:bCs/>
        </w:rPr>
        <w:t xml:space="preserve">I segnali che pesa in questo paziente.</w:t>
      </w:r>
      <w:r>
        <w:t xml:space="preserve"> </w:t>
      </w:r>
      <w:r>
        <w:t xml:space="preserve">Dolore sproporzionato al carico. Dolorabilità fuori dall’articolazione. Quadricipite che non si lascia reclutare nemmeno quando il ginocchio non duole.</w:t>
      </w:r>
    </w:p>
    <w:p>
      <w:pPr>
        <w:pStyle w:val="BlockText"/>
      </w:pPr>
      <w:r>
        <w:rPr>
          <w:b/>
          <w:bCs/>
        </w:rPr>
        <w:t xml:space="preserve">Quanto è solido:</w:t>
      </w:r>
      <w:r>
        <w:t xml:space="preserve"> </w:t>
      </w:r>
      <w:r>
        <w:rPr>
          <w:b/>
          <w:bCs/>
        </w:rPr>
        <w:t xml:space="preserve">PROBABILE</w:t>
      </w:r>
      <w:r>
        <w:t xml:space="preserve"> </w:t>
      </w:r>
      <w:r>
        <w:rPr>
          <w:i/>
          <w:iCs/>
        </w:rPr>
        <w:t xml:space="preserve">(razionale forte, prove parziali)</w:t>
      </w:r>
      <w:r>
        <w:t xml:space="preserve"> </w:t>
      </w:r>
      <w:r>
        <w:t xml:space="preserve">che la facilitazione della sommazione temporale misurata prima di un intervento predica il dolore a dodici mesi (Petersen, 2015, PMID 25599301; una sola coorte, con i numeri in «Cosa si rompe»).</w:t>
      </w:r>
      <w:r>
        <w:t xml:space="preserve"> </w:t>
      </w:r>
      <w:r>
        <w:rPr>
          <w:b/>
          <w:bCs/>
        </w:rPr>
        <w:t xml:space="preserve">IPOTESI</w:t>
      </w:r>
      <w:r>
        <w:t xml:space="preserve"> </w:t>
      </w:r>
      <w:r>
        <w:rPr>
          <w:i/>
          <w:iCs/>
        </w:rPr>
        <w:t xml:space="preserve">(meccanismo coerente, nessuno studio)</w:t>
      </w:r>
      <w:r>
        <w:t xml:space="preserve"> </w:t>
      </w:r>
      <w:r>
        <w:t xml:space="preserve">che la terapia manuale abbassi quel guadagno, e qui con prove discordanti (Rodgers e Coronado, 2024, PMID 37908101; il salto è di</w:t>
      </w:r>
      <w:r>
        <w:t xml:space="preserve"> </w:t>
      </w:r>
      <w:r>
        <w:rPr>
          <w:b/>
          <w:bCs/>
        </w:rPr>
        <w:t xml:space="preserve">popolazione</w:t>
      </w:r>
      <w:r>
        <w:t xml:space="preserve">).</w:t>
      </w:r>
    </w:p>
    <w:bookmarkEnd w:id="35"/>
    <w:bookmarkStart w:id="36" w:name="X487b1b6e0ddf6f7cbe05083e3417486d5f93426"/>
    <w:p>
      <w:pPr>
        <w:pStyle w:val="Heading3"/>
      </w:pPr>
      <w:r>
        <w:t xml:space="preserve">Metabolico-energetico —</w:t>
      </w:r>
      <w:r>
        <w:t xml:space="preserve"> </w:t>
      </w:r>
      <w:r>
        <w:rPr>
          <w:b/>
          <w:bCs/>
        </w:rPr>
        <w:t xml:space="preserve">secondario, e non è atto nostro</w:t>
      </w:r>
    </w:p>
    <w:p>
      <w:pPr>
        <w:pStyle w:val="FirstParagraph"/>
      </w:pPr>
      <w:r>
        <w:rPr>
          <w:b/>
          <w:bCs/>
        </w:rPr>
        <w:t xml:space="preserve">Cosa governa qui.</w:t>
      </w:r>
      <w:r>
        <w:t xml:space="preserve"> </w:t>
      </w:r>
      <w:r>
        <w:t xml:space="preserve">Il carico assoluto che attraversa l’articolazione a ogni passo.</w:t>
      </w:r>
      <w:r>
        <w:t xml:space="preserve"> </w:t>
      </w:r>
      <w:r>
        <w:rPr>
          <w:b/>
          <w:bCs/>
        </w:rPr>
        <w:t xml:space="preserve">Quale meccanismo governa:</w:t>
      </w:r>
      <w:r>
        <w:t xml:space="preserve"> </w:t>
      </w:r>
      <w:r>
        <w:t xml:space="preserve">«Il carico che si concentra», attraverso la massa corporea.</w:t>
      </w:r>
    </w:p>
    <w:p>
      <w:pPr>
        <w:pStyle w:val="BodyText"/>
      </w:pPr>
      <w:r>
        <w:rPr>
          <w:b/>
          <w:bCs/>
        </w:rPr>
        <w:t xml:space="preserve">Gli attori.</w:t>
      </w:r>
      <w:r>
        <w:t xml:space="preserve"> </w:t>
      </w:r>
      <w:r>
        <w:t xml:space="preserve">Peso e composizione corporea.</w:t>
      </w:r>
    </w:p>
    <w:p>
      <w:pPr>
        <w:pStyle w:val="BodyText"/>
      </w:pPr>
      <w:r>
        <w:rPr>
          <w:b/>
          <w:bCs/>
        </w:rPr>
        <w:t xml:space="preserve">I segnali che pesa in questo paziente.</w:t>
      </w:r>
      <w:r>
        <w:t xml:space="preserve"> </w:t>
      </w:r>
      <w:r>
        <w:t xml:space="preserve">Sintomo proporzionale alla quantità di cammino. Peso aumentato in parallelo al dolore. Nessun miglioramento che tenga fra una seduta e l’altra.</w:t>
      </w:r>
    </w:p>
    <w:p>
      <w:pPr>
        <w:pStyle w:val="BlockText"/>
      </w:pPr>
      <w:r>
        <w:rPr>
          <w:b/>
          <w:bCs/>
        </w:rPr>
        <w:t xml:space="preserve">Quanto è solido:</w:t>
      </w:r>
      <w:r>
        <w:t xml:space="preserve"> </w:t>
      </w:r>
      <w:r>
        <w:rPr>
          <w:b/>
          <w:bCs/>
        </w:rPr>
        <w:t xml:space="preserve">DIMOSTRATO</w:t>
      </w:r>
      <w:r>
        <w:t xml:space="preserve"> </w:t>
      </w:r>
      <w:r>
        <w:rPr>
          <w:i/>
          <w:iCs/>
        </w:rPr>
        <w:t xml:space="preserve">(studi sull’uomo, solidi)</w:t>
      </w:r>
      <w:r>
        <w:t xml:space="preserve">, ed è uno dei dati più forti del documento: nello studio IDEA il gruppo dieta più esercizio è migliorato su dolore e funzione più della sola dieta e del solo esercizio. I numeri stanno in «Cosa può fare il paziente da solo» (Messier, 2013, PMID 24065013). Due salti. Di</w:t>
      </w:r>
      <w:r>
        <w:t xml:space="preserve"> </w:t>
      </w:r>
      <w:r>
        <w:rPr>
          <w:b/>
          <w:bCs/>
        </w:rPr>
        <w:t xml:space="preserve">erogatore</w:t>
      </w:r>
      <w:r>
        <w:t xml:space="preserve">: la dieta è condotta da dietisti, e tu segnali e rinvii. Di</w:t>
      </w:r>
      <w:r>
        <w:t xml:space="preserve"> </w:t>
      </w:r>
      <w:r>
        <w:rPr>
          <w:b/>
          <w:bCs/>
        </w:rPr>
        <w:t xml:space="preserve">popolazione</w:t>
      </w:r>
      <w:r>
        <w:t xml:space="preserve">: adulti dai 55 anni con indice di massa corporea fra 27 e 41. Fuori da lì, e nell’anziano fragile o normopeso, la leva non è questa, e una perdita rapida gli costa la massa muscolare che vuoi ricostruire.</w:t>
      </w:r>
    </w:p>
    <w:bookmarkEnd w:id="36"/>
    <w:bookmarkStart w:id="37" w:name="Xb3eecc511830c4d13cc47efd0c118d5d26c9aad"/>
    <w:p>
      <w:pPr>
        <w:pStyle w:val="Heading3"/>
      </w:pPr>
      <w:r>
        <w:t xml:space="preserve">Respiratorio-circolatorio —</w:t>
      </w:r>
      <w:r>
        <w:t xml:space="preserve"> </w:t>
      </w:r>
      <w:r>
        <w:rPr>
          <w:b/>
          <w:bCs/>
        </w:rPr>
        <w:t xml:space="preserve">a scope ristretto</w:t>
      </w:r>
    </w:p>
    <w:p>
      <w:pPr>
        <w:pStyle w:val="FirstParagraph"/>
      </w:pPr>
      <w:r>
        <w:rPr>
          <w:b/>
          <w:bCs/>
        </w:rPr>
        <w:t xml:space="preserve">Cosa governa qui.</w:t>
      </w:r>
      <w:r>
        <w:t xml:space="preserve"> </w:t>
      </w:r>
      <w:r>
        <w:t xml:space="preserve">Nulla in proprio. Su questo distretto si usa</w:t>
      </w:r>
      <w:r>
        <w:t xml:space="preserve"> </w:t>
      </w:r>
      <w:r>
        <w:rPr>
          <w:b/>
          <w:bCs/>
        </w:rPr>
        <w:t xml:space="preserve">la sola osservazione del versamento come segno di stato</w:t>
      </w:r>
      <w:r>
        <w:t xml:space="preserve">: è la distensione articolare che alimenta l’inibizione riflessa dell’estensore e che sposta l’uscita del triage.</w:t>
      </w:r>
    </w:p>
    <w:p>
      <w:pPr>
        <w:pStyle w:val="BodyText"/>
      </w:pPr>
      <w:r>
        <w:rPr>
          <w:b/>
          <w:bCs/>
        </w:rPr>
        <w:t xml:space="preserve">Gli attori.</w:t>
      </w:r>
      <w:r>
        <w:t xml:space="preserve"> </w:t>
      </w:r>
      <w:r>
        <w:t xml:space="preserve">Sinovia, capsula, liquido dentro l’articolazione.</w:t>
      </w:r>
    </w:p>
    <w:p>
      <w:pPr>
        <w:pStyle w:val="BodyText"/>
      </w:pPr>
      <w:r>
        <w:rPr>
          <w:b/>
          <w:bCs/>
        </w:rPr>
        <w:t xml:space="preserve">I segnali che pesa in questo paziente.</w:t>
      </w:r>
      <w:r>
        <w:t xml:space="preserve"> </w:t>
      </w:r>
      <w:r>
        <w:t xml:space="preserve">Ginocchio caldo. Circonferenza aumentata rispetto al controlaterale. Escursione che non si recupera fra le sedute.</w:t>
      </w:r>
    </w:p>
    <w:p>
      <w:pPr>
        <w:pStyle w:val="BodyText"/>
      </w:pPr>
      <w:r>
        <w:t xml:space="preserve">La metà circolatoria del modello — ritorno venoso e linfatico — qui non è pertinente, e non viene invocata come leva. Nessuno ha quantificato il drenaggio di un ginocchio prima e dopo un trattamento manuale, e la prova più vicina è negativa: drenaggio linfatico manuale contro placebo dopo protesi, 60 pazienti, gonfiore misurato in cieco, nessuna differenza a sette giorni né a tre mesi (Pichonnaz, 2016, PMID 26829760). Il modello resta uno dei cinque; è lo</w:t>
      </w:r>
      <w:r>
        <w:t xml:space="preserve"> </w:t>
      </w:r>
      <w:r>
        <w:rPr>
          <w:b/>
          <w:bCs/>
        </w:rPr>
        <w:t xml:space="preserve">scope</w:t>
      </w:r>
      <w:r>
        <w:t xml:space="preserve"> </w:t>
      </w:r>
      <w:r>
        <w:t xml:space="preserve">a essere ristretto.</w:t>
      </w:r>
    </w:p>
    <w:p>
      <w:pPr>
        <w:pStyle w:val="BlockText"/>
      </w:pPr>
      <w:r>
        <w:rPr>
          <w:b/>
          <w:bCs/>
        </w:rPr>
        <w:t xml:space="preserve">Quanto è solido:</w:t>
      </w:r>
      <w:r>
        <w:t xml:space="preserve"> </w:t>
      </w:r>
      <w:r>
        <w:rPr>
          <w:b/>
          <w:bCs/>
        </w:rPr>
        <w:t xml:space="preserve">RAGIONAMENTO</w:t>
      </w:r>
      <w:r>
        <w:t xml:space="preserve"> </w:t>
      </w:r>
      <w:r>
        <w:rPr>
          <w:i/>
          <w:iCs/>
        </w:rPr>
        <w:t xml:space="preserve">(cornice clinica, non una prova)</w:t>
      </w:r>
      <w:r>
        <w:t xml:space="preserve"> </w:t>
      </w:r>
      <w:r>
        <w:t xml:space="preserve">per l’uso del versamento come segno di stato dell’irritabilità. Nessuna etichetta più alta è disponibile, perché la misura non esiste — e dove esiste, sul drenaggio, è contraria.</w:t>
      </w:r>
    </w:p>
    <w:p>
      <w:pPr>
        <w:pStyle w:val="FirstParagraph"/>
      </w:pPr>
      <w:r>
        <w:rPr>
          <w:b/>
          <w:bCs/>
        </w:rPr>
        <w:t xml:space="preserve">Le tre cose da ricordare, più una</w:t>
      </w:r>
    </w:p>
    <w:p>
      <w:pPr>
        <w:pStyle w:val="Compact"/>
        <w:numPr>
          <w:ilvl w:val="0"/>
          <w:numId w:val="1025"/>
        </w:numPr>
      </w:pPr>
      <w:r>
        <w:t xml:space="preserve">Due modelli comandano: il biomeccanico per dove metti le mani, il comportamentale per perché quel lavoro cambia qualcosa.</w:t>
      </w:r>
    </w:p>
    <w:p>
      <w:pPr>
        <w:pStyle w:val="Compact"/>
        <w:numPr>
          <w:ilvl w:val="0"/>
          <w:numId w:val="1025"/>
        </w:numPr>
      </w:pPr>
      <w:r>
        <w:t xml:space="preserve">Il modello con la prova più forte porta una leva che non eroghi tu: la dichiari, la segnali e rinvii.</w:t>
      </w:r>
    </w:p>
    <w:p>
      <w:pPr>
        <w:pStyle w:val="Compact"/>
        <w:numPr>
          <w:ilvl w:val="0"/>
          <w:numId w:val="1025"/>
        </w:numPr>
      </w:pPr>
      <w:r>
        <w:t xml:space="preserve">Il respiratorio-circolatorio qui vale come osservazione di uno stato, non come leva. Dichiararlo rende più forte tutto il resto.</w:t>
      </w:r>
    </w:p>
    <w:p>
      <w:pPr>
        <w:pStyle w:val="Compact"/>
        <w:numPr>
          <w:ilvl w:val="0"/>
          <w:numId w:val="1025"/>
        </w:numPr>
      </w:pPr>
      <w:r>
        <w:rPr>
          <w:b/>
          <w:bCs/>
        </w:rPr>
        <w:t xml:space="preserve">Perché ci sei tu.</w:t>
      </w:r>
      <w:r>
        <w:t xml:space="preserve"> </w:t>
      </w:r>
      <w:r>
        <w:t xml:space="preserve">In 215 studi randomizzati su 41.392 persone con artrosi, il 75% della riduzione del dolore compariva anche nel braccio di controllo. La quota va dal 47% dell’infiltrazione al 91% del lavaggio articolare (Zou, 2016, PMID 26882927; su interventi di ogni tipo, non su terapia manuale osteopatica — il salto è di</w:t>
      </w:r>
      <w:r>
        <w:t xml:space="preserve"> </w:t>
      </w:r>
      <w:r>
        <w:rPr>
          <w:b/>
          <w:bCs/>
        </w:rPr>
        <w:t xml:space="preserve">intervento</w:t>
      </w:r>
      <w:r>
        <w:t xml:space="preserve">).</w:t>
      </w:r>
      <w:r>
        <w:t xml:space="preserve"> </w:t>
      </w:r>
      <w:r>
        <w:rPr>
          <w:b/>
          <w:bCs/>
        </w:rPr>
        <w:t xml:space="preserve">Per te:</w:t>
      </w:r>
      <w:r>
        <w:t xml:space="preserve"> </w:t>
      </w:r>
      <w:r>
        <w:t xml:space="preserve">il tempo che dedichi, la spiegazione che dai e le mani che appoggi stanno dentro quella quota, che gli studi non separano dall’effetto specifico, insieme al miglioramento spontaneo. Curare il contesto è cura clinica. Non ti autorizza a chiamarlo effetto della tua tecnica, né a intestarti tutto quel 75%: nessuno ha misurato quanta parte sia la tua condotta e quanta la fluttuazione descritta in «Che cos’è davvero».</w:t>
      </w:r>
    </w:p>
    <w:p>
      <w:r>
        <w:pict>
          <v:rect style="width:0;height:1.5pt" o:hralign="center" o:hrstd="t" o:hr="t"/>
        </w:pict>
      </w:r>
    </w:p>
    <w:bookmarkEnd w:id="37"/>
    <w:bookmarkEnd w:id="38"/>
    <w:bookmarkStart w:id="46" w:name="Xacbba54d860775f2f0fb1d74db74f6f80647774"/>
    <w:p>
      <w:pPr>
        <w:pStyle w:val="Heading2"/>
      </w:pPr>
      <w:r>
        <w:t xml:space="preserve">Capitolo 8 — Come ragiono davanti a questo paziente</w:t>
      </w:r>
    </w:p>
    <w:p>
      <w:pPr>
        <w:pStyle w:val="BlockText"/>
      </w:pPr>
      <w:r>
        <w:rPr>
          <w:b/>
          <w:bCs/>
        </w:rPr>
        <w:t xml:space="preserve">In una riga:</w:t>
      </w:r>
      <w:r>
        <w:t xml:space="preserve"> </w:t>
      </w:r>
      <w:r>
        <w:t xml:space="preserve">prima decidi se è un ginocchio, poi decidi quale piano comanda, e solo dopo decidi dove metti le mani.</w:t>
      </w:r>
    </w:p>
    <w:p>
      <w:pPr>
        <w:pStyle w:val="BlockText"/>
      </w:pPr>
      <w:r>
        <w:rPr>
          <w:b/>
          <w:bCs/>
        </w:rPr>
        <w:t xml:space="preserve">Quanto è solido:</w:t>
      </w:r>
      <w:r>
        <w:t xml:space="preserve"> </w:t>
      </w:r>
      <w:r>
        <w:rPr>
          <w:b/>
          <w:bCs/>
        </w:rPr>
        <w:t xml:space="preserve">RAGIONAMENTO</w:t>
      </w:r>
      <w:r>
        <w:t xml:space="preserve"> </w:t>
      </w:r>
      <w:r>
        <w:rPr>
          <w:i/>
          <w:iCs/>
        </w:rPr>
        <w:t xml:space="preserve">(cornice clinica, non una prova)</w:t>
      </w:r>
      <w:r>
        <w:t xml:space="preserve"> </w:t>
      </w:r>
      <w:r>
        <w:t xml:space="preserve">per l’intero capitolo. È il modo in cui questo studio decide su cosa agire per primo, non un meccanismo dimostrato.</w:t>
      </w:r>
    </w:p>
    <w:p>
      <w:pPr>
        <w:pStyle w:val="BlockText"/>
      </w:pPr>
      <w:r>
        <w:rPr>
          <w:b/>
          <w:bCs/>
        </w:rPr>
        <w:t xml:space="preserve">Definizione.</w:t>
      </w:r>
      <w:r>
        <w:t xml:space="preserve"> </w:t>
      </w:r>
      <w:r>
        <w:t xml:space="preserve">Il</w:t>
      </w:r>
      <w:r>
        <w:t xml:space="preserve"> </w:t>
      </w:r>
      <w:r>
        <w:rPr>
          <w:b/>
          <w:bCs/>
        </w:rPr>
        <w:t xml:space="preserve">sistema dominante</w:t>
      </w:r>
      <w:r>
        <w:t xml:space="preserve"> </w:t>
      </w:r>
      <w:r>
        <w:t xml:space="preserve">è il piano che, in questo paziente, sta consumando più capacità di adattamento degli altri. È l’ipotesi di lavoro che decide su cosa agire per primo, non un fatto misurato: per questo porta sempre l’etichetta RAGIONAMENTO.</w:t>
      </w:r>
    </w:p>
    <w:p>
      <w:pPr>
        <w:pStyle w:val="FirstParagraph"/>
      </w:pPr>
      <w:r>
        <w:rPr>
          <w:b/>
          <w:bCs/>
        </w:rPr>
        <w:t xml:space="preserve">Il principio che regge il capitolo:</w:t>
      </w:r>
      <w:r>
        <w:t xml:space="preserve"> </w:t>
      </w:r>
      <w:r>
        <w:t xml:space="preserve">il posto che duole e il posto che comanda sono due cose diverse. Vale per le strutture, per i meccanismi 4 e 5 e per le leve.</w:t>
      </w:r>
    </w:p>
    <w:bookmarkStart w:id="39" w:name="passo-0-è-un-ginocchio"/>
    <w:p>
      <w:pPr>
        <w:pStyle w:val="Heading3"/>
      </w:pPr>
      <w:r>
        <w:t xml:space="preserve">Passo 0 — è un ginocchio?</w:t>
      </w:r>
    </w:p>
    <w:p>
      <w:pPr>
        <w:pStyle w:val="FirstParagraph"/>
      </w:pPr>
      <w:r>
        <w:t xml:space="preserve">Non è ragionamento: è un filtro di sicurezza, e viene prima. Quattro domande, in quest’ordine.</w:t>
      </w:r>
    </w:p>
    <w:p>
      <w:pPr>
        <w:pStyle w:val="Compact"/>
        <w:numPr>
          <w:ilvl w:val="0"/>
          <w:numId w:val="1026"/>
        </w:numPr>
      </w:pPr>
      <w:r>
        <w:rPr>
          <w:b/>
          <w:bCs/>
        </w:rPr>
        <w:t xml:space="preserve">C’è una riga rossa?</w:t>
      </w:r>
      <w:r>
        <w:t xml:space="preserve"> </w:t>
      </w:r>
      <w:r>
        <w:t xml:space="preserve">Vedi «Dove finisce il nostro campo». Se sì, il ragionamento si ferma qui.</w:t>
      </w:r>
    </w:p>
    <w:p>
      <w:pPr>
        <w:pStyle w:val="Compact"/>
        <w:numPr>
          <w:ilvl w:val="0"/>
          <w:numId w:val="1026"/>
        </w:numPr>
      </w:pPr>
      <w:r>
        <w:rPr>
          <w:b/>
          <w:bCs/>
        </w:rPr>
        <w:t xml:space="preserve">Quanti anni ha, e c’è stato un trauma?</w:t>
      </w:r>
      <w:r>
        <w:t xml:space="preserve"> </w:t>
      </w:r>
      <w:r>
        <w:t xml:space="preserve">Un adolescente con dolore al ginocchio senza trauma è un’anca finché non è dimostrato il contrario.</w:t>
      </w:r>
    </w:p>
    <w:p>
      <w:pPr>
        <w:pStyle w:val="Compact"/>
        <w:numPr>
          <w:ilvl w:val="0"/>
          <w:numId w:val="1026"/>
        </w:numPr>
      </w:pPr>
      <w:r>
        <w:rPr>
          <w:b/>
          <w:bCs/>
        </w:rPr>
        <w:t xml:space="preserve">Il ginocchio risponde all’esame del ginocchio?</w:t>
      </w:r>
      <w:r>
        <w:t xml:space="preserve"> </w:t>
      </w:r>
      <w:r>
        <w:t xml:space="preserve">Se nessuna manovra locale riproduce o modifica il sintomo, la sorgente è probabilmente altrove. Guarda la rotazione interna d’anca, e guarda il rachide lombare, perché una radice L3-L4 si presenta come dolore alla coscia anteriore e al ginocchio.</w:t>
      </w:r>
    </w:p>
    <w:p>
      <w:pPr>
        <w:pStyle w:val="Compact"/>
        <w:numPr>
          <w:ilvl w:val="0"/>
          <w:numId w:val="1026"/>
        </w:numPr>
      </w:pPr>
      <w:r>
        <w:rPr>
          <w:b/>
          <w:bCs/>
        </w:rPr>
        <w:t xml:space="preserve">C’è una protesi in sede?</w:t>
      </w:r>
      <w:r>
        <w:t xml:space="preserve"> </w:t>
      </w:r>
      <w:r>
        <w:t xml:space="preserve">Il dolore dopo una protesi ha cause che questo documento non tratta: si rinvia, e non si apre un ciclo. Il paziente in cui la protesi è stata soltanto</w:t>
      </w:r>
      <w:r>
        <w:t xml:space="preserve"> </w:t>
      </w:r>
      <w:r>
        <w:rPr>
          <w:b/>
          <w:bCs/>
        </w:rPr>
        <w:t xml:space="preserve">nominata</w:t>
      </w:r>
      <w:r>
        <w:t xml:space="preserve"> </w:t>
      </w:r>
      <w:r>
        <w:t xml:space="preserve">è un’altra cosa, ed è il paziente dello slot di questo capitolo.</w:t>
      </w:r>
    </w:p>
    <w:p>
      <w:pPr>
        <w:pStyle w:val="FirstParagraph"/>
      </w:pPr>
      <w:r>
        <w:t xml:space="preserve">L’indagine vera comincia solo dopo.</w:t>
      </w:r>
    </w:p>
    <w:bookmarkEnd w:id="39"/>
    <w:bookmarkStart w:id="40" w:name="la-punta-e-il-sommerso"/>
    <w:p>
      <w:pPr>
        <w:pStyle w:val="Heading3"/>
      </w:pPr>
      <w:r>
        <w:t xml:space="preserve">La punta e il sommerso</w:t>
      </w:r>
    </w:p>
    <w:p>
      <w:pPr>
        <w:pStyle w:val="FirstParagraph"/>
      </w:pPr>
      <w:r>
        <w:t xml:space="preserve">Il paziente porta la punta: il dolore, sempre nello stesso posto. Sotto ci sono tre sommersi possibili, e non producono lo stesso comportamento in stanza.</w:t>
      </w:r>
    </w:p>
    <w:p>
      <w:pPr>
        <w:pStyle w:val="BodyText"/>
      </w:pPr>
      <w:r>
        <w:rPr>
          <w:b/>
          <w:bCs/>
        </w:rPr>
        <w:t xml:space="preserve">Paziente A — il sommerso è il carico.</w:t>
      </w:r>
      <w:r>
        <w:t xml:space="preserve"> </w:t>
      </w:r>
      <w:r>
        <w:t xml:space="preserve">Sessantadue anni, dolore mediale dopo venti minuti di cammino, gonfiore la sera. Coscia più sottile a destra, tre alzate dalla sedia in trenta secondi.</w:t>
      </w:r>
      <w:r>
        <w:t xml:space="preserve"> </w:t>
      </w:r>
      <w:r>
        <w:rPr>
          <w:b/>
          <w:bCs/>
        </w:rPr>
        <w:t xml:space="preserve">Anca e caviglia sono simmetriche e libere</w:t>
      </w:r>
      <w:r>
        <w:t xml:space="preserve">, ed è questo che la separa dal paziente B. Il dolore mediale, in lei, non ha un punto che ritrovate allo stesso millimetro sotto l’interlinea: è profondo e si accende dopo un tempo di cammino. Se avesse quel punto, e l’esame articolare fosse negativo, il sommerso sarebbe un altro — sarebbe un tendine, e avresti più da fare e in meno tempo.</w:t>
      </w:r>
      <w:r>
        <w:t xml:space="preserve"> </w:t>
      </w:r>
      <w:r>
        <w:rPr>
          <w:b/>
          <w:bCs/>
        </w:rPr>
        <w:t xml:space="preserve">Cosa fai:</w:t>
      </w:r>
      <w:r>
        <w:t xml:space="preserve"> </w:t>
      </w:r>
      <w:r>
        <w:t xml:space="preserve">al centro del ciclo stanno la ricostruzione del freno muscolare e la dose di carico che regge. Il lavoro manuale locale è accessorio, e serve a rendere disponibile il gesto. Il marker che decide è la</w:t>
      </w:r>
      <w:r>
        <w:t xml:space="preserve"> </w:t>
      </w:r>
      <w:r>
        <w:rPr>
          <w:b/>
          <w:bCs/>
        </w:rPr>
        <w:t xml:space="preserve">dorsiflessione in carico</w:t>
      </w:r>
      <w:r>
        <w:t xml:space="preserve">, su un piano che non hai trattato. È spesso un paziente razionale: vuole il numero.</w:t>
      </w:r>
    </w:p>
    <w:p>
      <w:pPr>
        <w:pStyle w:val="BodyText"/>
      </w:pPr>
      <w:r>
        <w:rPr>
          <w:b/>
          <w:bCs/>
        </w:rPr>
        <w:t xml:space="preserve">Paziente B — il sommerso sono i vicini.</w:t>
      </w:r>
      <w:r>
        <w:t xml:space="preserve"> </w:t>
      </w:r>
      <w:r>
        <w:t xml:space="preserve">Quarantacinque anni, dolore anteriore correndo, ginocchio che va dentro nello step-down. La dorsiflessione in carico è più corta di sei gradi dal lato sintomatico, cioè oltre l’errore di misura dichiarato.</w:t>
      </w:r>
      <w:r>
        <w:t xml:space="preserve"> </w:t>
      </w:r>
      <w:r>
        <w:rPr>
          <w:b/>
          <w:bCs/>
        </w:rPr>
        <w:t xml:space="preserve">Cosa fai:</w:t>
      </w:r>
      <w:r>
        <w:t xml:space="preserve"> </w:t>
      </w:r>
      <w:r>
        <w:t xml:space="preserve">apri dall’anca e dalla caviglia. Dichiara fin dall’inizio che il beneficio atteso è sul sintomo e sulla corsa disponibile, non su una redistribuzione del carico che nessuno ha misurato. Il marker che decide è la</w:t>
      </w:r>
      <w:r>
        <w:t xml:space="preserve"> </w:t>
      </w:r>
      <w:r>
        <w:rPr>
          <w:b/>
          <w:bCs/>
        </w:rPr>
        <w:t xml:space="preserve">soglia dolorosa su sito remoto</w:t>
      </w:r>
      <w:r>
        <w:t xml:space="preserve">, che sta sul piano nervoso e non su quello meccanico che hai trattato. Un vicino è</w:t>
      </w:r>
      <w:r>
        <w:t xml:space="preserve"> </w:t>
      </w:r>
      <w:r>
        <w:rPr>
          <w:i/>
          <w:iCs/>
        </w:rPr>
        <w:t xml:space="preserve">comandante</w:t>
      </w:r>
      <w:r>
        <w:t xml:space="preserve">, e non semplicemente rigido, quando l’asimmetria supera l’errore di misura</w:t>
      </w:r>
      <w:r>
        <w:t xml:space="preserve"> </w:t>
      </w:r>
      <w:r>
        <w:rPr>
          <w:b/>
          <w:bCs/>
        </w:rPr>
        <w:t xml:space="preserve">e</w:t>
      </w:r>
      <w:r>
        <w:t xml:space="preserve"> </w:t>
      </w:r>
      <w:r>
        <w:t xml:space="preserve">il marker fuori piano si muove dopo il trattamento in prova. È spesso un paziente in difesa: ha smesso il gesto che gli fa male e lo protegge.</w:t>
      </w:r>
    </w:p>
    <w:p>
      <w:pPr>
        <w:pStyle w:val="BodyText"/>
      </w:pPr>
      <w:r>
        <w:rPr>
          <w:b/>
          <w:bCs/>
        </w:rPr>
        <w:t xml:space="preserve">Paziente C — il sommerso è il livello di attivazione.</w:t>
      </w:r>
      <w:r>
        <w:t xml:space="preserve"> </w:t>
      </w:r>
      <w:r>
        <w:t xml:space="preserve">Cinquantasette anni, dolore comparso dopo un lutto o un cambio di lavoro. Il dolore si è allargato dal ginocchio alla coscia, è notturno e sproporzionato al carico svolto. I tessuti reagiscono appena appoggi le mani. Il paziente non stacca, dorme male, e il ginocchio è diventato il posto dove tutto si raccoglie. È quasi sempre un paziente in stato emotivo.</w:t>
      </w:r>
    </w:p>
    <w:p>
      <w:pPr>
        <w:pStyle w:val="BlockText"/>
      </w:pPr>
      <w:r>
        <w:rPr>
          <w:b/>
          <w:bCs/>
        </w:rPr>
        <w:t xml:space="preserve">Definizione.</w:t>
      </w:r>
      <w:r>
        <w:t xml:space="preserve"> </w:t>
      </w:r>
      <w:r>
        <w:t xml:space="preserve">Il</w:t>
      </w:r>
      <w:r>
        <w:t xml:space="preserve"> </w:t>
      </w:r>
      <w:r>
        <w:rPr>
          <w:b/>
          <w:bCs/>
        </w:rPr>
        <w:t xml:space="preserve">livello di attivazione</w:t>
      </w:r>
      <w:r>
        <w:t xml:space="preserve"> </w:t>
      </w:r>
      <w:r>
        <w:t xml:space="preserve">è quanto il sistema nervoso di questo paziente tiene alta la guardia: il guadagno alzato al midollo — cioè la «soglia che si abbassa» del meccanismo 3 — più lo stato di allerta, l’aspettativa e la paura che lo mantengono. Non è un’altra cosa rispetto al meccanismo 3: è quel meccanismo insieme ai suoi alimentatori comportamentali, guardati insieme perché insieme si trattano. Si riconosce da dolorabilità su siti lontani dal ginocchio, dolore sproporzionato e allargato, tessuti reattivi al primo contatto.</w:t>
      </w:r>
    </w:p>
    <w:p>
      <w:pPr>
        <w:pStyle w:val="FirstParagraph"/>
      </w:pPr>
      <w:r>
        <w:rPr>
          <w:b/>
          <w:bCs/>
        </w:rPr>
        <w:t xml:space="preserve">Cosa fai.</w:t>
      </w:r>
      <w:r>
        <w:t xml:space="preserve"> </w:t>
      </w:r>
      <w:r>
        <w:t xml:space="preserve">Va scritto per esteso, perché è il punto in cui questa professione manda via il paziente che poteva prendere. Il lavoro sul solo ginocchio non tiene, e questo non significa che le mani non servano:</w:t>
      </w:r>
      <w:r>
        <w:t xml:space="preserve"> </w:t>
      </w:r>
      <w:r>
        <w:rPr>
          <w:b/>
          <w:bCs/>
        </w:rPr>
        <w:t xml:space="preserve">il bersaglio è il livello di attivazione, e su quello una mano agisce</w:t>
      </w:r>
      <w:r>
        <w:t xml:space="preserve">, insieme a una spiegazione che sposta l’attenzione dal tessuto al sistema. È lavoro manuale a tutti gli effetti, mirato altrove. È il paziente in cui puoi fare</w:t>
      </w:r>
      <w:r>
        <w:t xml:space="preserve"> </w:t>
      </w:r>
      <w:r>
        <w:rPr>
          <w:b/>
          <w:bCs/>
        </w:rPr>
        <w:t xml:space="preserve">parecchio</w:t>
      </w:r>
      <w:r>
        <w:t xml:space="preserve">, e il bersaglio non è il ginocchio. Vale con l’etichetta reale di quella leva — IPOTESI per l’effetto sul guadagno — e con i suoi due tempi: lo stato dentro la seduta, la soglia in settimane. Il marker che decide è</w:t>
      </w:r>
      <w:r>
        <w:t xml:space="preserve"> </w:t>
      </w:r>
      <w:r>
        <w:rPr>
          <w:b/>
          <w:bCs/>
        </w:rPr>
        <w:t xml:space="preserve">le alzate in trenta secondi</w:t>
      </w:r>
      <w:r>
        <w:t xml:space="preserve">, sul piano meccanico-funzionale che non hai trattato.</w:t>
      </w:r>
    </w:p>
    <w:bookmarkEnd w:id="40"/>
    <w:bookmarkStart w:id="41" w:name="perché-si-indaga-da-monte"/>
    <w:p>
      <w:pPr>
        <w:pStyle w:val="Heading3"/>
      </w:pPr>
      <w:r>
        <w:t xml:space="preserve">Perché si indaga da monte</w:t>
      </w:r>
    </w:p>
    <w:p>
      <w:pPr>
        <w:pStyle w:val="FirstParagraph"/>
      </w:pPr>
      <w:r>
        <w:t xml:space="preserve">Il corpo sacrifica il comfort per proteggere le funzioni vitali: il piano più alto che risulta disfunzionale comanda su quelli sotto. Su questa condizione «monte»</w:t>
      </w:r>
      <w:r>
        <w:t xml:space="preserve"> </w:t>
      </w:r>
      <w:r>
        <w:rPr>
          <w:b/>
          <w:bCs/>
        </w:rPr>
        <w:t xml:space="preserve">non è una coordinata anatomica</w:t>
      </w:r>
      <w:r>
        <w:t xml:space="preserve">. Il piano più a monte è il livello di attivazione quando è alterato, e il carico assoluto quando è il vincolo. Anca e caviglia sono piani meccanici adiacenti, e stanno nel ragionamento al loro posto, che è dopo.</w:t>
      </w:r>
    </w:p>
    <w:p>
      <w:pPr>
        <w:pStyle w:val="BodyText"/>
      </w:pPr>
      <w:r>
        <w:rPr>
          <w:b/>
          <w:bCs/>
        </w:rPr>
        <w:t xml:space="preserve">Una regola del metodo qui non c’è, e il motivo va scritto.</w:t>
      </w:r>
      <w:r>
        <w:t xml:space="preserve"> </w:t>
      </w:r>
      <w:r>
        <w:t xml:space="preserve">«Non trattare il punto in cui il paziente sente» non si applica alla scelta del bersaglio, e non viene attenuata: viene tolta. Il motivo è un fatto — su questa condizione gli interventi con le prove migliori si applicano esattamente sul ginocchio e sul gesto che duole. Quello che resta, intatto e con potere di discriminare, è la regola di verifica che trovi qui sotto: il marker con cui rivaluti appartiene a un piano che non hai trattato.</w:t>
      </w:r>
    </w:p>
    <w:p>
      <w:pPr>
        <w:pStyle w:val="BodyText"/>
      </w:pPr>
      <w:r>
        <w:t xml:space="preserve">E non è un’asserzione: la catena si verifica con la fisiologia dei capitoli precedenti. Se il guadagno è alto, ogni miglioramento meccanico viene risegnalato come dolore. Se dolore e versamento restano, l’inibizione riflessa non molla. E se l’estensore non recluta, il paziente non carica, quindi la tolleranza che il carico ripetuto doveva costruire non si costruisce. Finché il primo anello è aperto, gli altri due non si chiudono.</w:t>
      </w:r>
    </w:p>
    <w:bookmarkEnd w:id="41"/>
    <w:bookmarkStart w:id="42" w:name="la-prova-della-chiave-di-volta"/>
    <w:p>
      <w:pPr>
        <w:pStyle w:val="Heading3"/>
      </w:pPr>
      <w:r>
        <w:t xml:space="preserve">La prova della chiave di volta</w:t>
      </w:r>
    </w:p>
    <w:p>
      <w:pPr>
        <w:pStyle w:val="FirstParagraph"/>
      </w:pPr>
      <w:r>
        <w:t xml:space="preserve">Tratti in prova il piano che sospetti dominante, poi rivaluti.</w:t>
      </w:r>
      <w:r>
        <w:t xml:space="preserve"> </w:t>
      </w:r>
      <w:r>
        <w:rPr>
          <w:b/>
          <w:bCs/>
        </w:rPr>
        <w:t xml:space="preserve">Il marker che decide deve appartenere a un piano che non hai trattato</w:t>
      </w:r>
      <w:r>
        <w:t xml:space="preserve">, altrimenti stai misurando l’effetto immediato del tuo gesto e non il cambiamento del sistema. È come chiedere a chi ha fatto il lavoro se il lavoro è venuto bene.</w:t>
      </w:r>
    </w:p>
    <w:p>
      <w:pPr>
        <w:pStyle w:val="BlockText"/>
      </w:pPr>
      <w:r>
        <w:rPr>
          <w:b/>
          <w:bCs/>
        </w:rPr>
        <w:t xml:space="preserve">Definizione.</w:t>
      </w:r>
      <w:r>
        <w:t xml:space="preserve"> </w:t>
      </w:r>
      <w:r>
        <w:t xml:space="preserve">Il</w:t>
      </w:r>
      <w:r>
        <w:t xml:space="preserve"> </w:t>
      </w:r>
      <w:r>
        <w:rPr>
          <w:b/>
          <w:bCs/>
        </w:rPr>
        <w:t xml:space="preserve">marker</w:t>
      </w:r>
      <w:r>
        <w:t xml:space="preserve"> </w:t>
      </w:r>
      <w:r>
        <w:t xml:space="preserve">è un segno misurabile che scegli</w:t>
      </w:r>
      <w:r>
        <w:t xml:space="preserve"> </w:t>
      </w:r>
      <w:r>
        <w:rPr>
          <w:b/>
          <w:bCs/>
        </w:rPr>
        <w:t xml:space="preserve">prima</w:t>
      </w:r>
      <w:r>
        <w:t xml:space="preserve"> </w:t>
      </w:r>
      <w:r>
        <w:t xml:space="preserve">di trattare e che rimisuri dopo, per sapere se quello che hai fatto ha cambiato qualcosa. Non è il sintomo del paziente: è il segno che ti dice se la tua ipotesi era giusta.</w:t>
      </w:r>
    </w:p>
    <w:p>
      <w:pPr>
        <w:pStyle w:val="FirstParagraph"/>
      </w:pPr>
      <w:r>
        <w:t xml:space="preserve">Quattro condizioni. Misurabile in meno di un minuto, con lo stesso metodo prima e dopo. Scelto prima e non cambiato dopo aver visto il risultato, perché questo ginocchio migliora anche da solo. Su un piano che non hai trattato. Con una soglia dichiarata. Chiamo</w:t>
      </w:r>
      <w:r>
        <w:t xml:space="preserve"> </w:t>
      </w:r>
      <w:r>
        <w:rPr>
          <w:b/>
          <w:bCs/>
        </w:rPr>
        <w:t xml:space="preserve">marker locale</w:t>
      </w:r>
      <w:r>
        <w:t xml:space="preserve"> </w:t>
      </w:r>
      <w:r>
        <w:t xml:space="preserve">quello sul piano trattato e</w:t>
      </w:r>
      <w:r>
        <w:t xml:space="preserve"> </w:t>
      </w:r>
      <w:r>
        <w:rPr>
          <w:b/>
          <w:bCs/>
        </w:rPr>
        <w:t xml:space="preserve">marker remoto</w:t>
      </w:r>
      <w:r>
        <w:t xml:space="preserve"> </w:t>
      </w:r>
      <w:r>
        <w:t xml:space="preserve">quello fuori: è sempre il secondo a decidere.</w:t>
      </w:r>
    </w:p>
    <w:bookmarkEnd w:id="42"/>
    <w:bookmarkStart w:id="43" w:name="i-marker-di-questa-condizione"/>
    <w:p>
      <w:pPr>
        <w:pStyle w:val="Heading3"/>
      </w:pPr>
      <w:r>
        <w:t xml:space="preserve">I marker di questa condizione</w:t>
      </w:r>
    </w:p>
    <w:p>
      <w:pPr>
        <w:pStyle w:val="FirstParagraph"/>
      </w:pPr>
      <w:r>
        <w:t xml:space="preserve">Quattro, ciascuno fuori dal piano degli altri.</w:t>
      </w:r>
      <w:r>
        <w:t xml:space="preserve"> </w:t>
      </w:r>
      <w:r>
        <w:rPr>
          <w:b/>
          <w:bCs/>
        </w:rPr>
        <w:t xml:space="preserve">Ogni soglia porta la sua provenienza</w:t>
      </w:r>
      <w:r>
        <w:t xml:space="preserve">: una soglia senza provenienza è un numero inventato.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Marker</w:t>
            </w:r>
          </w:p>
        </w:tc>
        <w:tc>
          <w:tcPr/>
          <w:p>
            <w:pPr>
              <w:pStyle w:val="Compact"/>
            </w:pPr>
            <w:r>
              <w:t xml:space="preserve">Come si misura</w:t>
            </w:r>
          </w:p>
        </w:tc>
        <w:tc>
          <w:tcPr/>
          <w:p>
            <w:pPr>
              <w:pStyle w:val="Compact"/>
            </w:pPr>
            <w:r>
              <w:t xml:space="preserve">Soglia</w:t>
            </w:r>
          </w:p>
        </w:tc>
        <w:tc>
          <w:tcPr/>
          <w:p>
            <w:pPr>
              <w:pStyle w:val="Compact"/>
            </w:pPr>
            <w:r>
              <w:t xml:space="preserve">Provenienza</w:t>
            </w:r>
          </w:p>
        </w:tc>
      </w:tr>
      <w:tr>
        <w:tc>
          <w:tcPr/>
          <w:p>
            <w:pPr>
              <w:pStyle w:val="Compact"/>
            </w:pPr>
            <w:r>
              <w:t xml:space="preserve">Alzate dalla sedia in 30 secondi</w:t>
            </w:r>
          </w:p>
        </w:tc>
        <w:tc>
          <w:tcPr/>
          <w:p>
            <w:pPr>
              <w:pStyle w:val="Compact"/>
            </w:pPr>
            <w:r>
              <w:t xml:space="preserve">Sedia standard, braccia incrociate</w:t>
            </w:r>
          </w:p>
        </w:tc>
        <w:tc>
          <w:tcPr/>
          <w:p>
            <w:pPr>
              <w:pStyle w:val="Compact"/>
            </w:pPr>
            <w:r>
              <w:t xml:space="preserve">2 ripetizioni</w:t>
            </w:r>
          </w:p>
        </w:tc>
        <w:tc>
          <w:tcPr/>
          <w:p>
            <w:pPr>
              <w:pStyle w:val="Compact"/>
            </w:pPr>
            <w:r>
              <w:t xml:space="preserve">Errore raddoppiato</w:t>
            </w:r>
          </w:p>
        </w:tc>
      </w:tr>
      <w:tr>
        <w:tc>
          <w:tcPr/>
          <w:p>
            <w:pPr>
              <w:pStyle w:val="Compact"/>
            </w:pPr>
            <w:r>
              <w:t xml:space="preserve">Dorsiflessione in carico</w:t>
            </w:r>
          </w:p>
        </w:tc>
        <w:tc>
          <w:tcPr/>
          <w:p>
            <w:pPr>
              <w:pStyle w:val="Compact"/>
            </w:pPr>
            <w:r>
              <w:t xml:space="preserve">Affondo al muro, tallone a terra</w:t>
            </w:r>
          </w:p>
        </w:tc>
        <w:tc>
          <w:tcPr/>
          <w:p>
            <w:pPr>
              <w:pStyle w:val="Compact"/>
            </w:pPr>
            <w:r>
              <w:t xml:space="preserve">5 gradi</w:t>
            </w:r>
          </w:p>
        </w:tc>
        <w:tc>
          <w:tcPr/>
          <w:p>
            <w:pPr>
              <w:pStyle w:val="Compact"/>
            </w:pPr>
            <w:r>
              <w:t xml:space="preserve">Errore minimo pubblicato</w:t>
            </w:r>
          </w:p>
        </w:tc>
      </w:tr>
      <w:tr>
        <w:tc>
          <w:tcPr/>
          <w:p>
            <w:pPr>
              <w:pStyle w:val="Compact"/>
            </w:pPr>
            <w:r>
              <w:t xml:space="preserve">Gradini prima del sintomo</w:t>
            </w:r>
          </w:p>
        </w:tc>
        <w:tc>
          <w:tcPr/>
          <w:p>
            <w:pPr>
              <w:pStyle w:val="Compact"/>
            </w:pPr>
            <w:r>
              <w:t xml:space="preserve">Stessa scala, stesso passo</w:t>
            </w:r>
          </w:p>
        </w:tc>
        <w:tc>
          <w:tcPr/>
          <w:p>
            <w:pPr>
              <w:pStyle w:val="Compact"/>
            </w:pPr>
            <w:r>
              <w:t xml:space="preserve">3 gradini</w:t>
            </w:r>
          </w:p>
        </w:tc>
        <w:tc>
          <w:tcPr/>
          <w:p>
            <w:pPr>
              <w:pStyle w:val="Compact"/>
            </w:pPr>
            <w:r>
              <w:t xml:space="preserve">Convenzione dichiarata</w:t>
            </w:r>
          </w:p>
        </w:tc>
      </w:tr>
      <w:tr>
        <w:tc>
          <w:tcPr/>
          <w:p>
            <w:pPr>
              <w:pStyle w:val="Compact"/>
            </w:pPr>
            <w:r>
              <w:t xml:space="preserve">Soglia dolorosa su sito remoto</w:t>
            </w:r>
          </w:p>
        </w:tc>
        <w:tc>
          <w:tcPr/>
          <w:p>
            <w:pPr>
              <w:pStyle w:val="Compact"/>
            </w:pPr>
            <w:r>
              <w:t xml:space="preserve">Algometro, avambraccio</w:t>
            </w:r>
          </w:p>
        </w:tc>
        <w:tc>
          <w:tcPr/>
          <w:p>
            <w:pPr>
              <w:pStyle w:val="Compact"/>
            </w:pPr>
            <w:r>
              <w:t xml:space="preserve">20%</w:t>
            </w:r>
          </w:p>
        </w:tc>
        <w:tc>
          <w:tcPr/>
          <w:p>
            <w:pPr>
              <w:pStyle w:val="Compact"/>
            </w:pPr>
            <w:r>
              <w:t xml:space="preserve">Convenzione dichiarata</w:t>
            </w:r>
          </w:p>
        </w:tc>
      </w:tr>
    </w:tbl>
    <w:p>
      <w:pPr>
        <w:pStyle w:val="BodyText"/>
      </w:pPr>
      <w:r>
        <w:t xml:space="preserve">Le provenienze, per esteso.</w:t>
      </w:r>
    </w:p>
    <w:p>
      <w:pPr>
        <w:pStyle w:val="Compact"/>
        <w:numPr>
          <w:ilvl w:val="0"/>
          <w:numId w:val="1027"/>
        </w:numPr>
      </w:pPr>
      <w:r>
        <w:rPr>
          <w:b/>
          <w:bCs/>
        </w:rPr>
        <w:t xml:space="preserve">Alzate in trenta secondi.</w:t>
      </w:r>
      <w:r>
        <w:t xml:space="preserve"> </w:t>
      </w:r>
      <w:r>
        <w:t xml:space="preserve">È un test raccomandato dall’OARSI, la società internazionale che si occupa di artrosi. L’errore di misura è sotto il 10% del valore (Dobson, 2017, PMID 28647467). Su dieci-undici ripetizioni tipiche il 10% è circa una ripetizione: due è</w:t>
      </w:r>
      <w:r>
        <w:t xml:space="preserve"> </w:t>
      </w:r>
      <w:r>
        <w:rPr>
          <w:b/>
          <w:bCs/>
        </w:rPr>
        <w:t xml:space="preserve">l’errore dello strumento raddoppiato</w:t>
      </w:r>
      <w:r>
        <w:t xml:space="preserve">.</w:t>
      </w:r>
    </w:p>
    <w:p>
      <w:pPr>
        <w:pStyle w:val="Compact"/>
        <w:numPr>
          <w:ilvl w:val="0"/>
          <w:numId w:val="1027"/>
        </w:numPr>
      </w:pPr>
      <w:r>
        <w:rPr>
          <w:b/>
          <w:bCs/>
        </w:rPr>
        <w:t xml:space="preserve">Dorsiflessione in carico.</w:t>
      </w:r>
      <w:r>
        <w:t xml:space="preserve"> </w:t>
      </w:r>
      <w:r>
        <w:t xml:space="preserve">L’affondo al muro ha un cambiamento minimo rilevabile fra esaminatori diversi di</w:t>
      </w:r>
      <w:r>
        <w:t xml:space="preserve"> </w:t>
      </w:r>
      <w:r>
        <w:rPr>
          <w:b/>
          <w:bCs/>
        </w:rPr>
        <w:t xml:space="preserve">4,6 gradi, cioè 1,6 cm</w:t>
      </w:r>
      <w:r>
        <w:t xml:space="preserve"> </w:t>
      </w:r>
      <w:r>
        <w:t xml:space="preserve">(Powden e Hoch, 2015, PMID 25704110). Cinque gradi è quel numero arrotondato. Powden fonda l’affidabilità della misura; la sua pertinenza a una patologia da carico del ginocchio la fonda Backman (2011, PMID 21917610), con il doppio salto dichiarato in «Cosa si rompe».</w:t>
      </w:r>
    </w:p>
    <w:p>
      <w:pPr>
        <w:pStyle w:val="Compact"/>
        <w:numPr>
          <w:ilvl w:val="0"/>
          <w:numId w:val="1027"/>
        </w:numPr>
      </w:pPr>
      <w:r>
        <w:rPr>
          <w:b/>
          <w:bCs/>
        </w:rPr>
        <w:t xml:space="preserve">Gradini prima del sintomo.</w:t>
      </w:r>
      <w:r>
        <w:t xml:space="preserve"> </w:t>
      </w:r>
      <w:r>
        <w:t xml:space="preserve">Nessuno ha pubblicato una soglia. Tre gradini è una</w:t>
      </w:r>
      <w:r>
        <w:t xml:space="preserve"> </w:t>
      </w:r>
      <w:r>
        <w:rPr>
          <w:b/>
          <w:bCs/>
        </w:rPr>
        <w:t xml:space="preserve">convenzione di metodo</w:t>
      </w:r>
      <w:r>
        <w:t xml:space="preserve">, posta sopra la variabilità di due prove consecutive, dichiarata come convenzione e non come dato.</w:t>
      </w:r>
    </w:p>
    <w:p>
      <w:pPr>
        <w:pStyle w:val="Compact"/>
        <w:numPr>
          <w:ilvl w:val="0"/>
          <w:numId w:val="1027"/>
        </w:numPr>
      </w:pPr>
      <w:r>
        <w:rPr>
          <w:b/>
          <w:bCs/>
        </w:rPr>
        <w:t xml:space="preserve">Soglia dolorosa su sito remoto.</w:t>
      </w:r>
      <w:r>
        <w:t xml:space="preserve"> </w:t>
      </w:r>
      <w:r>
        <w:t xml:space="preserve">È il marker giusto per questa condizione e non richiede un salto: in 48 pazienti con artrosi di ginocchio le soglie pressorie sono ridotte al ginocchio, alla gamba</w:t>
      </w:r>
      <w:r>
        <w:t xml:space="preserve"> </w:t>
      </w:r>
      <w:r>
        <w:rPr>
          <w:b/>
          <w:bCs/>
        </w:rPr>
        <w:t xml:space="preserve">e all’avambraccio</w:t>
      </w:r>
      <w:r>
        <w:t xml:space="preserve">, senza correlazione con il reperto radiologico (Arendt-Nielsen, 2010, PMID 20418016). L’affidabilità dell’</w:t>
      </w:r>
      <w:r>
        <w:rPr>
          <w:b/>
          <w:bCs/>
        </w:rPr>
        <w:t xml:space="preserve">algometro</w:t>
      </w:r>
      <w:r>
        <w:t xml:space="preserve"> </w:t>
      </w:r>
      <w:r>
        <w:t xml:space="preserve">— lo strumento a pressione che misura la soglia del dolore — su sito remoto è ottima, con coefficienti fra 0,88 e 0,97: due misure ripetute danno quasi lo stesso numero (de Oliveira e Massé-Alarie, 2023, PMID 36917769; affidabilità misurata nella lombalgia cronica — il salto è di</w:t>
      </w:r>
      <w:r>
        <w:t xml:space="preserve"> </w:t>
      </w:r>
      <w:r>
        <w:rPr>
          <w:b/>
          <w:bCs/>
        </w:rPr>
        <w:t xml:space="preserve">popolazione</w:t>
      </w:r>
      <w:r>
        <w:t xml:space="preserve">). Il 20% è una convenzione sopra l’errore dello strumento.</w:t>
      </w:r>
      <w:r>
        <w:t xml:space="preserve"> </w:t>
      </w:r>
      <w:r>
        <w:rPr>
          <w:b/>
          <w:bCs/>
        </w:rPr>
        <w:t xml:space="preserve">Senza algometro</w:t>
      </w:r>
      <w:r>
        <w:t xml:space="preserve">, il ripiego è una provocazione remota standardizzata, ripetuta con lo stesso metodo e dichiarata come convenzione, non come misura.</w:t>
      </w:r>
    </w:p>
    <w:p>
      <w:pPr>
        <w:pStyle w:val="FirstParagraph"/>
      </w:pPr>
      <w:r>
        <w:rPr>
          <w:b/>
          <w:bCs/>
        </w:rPr>
        <w:t xml:space="preserve">L’escursione che tiene fra le sedute non è un marker.</w:t>
      </w:r>
      <w:r>
        <w:t xml:space="preserve"> </w:t>
      </w:r>
      <w:r>
        <w:t xml:space="preserve">È il segno di stato del ginocchio irritabile, non ha soglia pubblicata e non decide un’ipotesi di piano.</w:t>
      </w:r>
    </w:p>
    <w:p>
      <w:pPr>
        <w:pStyle w:val="BodyText"/>
      </w:pPr>
      <w:r>
        <w:t xml:space="preserve">Quale marker usare, a seconda di dove hai lavorato.</w:t>
      </w:r>
      <w:r>
        <w:t xml:space="preserve"> </w:t>
      </w:r>
      <w:r>
        <w:rPr>
          <w:b/>
          <w:bCs/>
        </w:rPr>
        <w:t xml:space="preserve">La colonna di destra serve a una cosa sola: mostrare che il marker non può confermarti da solo.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Piano trattato</w:t>
            </w:r>
          </w:p>
        </w:tc>
        <w:tc>
          <w:tcPr/>
          <w:p>
            <w:pPr>
              <w:pStyle w:val="Compact"/>
            </w:pPr>
            <w:r>
              <w:t xml:space="preserve">Marker che decide</w:t>
            </w:r>
          </w:p>
        </w:tc>
        <w:tc>
          <w:tcPr/>
          <w:p>
            <w:pPr>
              <w:pStyle w:val="Compact"/>
            </w:pPr>
            <w:r>
              <w:t xml:space="preserve">Perché è fuori piano</w:t>
            </w:r>
          </w:p>
        </w:tc>
      </w:tr>
      <w:tr>
        <w:tc>
          <w:tcPr/>
          <w:p>
            <w:pPr>
              <w:pStyle w:val="Compact"/>
            </w:pPr>
            <w:r>
              <w:t xml:space="preserve">Ginocchio</w:t>
            </w:r>
          </w:p>
        </w:tc>
        <w:tc>
          <w:tcPr/>
          <w:p>
            <w:pPr>
              <w:pStyle w:val="Compact"/>
            </w:pPr>
            <w:r>
              <w:t xml:space="preserve">Dorsiflessione in carico</w:t>
            </w:r>
          </w:p>
        </w:tc>
        <w:tc>
          <w:tcPr/>
          <w:p>
            <w:pPr>
              <w:pStyle w:val="Compact"/>
            </w:pPr>
            <w:r>
              <w:t xml:space="preserve">Piano della caviglia, non toccato</w:t>
            </w:r>
          </w:p>
        </w:tc>
      </w:tr>
      <w:tr>
        <w:tc>
          <w:tcPr/>
          <w:p>
            <w:pPr>
              <w:pStyle w:val="Compact"/>
            </w:pPr>
            <w:r>
              <w:t xml:space="preserve">Anca e caviglia</w:t>
            </w:r>
          </w:p>
        </w:tc>
        <w:tc>
          <w:tcPr/>
          <w:p>
            <w:pPr>
              <w:pStyle w:val="Compact"/>
            </w:pPr>
            <w:r>
              <w:t xml:space="preserve">Soglia dolorosa remota</w:t>
            </w:r>
          </w:p>
        </w:tc>
        <w:tc>
          <w:tcPr/>
          <w:p>
            <w:pPr>
              <w:pStyle w:val="Compact"/>
            </w:pPr>
            <w:r>
              <w:t xml:space="preserve">Piano nervoso, non toccato</w:t>
            </w:r>
          </w:p>
        </w:tc>
      </w:tr>
      <w:tr>
        <w:tc>
          <w:tcPr/>
          <w:p>
            <w:pPr>
              <w:pStyle w:val="Compact"/>
            </w:pPr>
            <w:r>
              <w:t xml:space="preserve">Livello di attivazione</w:t>
            </w:r>
          </w:p>
        </w:tc>
        <w:tc>
          <w:tcPr/>
          <w:p>
            <w:pPr>
              <w:pStyle w:val="Compact"/>
            </w:pPr>
            <w:r>
              <w:t xml:space="preserve">Alzate in 30 secondi</w:t>
            </w:r>
          </w:p>
        </w:tc>
        <w:tc>
          <w:tcPr/>
          <w:p>
            <w:pPr>
              <w:pStyle w:val="Compact"/>
            </w:pPr>
            <w:r>
              <w:t xml:space="preserve">Piano meccanico, non toccato</w:t>
            </w:r>
          </w:p>
        </w:tc>
      </w:tr>
    </w:tbl>
    <w:p>
      <w:pPr>
        <w:pStyle w:val="BlockText"/>
      </w:pPr>
      <w:r>
        <w:rPr>
          <w:b/>
          <w:bCs/>
        </w:rPr>
        <w:t xml:space="preserve">Attenzione.</w:t>
      </w:r>
      <w:r>
        <w:t xml:space="preserve"> </w:t>
      </w:r>
      <w:r>
        <w:t xml:space="preserve">Quando il marker remoto è</w:t>
      </w:r>
      <w:r>
        <w:t xml:space="preserve"> </w:t>
      </w:r>
      <w:r>
        <w:rPr>
          <w:b/>
          <w:bCs/>
        </w:rPr>
        <w:t xml:space="preserve">quello che decide</w:t>
      </w:r>
      <w:r>
        <w:t xml:space="preserve">, la sua immobilità conta contro la tua ipotesi: se non può smentirti, non decide niente. La clausola di salvaguardia — un marker fermo dice solo che quella via non è alterata — vale unicamente per il marker</w:t>
      </w:r>
      <w:r>
        <w:t xml:space="preserve"> </w:t>
      </w:r>
      <w:r>
        <w:rPr>
          <w:b/>
          <w:bCs/>
        </w:rPr>
        <w:t xml:space="preserve">accessorio</w:t>
      </w:r>
      <w:r>
        <w:t xml:space="preserve">.</w:t>
      </w:r>
    </w:p>
    <w:bookmarkEnd w:id="43"/>
    <w:bookmarkStart w:id="44" w:name="la-road-map"/>
    <w:p>
      <w:pPr>
        <w:pStyle w:val="Heading3"/>
      </w:pPr>
      <w:r>
        <w:t xml:space="preserve">La Road Map</w:t>
      </w:r>
    </w:p>
    <w:p>
      <w:pPr>
        <w:pStyle w:val="FirstParagraph"/>
      </w:pPr>
      <w:r>
        <w:t xml:space="preserve">L’ordine dei passi è un</w:t>
      </w:r>
      <w:r>
        <w:t xml:space="preserve"> </w:t>
      </w:r>
      <w:r>
        <w:rPr>
          <w:b/>
          <w:bCs/>
        </w:rPr>
        <w:t xml:space="preserve">ordine di esclusione dei vincoli</w:t>
      </w:r>
      <w:r>
        <w:t xml:space="preserve">, non di frequenza. Sul singolo paziente il dominante è quasi sempre il piano meccanico, ma se sopra c’è un vincolo aperto il lavoro meccanico non si consolida.</w:t>
      </w:r>
    </w:p>
    <w:p>
      <w:pPr>
        <w:pStyle w:val="Compact"/>
        <w:numPr>
          <w:ilvl w:val="0"/>
          <w:numId w:val="1028"/>
        </w:numPr>
      </w:pPr>
      <w:r>
        <w:rPr>
          <w:b/>
          <w:bCs/>
        </w:rPr>
        <w:t xml:space="preserve">È un ginocchio?</w:t>
      </w:r>
      <w:r>
        <w:t xml:space="preserve"> </w:t>
      </w:r>
      <w:r>
        <w:t xml:space="preserve">Passo 0, sopra. Se no, esci.</w:t>
      </w:r>
    </w:p>
    <w:p>
      <w:pPr>
        <w:pStyle w:val="Compact"/>
        <w:numPr>
          <w:ilvl w:val="0"/>
          <w:numId w:val="1028"/>
        </w:numPr>
      </w:pPr>
      <w:r>
        <w:rPr>
          <w:b/>
          <w:bCs/>
        </w:rPr>
        <w:t xml:space="preserve">Qual è lo stato oggi?</w:t>
      </w:r>
      <w:r>
        <w:t xml:space="preserve"> </w:t>
      </w:r>
      <w:r>
        <w:t xml:space="preserve">Un ginocchio irritabile — caldo, gonfio, che non recupera l’escursione — cambia l’uscita del triage. Il bersaglio diventa lo</w:t>
      </w:r>
      <w:r>
        <w:t xml:space="preserve"> </w:t>
      </w:r>
      <w:r>
        <w:rPr>
          <w:b/>
          <w:bCs/>
        </w:rPr>
        <w:t xml:space="preserve">stato di irritabilità</w:t>
      </w:r>
      <w:r>
        <w:t xml:space="preserve">: poco sul ginocchio, molto attorno, canale medico in parallelo con il tetto dimezzato del GIALLO prioritario. Il</w:t>
      </w:r>
      <w:r>
        <w:t xml:space="preserve"> </w:t>
      </w:r>
      <w:r>
        <w:rPr>
          <w:b/>
          <w:bCs/>
        </w:rPr>
        <w:t xml:space="preserve">segno di stato</w:t>
      </w:r>
      <w:r>
        <w:t xml:space="preserve"> </w:t>
      </w:r>
      <w:r>
        <w:t xml:space="preserve">è l’escursione che tiene fra una seduta e l’altra, non il dolore del momento. Se non tiene, l’irritabilità non era il tuo bersaglio, e la spinta medica diventa prioritaria.</w:t>
      </w:r>
    </w:p>
    <w:p>
      <w:pPr>
        <w:pStyle w:val="Compact"/>
        <w:numPr>
          <w:ilvl w:val="0"/>
          <w:numId w:val="1028"/>
        </w:numPr>
      </w:pPr>
      <w:r>
        <w:rPr>
          <w:b/>
          <w:bCs/>
        </w:rPr>
        <w:t xml:space="preserve">Il livello di attivazione è il vincolo?</w:t>
      </w:r>
      <w:r>
        <w:t xml:space="preserve"> </w:t>
      </w:r>
      <w:r>
        <w:t xml:space="preserve">Se sì, comincia da lì, con la leva che agisce sull’attivazione.</w:t>
      </w:r>
    </w:p>
    <w:p>
      <w:pPr>
        <w:pStyle w:val="Compact"/>
        <w:numPr>
          <w:ilvl w:val="0"/>
          <w:numId w:val="1028"/>
        </w:numPr>
      </w:pPr>
      <w:r>
        <w:rPr>
          <w:b/>
          <w:bCs/>
        </w:rPr>
        <w:t xml:space="preserve">Il carico assoluto è il vincolo?</w:t>
      </w:r>
      <w:r>
        <w:t xml:space="preserve"> </w:t>
      </w:r>
      <w:r>
        <w:t xml:space="preserve">Se il sintomo è proporzionale al cammino e il peso è cresciuto, la leva principale non è tua: si segnala e si rinvia, e si lavora su ciò che è tuo.</w:t>
      </w:r>
    </w:p>
    <w:p>
      <w:pPr>
        <w:pStyle w:val="Compact"/>
        <w:numPr>
          <w:ilvl w:val="0"/>
          <w:numId w:val="1028"/>
        </w:numPr>
      </w:pPr>
      <w:r>
        <w:rPr>
          <w:b/>
          <w:bCs/>
        </w:rPr>
        <w:t xml:space="preserve">Quale piano meccanico concede meno?</w:t>
      </w:r>
      <w:r>
        <w:t xml:space="preserve"> </w:t>
      </w:r>
      <w:r>
        <w:t xml:space="preserve">Anca, caviglia o ginocchio. Si apre da lì, con il marker fuori piano scelto prima. Attenzione: «concede meno» è un criterio di escursione, non di dominanza. Un piano può concedere meno perché sta compensando, e a stabilirlo è il marker fuori piano, non la rigidità.</w:t>
      </w:r>
    </w:p>
    <w:bookmarkEnd w:id="44"/>
    <w:bookmarkStart w:id="45" w:name="i-tre-stati-del-paziente"/>
    <w:p>
      <w:pPr>
        <w:pStyle w:val="Heading3"/>
      </w:pPr>
      <w:r>
        <w:t xml:space="preserve">I tre stati del paziente</w:t>
      </w:r>
    </w:p>
    <w:p>
      <w:pPr>
        <w:pStyle w:val="Compact"/>
        <w:numPr>
          <w:ilvl w:val="0"/>
          <w:numId w:val="1029"/>
        </w:numPr>
      </w:pPr>
      <w:r>
        <w:rPr>
          <w:b/>
          <w:bCs/>
        </w:rPr>
        <w:t xml:space="preserve">In difesa</w:t>
      </w:r>
      <w:r>
        <w:t xml:space="preserve"> </w:t>
      </w:r>
      <w:r>
        <w:t xml:space="preserve">— teso, monosillabi, ritira la gamba appena la tocchi. Parla al bisogno di sicurezza: tocco lento, ritmo prevedibile, annuncia ogni cosa prima di farla.</w:t>
      </w:r>
    </w:p>
    <w:p>
      <w:pPr>
        <w:pStyle w:val="Compact"/>
        <w:numPr>
          <w:ilvl w:val="0"/>
          <w:numId w:val="1029"/>
        </w:numPr>
      </w:pPr>
      <w:r>
        <w:rPr>
          <w:b/>
          <w:bCs/>
        </w:rPr>
        <w:t xml:space="preserve">Emotivo</w:t>
      </w:r>
      <w:r>
        <w:t xml:space="preserve"> </w:t>
      </w:r>
      <w:r>
        <w:t xml:space="preserve">— racconta il lutto, il lavoro, la paura di finire come la madre. Parla al bisogno di essere capito: è spesso il paziente C.</w:t>
      </w:r>
    </w:p>
    <w:p>
      <w:pPr>
        <w:pStyle w:val="Compact"/>
        <w:numPr>
          <w:ilvl w:val="0"/>
          <w:numId w:val="1029"/>
        </w:numPr>
      </w:pPr>
      <w:r>
        <w:rPr>
          <w:b/>
          <w:bCs/>
        </w:rPr>
        <w:t xml:space="preserve">Razionale</w:t>
      </w:r>
      <w:r>
        <w:t xml:space="preserve"> </w:t>
      </w:r>
      <w:r>
        <w:t xml:space="preserve">— vuole il numero. Mostragli il marker prima e dopo: è l’unico registro che lo convince, e il più onesto.</w:t>
      </w:r>
    </w:p>
    <w:p>
      <w:pPr>
        <w:pStyle w:val="FirstParagraph"/>
      </w:pPr>
      <w:r>
        <w:rPr>
          <w:b/>
          <w:bCs/>
        </w:rPr>
        <w:t xml:space="preserve">Le tre cose da ricordare, più una</w:t>
      </w:r>
    </w:p>
    <w:p>
      <w:pPr>
        <w:pStyle w:val="Compact"/>
        <w:numPr>
          <w:ilvl w:val="0"/>
          <w:numId w:val="1030"/>
        </w:numPr>
      </w:pPr>
      <w:r>
        <w:t xml:space="preserve">Il passo 0 non è un’introduzione: è il passo che impedisce di trattare per otto settimane un’anca chiamandola ginocchio.</w:t>
      </w:r>
    </w:p>
    <w:p>
      <w:pPr>
        <w:pStyle w:val="Compact"/>
        <w:numPr>
          <w:ilvl w:val="0"/>
          <w:numId w:val="1030"/>
        </w:numPr>
      </w:pPr>
      <w:r>
        <w:t xml:space="preserve">Il marker si sceglie prima e appartiene a un piano che non tratti. Se non può smentirti, non sta decidendo niente.</w:t>
      </w:r>
    </w:p>
    <w:p>
      <w:pPr>
        <w:pStyle w:val="Compact"/>
        <w:numPr>
          <w:ilvl w:val="0"/>
          <w:numId w:val="1030"/>
        </w:numPr>
      </w:pPr>
      <w:r>
        <w:t xml:space="preserve">Il paziente in cui comanda l’attivazione è quello in cui puoi fare parecchio, e il bersaglio non è il ginocchio: la leva esiste, ha una direzione, e ha la sua etichetta.</w:t>
      </w:r>
    </w:p>
    <w:p>
      <w:pPr>
        <w:pStyle w:val="Compact"/>
        <w:numPr>
          <w:ilvl w:val="0"/>
          <w:numId w:val="1030"/>
        </w:numPr>
      </w:pPr>
      <w:r>
        <w:rPr>
          <w:b/>
          <w:bCs/>
        </w:rPr>
        <w:t xml:space="preserve">Perché ci sei tu.</w:t>
      </w:r>
      <w:r>
        <w:t xml:space="preserve"> </w:t>
      </w:r>
      <w:r>
        <w:t xml:space="preserve">In 100 pazienti</w:t>
      </w:r>
      <w:r>
        <w:t xml:space="preserve"> </w:t>
      </w:r>
      <w:r>
        <w:rPr>
          <w:b/>
          <w:bCs/>
        </w:rPr>
        <w:t xml:space="preserve">già ritenuti candidati alla protesi</w:t>
      </w:r>
      <w:r>
        <w:t xml:space="preserve">, chi ha ricevuto solo un percorso non chirurgico di dodici settimane è migliorato di 16,0 punti su 100. E</w:t>
      </w:r>
      <w:r>
        <w:t xml:space="preserve"> </w:t>
      </w:r>
      <w:r>
        <w:rPr>
          <w:b/>
          <w:bCs/>
        </w:rPr>
        <w:t xml:space="preserve">74 su cento non si erano operati a dodici mesi</w:t>
      </w:r>
      <w:r>
        <w:t xml:space="preserve">. Nello stesso studio il gruppo operato è migliorato di 32,5 punti, circa il doppio, con più eventi avversi seri (Skou, 2015, PMID 26488691; erogato da fisioterapisti e dietisti — il salto è di</w:t>
      </w:r>
      <w:r>
        <w:t xml:space="preserve"> </w:t>
      </w:r>
      <w:r>
        <w:rPr>
          <w:b/>
          <w:bCs/>
        </w:rPr>
        <w:t xml:space="preserve">erogatore</w:t>
      </w:r>
      <w:r>
        <w:t xml:space="preserve">).</w:t>
      </w:r>
      <w:r>
        <w:t xml:space="preserve"> </w:t>
      </w:r>
      <w:r>
        <w:rPr>
          <w:b/>
          <w:bCs/>
        </w:rPr>
        <w:t xml:space="preserve">Per te:</w:t>
      </w:r>
      <w:r>
        <w:t xml:space="preserve"> </w:t>
      </w:r>
      <w:r>
        <w:t xml:space="preserve">«la protesi è già stata nominata» non è la fine del percorso conservativo, e puoi prendere in carico chi arriva con quella frase addosso. Non ti autorizza a sconsigliare l’intervento, né a dare al paziente la sola metà favorevole del confronto.</w:t>
      </w:r>
    </w:p>
    <w:p>
      <w:r>
        <w:pict>
          <v:rect style="width:0;height:1.5pt" o:hralign="center" o:hrstd="t" o:hr="t"/>
        </w:pict>
      </w:r>
    </w:p>
    <w:bookmarkEnd w:id="45"/>
    <w:bookmarkEnd w:id="46"/>
    <w:bookmarkStart w:id="52" w:name="capitolo-9-dove-finisce-il-nostro-campo"/>
    <w:p>
      <w:pPr>
        <w:pStyle w:val="Heading2"/>
      </w:pPr>
      <w:r>
        <w:t xml:space="preserve">Capitolo 9 — Dove finisce il nostro campo</w:t>
      </w:r>
    </w:p>
    <w:p>
      <w:pPr>
        <w:pStyle w:val="BlockText"/>
      </w:pPr>
      <w:r>
        <w:rPr>
          <w:b/>
          <w:bCs/>
        </w:rPr>
        <w:t xml:space="preserve">In una riga:</w:t>
      </w:r>
      <w:r>
        <w:t xml:space="preserve"> </w:t>
      </w:r>
      <w:r>
        <w:t xml:space="preserve">il rischio qui non è la manovra: è il ginocchio che tratti quando la sorgente è altrove, il carico che fai mettere a chi non doveva caricare, e la frase con cui escludi qualcosa che non puoi escludere.</w:t>
      </w:r>
    </w:p>
    <w:p>
      <w:pPr>
        <w:pStyle w:val="FirstParagraph"/>
      </w:pPr>
      <w:r>
        <w:rPr>
          <w:b/>
          <w:bCs/>
        </w:rPr>
        <w:t xml:space="preserve">Quanto è basso il rischio della manovra, e perché lo sappiamo.</w:t>
      </w:r>
      <w:r>
        <w:t xml:space="preserve"> </w:t>
      </w:r>
      <w:r>
        <w:t xml:space="preserve">Sulle articolazioni periferiche gli eventi avversi gravi della terapia manuale sono scarsamente documentati. Quasi tutti quelli segnalati sono benigni (Sheldon e Karas, 2022, PMID 35710214). Quelli minori e transitori sono invece comuni, fra il 22% e il 41% (Carnes, 2010, PMID 20097115).</w:t>
      </w:r>
    </w:p>
    <w:bookmarkStart w:id="47" w:name="le-bandiere-rosse"/>
    <w:p>
      <w:pPr>
        <w:pStyle w:val="Heading3"/>
      </w:pPr>
      <w:r>
        <w:t xml:space="preserve">Le bandiere rosse</w:t>
      </w:r>
    </w:p>
    <w:p>
      <w:pPr>
        <w:pStyle w:val="FirstParagraph"/>
      </w:pPr>
      <w:r>
        <w:rPr>
          <w:b/>
          <w:bCs/>
        </w:rPr>
        <w:t xml:space="preserve">Da dove viene, e come si usa.</w:t>
      </w:r>
      <w:r>
        <w:t xml:space="preserve"> </w:t>
      </w:r>
      <w:r>
        <w:t xml:space="preserve">Il documento europeo sulla diagnosi del ginocchio artrosico non contiene bandiere rosse né criteri di invio (Zhang, 2010, PMID 19762361). Le righe qui sotto vengono da serie di casi, studi di accuratezza e letteratura sugli errori diagnostici, con la fonte riga per riga.</w:t>
      </w:r>
      <w:r>
        <w:t xml:space="preserve"> </w:t>
      </w:r>
      <w:r>
        <w:rPr>
          <w:b/>
          <w:bCs/>
        </w:rPr>
        <w:t xml:space="preserve">Usala come rete, non come filtro:</w:t>
      </w:r>
      <w:r>
        <w:t xml:space="preserve"> </w:t>
      </w:r>
      <w:r>
        <w:t xml:space="preserve">una riga presente ti ferma, tutte assenti non ti autorizzano a escludere niente. In cartella scrivi che l’hai passata in rassegna, non che il paziente è negativo.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Bandiera rossa</w:t>
            </w:r>
          </w:p>
        </w:tc>
        <w:tc>
          <w:tcPr/>
          <w:p>
            <w:pPr>
              <w:pStyle w:val="Compact"/>
            </w:pPr>
            <w:r>
              <w:t xml:space="preserve">A chi si manda</w:t>
            </w:r>
          </w:p>
        </w:tc>
        <w:tc>
          <w:tcPr/>
          <w:p>
            <w:pPr>
              <w:pStyle w:val="Compact"/>
            </w:pPr>
            <w:r>
              <w:t xml:space="preserve">Tempi</w:t>
            </w:r>
          </w:p>
        </w:tc>
        <w:tc>
          <w:tcPr/>
          <w:p>
            <w:pPr>
              <w:pStyle w:val="Compact"/>
            </w:pPr>
            <w:r>
              <w:t xml:space="preserve">Uscita</w:t>
            </w:r>
          </w:p>
        </w:tc>
      </w:tr>
      <w:tr>
        <w:tc>
          <w:tcPr/>
          <w:p>
            <w:pPr>
              <w:pStyle w:val="Compact"/>
            </w:pPr>
            <w:r>
              <w:t xml:space="preserve">Ginocchio caldo e gonfio, non lo muove</w:t>
            </w:r>
          </w:p>
        </w:tc>
        <w:tc>
          <w:tcPr/>
          <w:p>
            <w:pPr>
              <w:pStyle w:val="Compact"/>
            </w:pPr>
            <w:r>
              <w:t xml:space="preserve">Pronto soccorso</w:t>
            </w:r>
          </w:p>
        </w:tc>
        <w:tc>
          <w:tcPr/>
          <w:p>
            <w:pPr>
              <w:pStyle w:val="Compact"/>
            </w:pPr>
            <w:r>
              <w:t xml:space="preserve">112</w:t>
            </w:r>
          </w:p>
        </w:tc>
        <w:tc>
          <w:tcPr/>
          <w:p>
            <w:pPr>
              <w:pStyle w:val="Compact"/>
            </w:pPr>
            <w:r>
              <w:t xml:space="preserve">ROSSO</w:t>
            </w:r>
          </w:p>
        </w:tc>
      </w:tr>
      <w:tr>
        <w:tc>
          <w:tcPr/>
          <w:p>
            <w:pPr>
              <w:pStyle w:val="Compact"/>
            </w:pPr>
            <w:r>
              <w:t xml:space="preserve">Non carica dopo trauma, Ottawa positivo</w:t>
            </w:r>
          </w:p>
        </w:tc>
        <w:tc>
          <w:tcPr/>
          <w:p>
            <w:pPr>
              <w:pStyle w:val="Compact"/>
            </w:pPr>
            <w:r>
              <w:t xml:space="preserve">Pronto soccorso</w:t>
            </w:r>
          </w:p>
        </w:tc>
        <w:tc>
          <w:tcPr/>
          <w:p>
            <w:pPr>
              <w:pStyle w:val="Compact"/>
            </w:pPr>
            <w:r>
              <w:t xml:space="preserve">Urgente</w:t>
            </w:r>
          </w:p>
        </w:tc>
        <w:tc>
          <w:tcPr/>
          <w:p>
            <w:pPr>
              <w:pStyle w:val="Compact"/>
            </w:pPr>
            <w:r>
              <w:t xml:space="preserve">ROSSO</w:t>
            </w:r>
          </w:p>
        </w:tc>
      </w:tr>
      <w:tr>
        <w:tc>
          <w:tcPr/>
          <w:p>
            <w:pPr>
              <w:pStyle w:val="Compact"/>
            </w:pPr>
            <w:r>
              <w:t xml:space="preserve">Non estende attivamente, estensione passiva conservata</w:t>
            </w:r>
          </w:p>
        </w:tc>
        <w:tc>
          <w:tcPr/>
          <w:p>
            <w:pPr>
              <w:pStyle w:val="Compact"/>
            </w:pPr>
            <w:r>
              <w:t xml:space="preserve">Ortopedico</w:t>
            </w:r>
          </w:p>
        </w:tc>
        <w:tc>
          <w:tcPr/>
          <w:p>
            <w:pPr>
              <w:pStyle w:val="Compact"/>
            </w:pPr>
            <w:r>
              <w:t xml:space="preserve">Invio, non attendere</w:t>
            </w:r>
          </w:p>
        </w:tc>
        <w:tc>
          <w:tcPr/>
          <w:p>
            <w:pPr>
              <w:pStyle w:val="Compact"/>
            </w:pPr>
            <w:r>
              <w:t xml:space="preserve">ROSSO</w:t>
            </w:r>
          </w:p>
        </w:tc>
      </w:tr>
      <w:tr>
        <w:tc>
          <w:tcPr/>
          <w:p>
            <w:pPr>
              <w:pStyle w:val="Compact"/>
            </w:pPr>
            <w:r>
              <w:t xml:space="preserve">Blocco vero, non estende né flette</w:t>
            </w:r>
          </w:p>
        </w:tc>
        <w:tc>
          <w:tcPr/>
          <w:p>
            <w:pPr>
              <w:pStyle w:val="Compact"/>
            </w:pPr>
            <w:r>
              <w:t xml:space="preserve">Ortopedico</w:t>
            </w:r>
          </w:p>
        </w:tc>
        <w:tc>
          <w:tcPr/>
          <w:p>
            <w:pPr>
              <w:pStyle w:val="Compact"/>
            </w:pPr>
            <w:r>
              <w:t xml:space="preserve">Invio, non attendere</w:t>
            </w:r>
          </w:p>
        </w:tc>
        <w:tc>
          <w:tcPr/>
          <w:p>
            <w:pPr>
              <w:pStyle w:val="Compact"/>
            </w:pPr>
            <w:r>
              <w:t xml:space="preserve">ROSSO</w:t>
            </w:r>
          </w:p>
        </w:tc>
      </w:tr>
      <w:tr>
        <w:tc>
          <w:tcPr/>
          <w:p>
            <w:pPr>
              <w:pStyle w:val="Compact"/>
            </w:pPr>
            <w:r>
              <w:t xml:space="preserve">Polpaccio dolente e gonfio da un lato</w:t>
            </w:r>
          </w:p>
        </w:tc>
        <w:tc>
          <w:tcPr/>
          <w:p>
            <w:pPr>
              <w:pStyle w:val="Compact"/>
            </w:pPr>
            <w:r>
              <w:t xml:space="preserve">Pronto soccorso</w:t>
            </w:r>
          </w:p>
        </w:tc>
        <w:tc>
          <w:tcPr/>
          <w:p>
            <w:pPr>
              <w:pStyle w:val="Compact"/>
            </w:pPr>
            <w:r>
              <w:t xml:space="preserve">Urgente</w:t>
            </w:r>
          </w:p>
        </w:tc>
        <w:tc>
          <w:tcPr/>
          <w:p>
            <w:pPr>
              <w:pStyle w:val="Compact"/>
            </w:pPr>
            <w:r>
              <w:t xml:space="preserve">ROSSO</w:t>
            </w:r>
          </w:p>
        </w:tc>
      </w:tr>
      <w:tr>
        <w:tc>
          <w:tcPr/>
          <w:p>
            <w:pPr>
              <w:pStyle w:val="Compact"/>
            </w:pPr>
            <w:r>
              <w:t xml:space="preserve">Dolore notturno a riposo non spiegato dal carico</w:t>
            </w:r>
          </w:p>
        </w:tc>
        <w:tc>
          <w:tcPr/>
          <w:p>
            <w:pPr>
              <w:pStyle w:val="Compact"/>
            </w:pPr>
            <w:r>
              <w:t xml:space="preserve">Curante, poi ortopedico</w:t>
            </w:r>
          </w:p>
        </w:tc>
        <w:tc>
          <w:tcPr/>
          <w:p>
            <w:pPr>
              <w:pStyle w:val="Compact"/>
            </w:pPr>
            <w:r>
              <w:t xml:space="preserve">Invio, non attendere</w:t>
            </w:r>
          </w:p>
        </w:tc>
        <w:tc>
          <w:tcPr/>
          <w:p>
            <w:pPr>
              <w:pStyle w:val="Compact"/>
            </w:pPr>
            <w:r>
              <w:t xml:space="preserve">ROSSO</w:t>
            </w:r>
          </w:p>
        </w:tc>
      </w:tr>
      <w:tr>
        <w:tc>
          <w:tcPr/>
          <w:p>
            <w:pPr>
              <w:pStyle w:val="Compact"/>
            </w:pPr>
            <w:r>
              <w:t xml:space="preserve">Over 60, dolore mediale improvviso, non carica</w:t>
            </w:r>
          </w:p>
        </w:tc>
        <w:tc>
          <w:tcPr/>
          <w:p>
            <w:pPr>
              <w:pStyle w:val="Compact"/>
            </w:pPr>
            <w:r>
              <w:t xml:space="preserve">Curante, poi ortopedico</w:t>
            </w:r>
          </w:p>
        </w:tc>
        <w:tc>
          <w:tcPr/>
          <w:p>
            <w:pPr>
              <w:pStyle w:val="Compact"/>
            </w:pPr>
            <w:r>
              <w:t xml:space="preserve">Invio, non attendere</w:t>
            </w:r>
          </w:p>
        </w:tc>
        <w:tc>
          <w:tcPr/>
          <w:p>
            <w:pPr>
              <w:pStyle w:val="Compact"/>
            </w:pPr>
            <w:r>
              <w:t xml:space="preserve">ROSSO</w:t>
            </w:r>
          </w:p>
        </w:tc>
      </w:tr>
      <w:tr>
        <w:tc>
          <w:tcPr/>
          <w:p>
            <w:pPr>
              <w:pStyle w:val="Compact"/>
            </w:pPr>
            <w:r>
              <w:t xml:space="preserve">Adolescente, dolore al ginocchio, no trauma</w:t>
            </w:r>
          </w:p>
        </w:tc>
        <w:tc>
          <w:tcPr/>
          <w:p>
            <w:pPr>
              <w:pStyle w:val="Compact"/>
            </w:pPr>
            <w:r>
              <w:t xml:space="preserve">Ortopedico pediatrico</w:t>
            </w:r>
          </w:p>
        </w:tc>
        <w:tc>
          <w:tcPr/>
          <w:p>
            <w:pPr>
              <w:pStyle w:val="Compact"/>
            </w:pPr>
            <w:r>
              <w:t xml:space="preserve">Urgente</w:t>
            </w:r>
          </w:p>
        </w:tc>
        <w:tc>
          <w:tcPr/>
          <w:p>
            <w:pPr>
              <w:pStyle w:val="Compact"/>
            </w:pPr>
            <w:r>
              <w:t xml:space="preserve">ROSSO</w:t>
            </w:r>
          </w:p>
        </w:tc>
      </w:tr>
      <w:tr>
        <w:tc>
          <w:tcPr/>
          <w:p>
            <w:pPr>
              <w:pStyle w:val="Compact"/>
            </w:pPr>
            <w:r>
              <w:t xml:space="preserve">Esame del ginocchio muto, anca o rachide dolenti</w:t>
            </w:r>
          </w:p>
        </w:tc>
        <w:tc>
          <w:tcPr/>
          <w:p>
            <w:pPr>
              <w:pStyle w:val="Compact"/>
            </w:pPr>
            <w:r>
              <w:t xml:space="preserve">Curante, poi ortopedico</w:t>
            </w:r>
          </w:p>
        </w:tc>
        <w:tc>
          <w:tcPr/>
          <w:p>
            <w:pPr>
              <w:pStyle w:val="Compact"/>
            </w:pPr>
            <w:r>
              <w:t xml:space="preserve">Invio, non attendere</w:t>
            </w:r>
          </w:p>
        </w:tc>
        <w:tc>
          <w:tcPr/>
          <w:p>
            <w:pPr>
              <w:pStyle w:val="Compact"/>
            </w:pPr>
            <w:r>
              <w:t xml:space="preserve">GIALLO prioritario</w:t>
            </w:r>
          </w:p>
        </w:tc>
      </w:tr>
      <w:tr>
        <w:tc>
          <w:tcPr/>
          <w:p>
            <w:pPr>
              <w:pStyle w:val="Compact"/>
            </w:pPr>
            <w:r>
              <w:t xml:space="preserve">Più articolazioni gonfie, rigidità mattutina lunga</w:t>
            </w:r>
          </w:p>
        </w:tc>
        <w:tc>
          <w:tcPr/>
          <w:p>
            <w:pPr>
              <w:pStyle w:val="Compact"/>
            </w:pPr>
            <w:r>
              <w:t xml:space="preserve">Curante, poi reumatologo</w:t>
            </w:r>
          </w:p>
        </w:tc>
        <w:tc>
          <w:tcPr/>
          <w:p>
            <w:pPr>
              <w:pStyle w:val="Compact"/>
            </w:pPr>
            <w:r>
              <w:t xml:space="preserve">Invio</w:t>
            </w:r>
          </w:p>
        </w:tc>
        <w:tc>
          <w:tcPr/>
          <w:p>
            <w:pPr>
              <w:pStyle w:val="Compact"/>
            </w:pPr>
            <w:r>
              <w:t xml:space="preserve">GIALLO prioritario</w:t>
            </w:r>
          </w:p>
        </w:tc>
      </w:tr>
    </w:tbl>
    <w:p>
      <w:pPr>
        <w:pStyle w:val="BodyText"/>
      </w:pPr>
      <w:r>
        <w:rPr>
          <w:b/>
          <w:bCs/>
        </w:rPr>
        <w:t xml:space="preserve">Come si leggono sei righe della tabella, per esteso.</w:t>
      </w:r>
    </w:p>
    <w:p>
      <w:pPr>
        <w:pStyle w:val="Compact"/>
        <w:numPr>
          <w:ilvl w:val="0"/>
          <w:numId w:val="1031"/>
        </w:numPr>
      </w:pPr>
      <w:r>
        <w:rPr>
          <w:b/>
          <w:bCs/>
        </w:rPr>
        <w:t xml:space="preserve">Ginocchio caldo, gonfio, che il paziente non riesce a muovere — con o senza febbre.</w:t>
      </w:r>
      <w:r>
        <w:t xml:space="preserve"> </w:t>
      </w:r>
      <w:r>
        <w:t xml:space="preserve">È un’artrite settica fino a prova contraria.</w:t>
      </w:r>
      <w:r>
        <w:t xml:space="preserve"> </w:t>
      </w:r>
      <w:r>
        <w:rPr>
          <w:b/>
          <w:bCs/>
        </w:rPr>
        <w:t xml:space="preserve">La febbre è presente in poco più della metà dei casi, e la sua assenza non toglie la riga</w:t>
      </w:r>
      <w:r>
        <w:t xml:space="preserve"> </w:t>
      </w:r>
      <w:r>
        <w:t xml:space="preserve">(sensibilità 57%; Margaretten, 2007, PMID 17405973). Ad essere apiretici sono soprattutto gli anziani, i diabetici e chi è in cortisone. Non la escludi con le mani: fra chi arriva in pronto soccorso con una sola articolazione acutamente dolente la frequenza è circa il 27%. E</w:t>
      </w:r>
      <w:r>
        <w:t xml:space="preserve"> </w:t>
      </w:r>
      <w:r>
        <w:rPr>
          <w:b/>
          <w:bCs/>
        </w:rPr>
        <w:t xml:space="preserve">anamnesi ed esame non spostano in modo utile quella probabilità</w:t>
      </w:r>
      <w:r>
        <w:t xml:space="preserve"> </w:t>
      </w:r>
      <w:r>
        <w:t xml:space="preserve">(Carpenter, 2011, PMID 21843213). Gli amplificatori riguardano proprio i pazienti di questo documento:</w:t>
      </w:r>
      <w:r>
        <w:t xml:space="preserve"> </w:t>
      </w:r>
      <w:r>
        <w:rPr>
          <w:b/>
          <w:bCs/>
        </w:rPr>
        <w:t xml:space="preserve">protesi di ginocchio in sede</w:t>
      </w:r>
      <w:r>
        <w:t xml:space="preserve"> </w:t>
      </w:r>
      <w:r>
        <w:t xml:space="preserve">(rapporto di verosimiglianza 15,0 con infezione cutanea sopra l’impianto),</w:t>
      </w:r>
      <w:r>
        <w:t xml:space="preserve"> </w:t>
      </w:r>
      <w:r>
        <w:rPr>
          <w:b/>
          <w:bCs/>
        </w:rPr>
        <w:t xml:space="preserve">chirurgia articolare recente</w:t>
      </w:r>
      <w:r>
        <w:t xml:space="preserve"> </w:t>
      </w:r>
      <w:r>
        <w:t xml:space="preserve">(6,9),</w:t>
      </w:r>
      <w:r>
        <w:t xml:space="preserve"> </w:t>
      </w:r>
      <w:r>
        <w:rPr>
          <w:b/>
          <w:bCs/>
        </w:rPr>
        <w:t xml:space="preserve">infiltrazione nelle ultime settimane</w:t>
      </w:r>
      <w:r>
        <w:t xml:space="preserve">, diabete, immunodepressione. Il paziente non sale sul lettino, e nessun reperto positivo scavalca questa uscita.</w:t>
      </w:r>
    </w:p>
    <w:p>
      <w:pPr>
        <w:pStyle w:val="Compact"/>
        <w:numPr>
          <w:ilvl w:val="0"/>
          <w:numId w:val="1031"/>
        </w:numPr>
      </w:pPr>
      <w:r>
        <w:rPr>
          <w:b/>
          <w:bCs/>
        </w:rPr>
        <w:t xml:space="preserve">Impossibilità di caricare il peso dopo un trauma.</w:t>
      </w:r>
      <w:r>
        <w:t xml:space="preserve"> </w:t>
      </w:r>
      <w:r>
        <w:t xml:space="preserve">È la regola di Ottawa, l’unica riga con un’accuratezza misurata: sensibilità 98,5% e specificità 48,6% su 4.249 adulti (Bachmann, 2004, PMID 14734335). I criteri vanno riportati esatti, perché arrotondarli abbassa la sensibilità reale:</w:t>
      </w:r>
      <w:r>
        <w:t xml:space="preserve"> </w:t>
      </w:r>
      <w:r>
        <w:rPr>
          <w:b/>
          <w:bCs/>
        </w:rPr>
        <w:t xml:space="preserve">55 anni o più</w:t>
      </w:r>
      <w:r>
        <w:t xml:space="preserve">;</w:t>
      </w:r>
      <w:r>
        <w:t xml:space="preserve"> </w:t>
      </w:r>
      <w:r>
        <w:rPr>
          <w:b/>
          <w:bCs/>
        </w:rPr>
        <w:t xml:space="preserve">dolorabilità isolata della rotula</w:t>
      </w:r>
      <w:r>
        <w:t xml:space="preserve">;</w:t>
      </w:r>
      <w:r>
        <w:t xml:space="preserve"> </w:t>
      </w:r>
      <w:r>
        <w:rPr>
          <w:b/>
          <w:bCs/>
        </w:rPr>
        <w:t xml:space="preserve">dolorabilità della testa del perone</w:t>
      </w:r>
      <w:r>
        <w:t xml:space="preserve">;</w:t>
      </w:r>
      <w:r>
        <w:t xml:space="preserve"> </w:t>
      </w:r>
      <w:r>
        <w:rPr>
          <w:b/>
          <w:bCs/>
        </w:rPr>
        <w:t xml:space="preserve">incapacità di flettere a 90 gradi</w:t>
      </w:r>
      <w:r>
        <w:t xml:space="preserve">;</w:t>
      </w:r>
      <w:r>
        <w:t xml:space="preserve"> </w:t>
      </w:r>
      <w:r>
        <w:rPr>
          <w:b/>
          <w:bCs/>
        </w:rPr>
        <w:t xml:space="preserve">incapacità di fare quattro passi</w:t>
      </w:r>
      <w:r>
        <w:t xml:space="preserve">, sia dopo il trauma sia adesso. Decide chi mandare a fare una lastra; non è un consenso a trattare gli altri.</w:t>
      </w:r>
    </w:p>
    <w:p>
      <w:pPr>
        <w:pStyle w:val="Compact"/>
        <w:numPr>
          <w:ilvl w:val="0"/>
          <w:numId w:val="1031"/>
        </w:numPr>
      </w:pPr>
      <w:r>
        <w:rPr>
          <w:b/>
          <w:bCs/>
        </w:rPr>
        <w:t xml:space="preserve">Non estende attivamente il ginocchio, mentre l’estensione passiva è conservata.</w:t>
      </w:r>
      <w:r>
        <w:t xml:space="preserve"> </w:t>
      </w:r>
      <w:r>
        <w:t xml:space="preserve">È la rottura del tendine quadricipitale o rotuleo, il quadro opposto al blocco meccanico. Si guarda in dieci secondi: gamba tesa sollevata contro gravità, confronto con il lato sano. È spesso mancata alla prima valutazione, perché il gonfiore copre il gap sopra la rotula e perché il paziente cammina lo stesso. I fattori di rischio descrivono il paziente di «Chi ti trova davanti»: oltre i cinquant’anni, infiltrazioni di cortisone ripetute, diabete, insufficienza renale, fluorochinoloni. La riparazione tardiva lascia un deficit di estensione permanente. Il</w:t>
      </w:r>
      <w:r>
        <w:t xml:space="preserve"> </w:t>
      </w:r>
      <w:r>
        <w:rPr>
          <w:b/>
          <w:bCs/>
        </w:rPr>
        <w:t xml:space="preserve">blocco vero</w:t>
      </w:r>
      <w:r>
        <w:t xml:space="preserve"> </w:t>
      </w:r>
      <w:r>
        <w:t xml:space="preserve">è l’altra cosa: il ginocchio resta fermo in una posizione, non si estende né si flette, e il paziente non riesce a sbloccarlo. Non «scatta» e non «si impunta».</w:t>
      </w:r>
    </w:p>
    <w:p>
      <w:pPr>
        <w:pStyle w:val="Compact"/>
        <w:numPr>
          <w:ilvl w:val="0"/>
          <w:numId w:val="1031"/>
        </w:numPr>
      </w:pPr>
      <w:r>
        <w:rPr>
          <w:b/>
          <w:bCs/>
        </w:rPr>
        <w:t xml:space="preserve">Dolore notturno, a riposo, che non si spiega con il carico della giornata.</w:t>
      </w:r>
      <w:r>
        <w:t xml:space="preserve"> </w:t>
      </w:r>
      <w:r>
        <w:t xml:space="preserve">Il calo di peso è un aggravante, non un requisito. Da solo, il dolore a riposo è anche la presentazione della frattura da insufficienza subcondrale e dell’infezione a bassa carica. La</w:t>
      </w:r>
      <w:r>
        <w:t xml:space="preserve"> </w:t>
      </w:r>
      <w:r>
        <w:rPr>
          <w:b/>
          <w:bCs/>
        </w:rPr>
        <w:t xml:space="preserve">metafisi</w:t>
      </w:r>
      <w:r>
        <w:t xml:space="preserve"> </w:t>
      </w:r>
      <w:r>
        <w:t xml:space="preserve">distale del femore e prossimale della tibia — la porzione di osso lungo vicina alla cartilagine di accrescimento — è sede tipica di lesioni ossee primitive nel giovane. Questa riga non ha uno studio di accuratezza: viene dalla condotta condivisa, e resta perché il costo di sbagliarla è irreversibile.</w:t>
      </w:r>
    </w:p>
    <w:p>
      <w:pPr>
        <w:pStyle w:val="Compact"/>
        <w:numPr>
          <w:ilvl w:val="0"/>
          <w:numId w:val="1031"/>
        </w:numPr>
      </w:pPr>
      <w:r>
        <w:rPr>
          <w:b/>
          <w:bCs/>
        </w:rPr>
        <w:t xml:space="preserve">Over 60, dolore mediale a esordio improvviso, intolleranza al carico, lastra normale.</w:t>
      </w:r>
      <w:r>
        <w:t xml:space="preserve"> </w:t>
      </w:r>
      <w:r>
        <w:t xml:space="preserve">È la frattura da insufficienza subcondrale (Ochi, 2022, PMID 34843043), e va cercata attivamente. È l’unico quadro in cui il ragionamento di questo documento — rimettere carico progressivo — porta nella direzione sbagliata.</w:t>
      </w:r>
    </w:p>
    <w:p>
      <w:pPr>
        <w:pStyle w:val="Compact"/>
        <w:numPr>
          <w:ilvl w:val="0"/>
          <w:numId w:val="1031"/>
        </w:numPr>
      </w:pPr>
      <w:r>
        <w:rPr>
          <w:b/>
          <w:bCs/>
        </w:rPr>
        <w:t xml:space="preserve">Adolescente con dolore al ginocchio senza trauma.</w:t>
      </w:r>
      <w:r>
        <w:t xml:space="preserve"> </w:t>
      </w:r>
      <w:r>
        <w:t xml:space="preserve">È la riga che questa Bibbia esiste per far scrivere. Su 106 ragazzi con epifisiolisi, 16 (il 15%) si erano presentati con dolore alla coscia distale o al ginocchio (Matava, 1999, PMID 10412993); su 110, il 49% ha avuto più di una visita prima della diagnosi (Uvodich, 2019, PMID 30454962). L’anca si esamina sempre,</w:t>
      </w:r>
      <w:r>
        <w:t xml:space="preserve"> </w:t>
      </w:r>
      <w:r>
        <w:rPr>
          <w:b/>
          <w:bCs/>
        </w:rPr>
        <w:t xml:space="preserve">il ragazzo esce senza caricare quella gamba</w:t>
      </w:r>
      <w:r>
        <w:t xml:space="preserve">, con un’indicazione scritta per lo stesso giorno, e tu telefoni a chi lo prende in carico. Il ginocchio non si tratta: è durante l’attesa che lo scivolamento peggiora.</w:t>
      </w:r>
    </w:p>
    <w:p>
      <w:pPr>
        <w:pStyle w:val="BlockText"/>
      </w:pPr>
      <w:r>
        <w:rPr>
          <w:b/>
          <w:bCs/>
        </w:rPr>
        <w:t xml:space="preserve">Attenzione — la zona più pericolosa di questo documento.</w:t>
      </w:r>
      <w:r>
        <w:t xml:space="preserve"> </w:t>
      </w:r>
      <w:r>
        <w:t xml:space="preserve">In questo sospetto l’anca</w:t>
      </w:r>
      <w:r>
        <w:t xml:space="preserve"> </w:t>
      </w:r>
      <w:r>
        <w:rPr>
          <w:b/>
          <w:bCs/>
        </w:rPr>
        <w:t xml:space="preserve">non si testa in rotazione interna forzata né sotto carico</w:t>
      </w:r>
      <w:r>
        <w:t xml:space="preserve">. Si guarda come cammina, si osserva se la flessione passiva porta l’arto in rotazione esterna obbligata, e ci si ferma lì. Il discrimine fra scivolamento stabile e instabile è</w:t>
      </w:r>
      <w:r>
        <w:t xml:space="preserve"> </w:t>
      </w:r>
      <w:r>
        <w:rPr>
          <w:b/>
          <w:bCs/>
        </w:rPr>
        <w:t xml:space="preserve">la capacità di caricare</w:t>
      </w:r>
      <w:r>
        <w:t xml:space="preserve">: se il ragazzo non riesce a caricare, è instabile, e non è una questione di giorni ma di ore, in scarico e non a piedi. La necrosi della testa femorale nello scivolamento instabile è del 24%, e sale al 29% quando quella testa è stata mossa (Ibrahim, 2022, PMID 35941089).</w:t>
      </w:r>
    </w:p>
    <w:bookmarkEnd w:id="47"/>
    <w:bookmarkStart w:id="48" w:name="il-cancello-dingresso"/>
    <w:p>
      <w:pPr>
        <w:pStyle w:val="Heading3"/>
      </w:pPr>
      <w:r>
        <w:t xml:space="preserve">Il cancello d’ingresso</w:t>
      </w:r>
    </w:p>
    <w:p>
      <w:pPr>
        <w:pStyle w:val="FirstParagraph"/>
      </w:pPr>
      <w:r>
        <w:t xml:space="preserve">Il cancello non decide se trattare: decide</w:t>
      </w:r>
      <w:r>
        <w:t xml:space="preserve"> </w:t>
      </w:r>
      <w:r>
        <w:rPr>
          <w:b/>
          <w:bCs/>
        </w:rPr>
        <w:t xml:space="preserve">quale delle tre situazioni hai davanti</w:t>
      </w:r>
      <w:r>
        <w:t xml:space="preserve">, e in ciascuna il tuo comportamento è diverso.</w:t>
      </w:r>
    </w:p>
    <w:p>
      <w:pPr>
        <w:pStyle w:val="BodyText"/>
      </w:pPr>
      <w:r>
        <w:t xml:space="preserve">Il tuo mandato</w:t>
      </w:r>
      <w:r>
        <w:t xml:space="preserve"> </w:t>
      </w:r>
      <w:r>
        <w:rPr>
          <w:b/>
          <w:bCs/>
        </w:rPr>
        <w:t xml:space="preserve">clinico</w:t>
      </w:r>
      <w:r>
        <w:t xml:space="preserve"> </w:t>
      </w:r>
      <w:r>
        <w:t xml:space="preserve">è avere qualcosa da trattare oggi. Nasce da un reperto disfunzionale che hai trovato e documentato, e da un marker che si muove quando lo tratti.</w:t>
      </w:r>
    </w:p>
    <w:p>
      <w:pPr>
        <w:pStyle w:val="BlockText"/>
      </w:pPr>
      <w:r>
        <w:rPr>
          <w:b/>
          <w:bCs/>
        </w:rPr>
        <w:t xml:space="preserve">Definizione.</w:t>
      </w:r>
      <w:r>
        <w:t xml:space="preserve"> </w:t>
      </w:r>
      <w:r>
        <w:t xml:space="preserve">Il</w:t>
      </w:r>
      <w:r>
        <w:t xml:space="preserve"> </w:t>
      </w:r>
      <w:r>
        <w:rPr>
          <w:b/>
          <w:bCs/>
        </w:rPr>
        <w:t xml:space="preserve">reperto disfunzionale</w:t>
      </w:r>
      <w:r>
        <w:t xml:space="preserve"> </w:t>
      </w:r>
      <w:r>
        <w:t xml:space="preserve">è quello che trovi tu con le mani e con i test, e che scrivi in cartella: una zona che si muove meno, un tessuto che risponde diversamente, una funzione che non si esprime. Non è la diagnosi del paziente — è il bersaglio del tuo lavoro.</w:t>
      </w:r>
    </w:p>
    <w:p>
      <w:pPr>
        <w:pStyle w:val="FirstParagraph"/>
      </w:pPr>
      <w:r>
        <w:rPr>
          <w:b/>
          <w:bCs/>
        </w:rPr>
        <w:t xml:space="preserve">Un reperto positivo giustifica il tuo lavoro, non sostituisce l’inquadramento medico.</w:t>
      </w:r>
      <w:r>
        <w:t xml:space="preserve"> </w:t>
      </w:r>
      <w:r>
        <w:t xml:space="preserve">Trovare una caviglia corta e un quadricipite che non recluta non esclude nulla: significa che hai qualcosa da trattare, non che sai cosa ha il paziente. Si opera in riferimento alla diagnosi di competenza medica. Quando l’inquadramento manca, il canale medico si attiva</w:t>
      </w:r>
      <w:r>
        <w:t xml:space="preserve"> </w:t>
      </w:r>
      <w:r>
        <w:rPr>
          <w:b/>
          <w:bCs/>
        </w:rPr>
        <w:t xml:space="preserve">contestualmente</w:t>
      </w:r>
      <w:r>
        <w:t xml:space="preserve"> </w:t>
      </w:r>
      <w:r>
        <w:t xml:space="preserve">al tuo lavoro, non dopo. Le due cose convivono, e al paziente si dicono come conviventi.</w:t>
      </w:r>
    </w:p>
    <w:p>
      <w:pPr>
        <w:pStyle w:val="BodyText"/>
      </w:pPr>
      <w:r>
        <w:rPr>
          <w:b/>
          <w:bCs/>
        </w:rPr>
        <w:t xml:space="preserve">ROSSO — Stop.</w:t>
      </w:r>
      <w:r>
        <w:t xml:space="preserve"> </w:t>
      </w:r>
      <w:r>
        <w:t xml:space="preserve">Basta una sola riga rossa. Non si apre un ciclo e non si rimanda alla seduta dopo: il paziente esce con un’indicazione medica</w:t>
      </w:r>
      <w:r>
        <w:t xml:space="preserve"> </w:t>
      </w:r>
      <w:r>
        <w:rPr>
          <w:b/>
          <w:bCs/>
        </w:rPr>
        <w:t xml:space="preserve">esplicita e scritta</w:t>
      </w:r>
      <w:r>
        <w:t xml:space="preserve"> </w:t>
      </w:r>
      <w:r>
        <w:t xml:space="preserve">e i tempi dichiarati.</w:t>
      </w:r>
      <w:r>
        <w:t xml:space="preserve"> </w:t>
      </w:r>
      <w:r>
        <w:rPr>
          <w:b/>
          <w:bCs/>
        </w:rPr>
        <w:t xml:space="preserve">Nessuna eccezione, e nessun reperto positivo scavalca questa uscita.</w:t>
      </w:r>
    </w:p>
    <w:p>
      <w:pPr>
        <w:pStyle w:val="BodyText"/>
      </w:pPr>
      <w:r>
        <w:rPr>
          <w:b/>
          <w:bCs/>
        </w:rPr>
        <w:t xml:space="preserve">GIALLO — Si lavora, in parallelo.</w:t>
      </w:r>
      <w:r>
        <w:t xml:space="preserve"> </w:t>
      </w:r>
      <w:r>
        <w:t xml:space="preserve">Nessuna bandiera rossa, inquadramento assente o incompleto: è la situazione più frequente, e non è un motivo per rimandare il paziente fuori. Quattro condizioni verificabili.</w:t>
      </w:r>
    </w:p>
    <w:p>
      <w:pPr>
        <w:pStyle w:val="Compact"/>
        <w:numPr>
          <w:ilvl w:val="0"/>
          <w:numId w:val="1032"/>
        </w:numPr>
      </w:pPr>
      <w:r>
        <w:rPr>
          <w:b/>
          <w:bCs/>
        </w:rPr>
        <w:t xml:space="preserve">Un reperto tuo, positivo e scritto in cartella.</w:t>
      </w:r>
      <w:r>
        <w:t xml:space="preserve"> </w:t>
      </w:r>
      <w:r>
        <w:t xml:space="preserve">Non «il paziente ha una gonalgia», ma gradi di dorsiflessione in carico, ripetizioni nell’alzata dalla sedia, gradini prima del sintomo, test di provocazione positivi.</w:t>
      </w:r>
    </w:p>
    <w:p>
      <w:pPr>
        <w:pStyle w:val="Compact"/>
        <w:numPr>
          <w:ilvl w:val="0"/>
          <w:numId w:val="1032"/>
        </w:numPr>
      </w:pPr>
      <w:r>
        <w:rPr>
          <w:b/>
          <w:bCs/>
        </w:rPr>
        <w:t xml:space="preserve">Il paziente sa cosa tratti e cosa no:</w:t>
      </w:r>
      <w:r>
        <w:t xml:space="preserve"> </w:t>
      </w:r>
      <w:r>
        <w:rPr>
          <w:i/>
          <w:iCs/>
        </w:rPr>
        <w:t xml:space="preserve">«io lavoro sulla componente meccanica che ho trovato — la caviglia, l’anca, il muscolo che frena. Il dolore al ginocchio va comunque inquadrato dal tuo medico, e nel frattempo io non aspetto.»</w:t>
      </w:r>
    </w:p>
    <w:p>
      <w:pPr>
        <w:pStyle w:val="Compact"/>
        <w:numPr>
          <w:ilvl w:val="0"/>
          <w:numId w:val="1032"/>
        </w:numPr>
      </w:pPr>
      <w:r>
        <w:rPr>
          <w:b/>
          <w:bCs/>
        </w:rPr>
        <w:t xml:space="preserve">Canale medico attivato senza interrompere il lavoro</w:t>
      </w:r>
      <w:r>
        <w:t xml:space="preserve"> </w:t>
      </w:r>
      <w:r>
        <w:t xml:space="preserve">— una comunicazione scritta al curante, non un rinvio.</w:t>
      </w:r>
    </w:p>
    <w:p>
      <w:pPr>
        <w:pStyle w:val="Compact"/>
        <w:numPr>
          <w:ilvl w:val="0"/>
          <w:numId w:val="1032"/>
        </w:numPr>
      </w:pPr>
      <w:r>
        <w:rPr>
          <w:b/>
          <w:bCs/>
        </w:rPr>
        <w:t xml:space="preserve">Tempo definito, contato in calendario e non in sedute.</w:t>
      </w:r>
      <w:r>
        <w:t xml:space="preserve"> </w:t>
      </w:r>
      <w:r>
        <w:t xml:space="preserve">La data della revisione si scrive in cartella il giorno in cui si apre il GIALLO. Cade entro</w:t>
      </w:r>
      <w:r>
        <w:t xml:space="preserve"> </w:t>
      </w:r>
      <w:r>
        <w:rPr>
          <w:b/>
          <w:bCs/>
        </w:rPr>
        <w:t xml:space="preserve">sei settimane</w:t>
      </w:r>
      <w:r>
        <w:t xml:space="preserve"> </w:t>
      </w:r>
      <w:r>
        <w:t xml:space="preserve">dalla prima seduta, qualunque sia il numero di sedute fatte: un paziente che dirada gli appuntamenti non fa scadere niente. Nel</w:t>
      </w:r>
      <w:r>
        <w:t xml:space="preserve"> </w:t>
      </w:r>
      <w:r>
        <w:rPr>
          <w:b/>
          <w:bCs/>
        </w:rPr>
        <w:t xml:space="preserve">GIALLO prioritario</w:t>
      </w:r>
      <w:r>
        <w:t xml:space="preserve"> </w:t>
      </w:r>
      <w:r>
        <w:t xml:space="preserve">il tetto si dimezza a tre settimane.</w:t>
      </w:r>
    </w:p>
    <w:p>
      <w:pPr>
        <w:pStyle w:val="FirstParagraph"/>
      </w:pPr>
      <w:r>
        <w:rPr>
          <w:b/>
          <w:bCs/>
        </w:rPr>
        <w:t xml:space="preserve">Nel GIALLO prioritario da esame del ginocchio muto, il ginocchio non si tratta.</w:t>
      </w:r>
      <w:r>
        <w:t xml:space="preserve"> </w:t>
      </w:r>
      <w:r>
        <w:t xml:space="preserve">Si lavora solo su un reperto trovato altrove e scritto in cartella, il canale medico parte lo stesso giorno con una comunicazione scritta, e la revisione cade entro tre settimane. È la stessa condotta che «Non è una condizione sola» chiama cancello e «Come ragiono davanti a questo paziente» chiama passo 0: non c’è una terza via.</w:t>
      </w:r>
    </w:p>
    <w:p>
      <w:pPr>
        <w:pStyle w:val="BodyText"/>
      </w:pPr>
      <w:r>
        <w:rPr>
          <w:b/>
          <w:bCs/>
        </w:rPr>
        <w:t xml:space="preserve">Se il tempo scade e il marker non si è mosso</w:t>
      </w:r>
      <w:r>
        <w:t xml:space="preserve">, non è una rinuncia: è un’informazione. Il tuo reperto non era quello che comandava, e la spinta sul canale medico da parallela diventa prioritaria.</w:t>
      </w:r>
    </w:p>
    <w:p>
      <w:pPr>
        <w:pStyle w:val="BodyText"/>
      </w:pPr>
      <w:r>
        <w:rPr>
          <w:b/>
          <w:bCs/>
        </w:rPr>
        <w:t xml:space="preserve">VERDE — Si procede.</w:t>
      </w:r>
      <w:r>
        <w:t xml:space="preserve"> </w:t>
      </w:r>
      <w:r>
        <w:t xml:space="preserve">Nessuna bandiera rossa, e una fra queste tre: valutazione ortopedica o fisiatrica già fatta per questo ginocchio; ciclo di fisioterapia in corso o concluso; accertamenti eseguiti e coerenti con il quadro.</w:t>
      </w:r>
      <w:r>
        <w:t xml:space="preserve"> </w:t>
      </w:r>
      <w:r>
        <w:rPr>
          <w:b/>
          <w:bCs/>
        </w:rPr>
        <w:t xml:space="preserve">Un accertamento negativo, da solo, non apre il verde</w:t>
      </w:r>
      <w:r>
        <w:t xml:space="preserve">: una radiografia pulita non esclude né la sorgente d’anca, né un quadro infiammatorio iniziale, né una frattura da insufficienza precoce.</w:t>
      </w:r>
    </w:p>
    <w:p>
      <w:pPr>
        <w:pStyle w:val="BodyText"/>
      </w:pPr>
      <w:r>
        <w:rPr>
          <w:b/>
          <w:bCs/>
        </w:rPr>
        <w:t xml:space="preserve">Perché questa versione protegge di più.</w:t>
      </w:r>
      <w:r>
        <w:t xml:space="preserve"> </w:t>
      </w:r>
      <w:r>
        <w:t xml:space="preserve">Il cancello binario dichiarava un requisito, e nella pratica veniva aggirato. Una regola scritta e disattesa vale meno di nessuna regola, perché fa credere che un controllo esista. Questo cancello dichiara cosa fai davvero in ciascuna delle tre situazioni, tiene il ROSSO rigido, e mette per iscritto l’unico elemento che rende difendibile il GIALLO.</w:t>
      </w:r>
    </w:p>
    <w:p>
      <w:pPr>
        <w:pStyle w:val="BodyText"/>
      </w:pPr>
      <w:r>
        <w:rPr>
          <w:b/>
          <w:bCs/>
        </w:rPr>
        <w:t xml:space="preserve">La scadenza.</w:t>
      </w:r>
      <w:r>
        <w:t xml:space="preserve"> </w:t>
      </w:r>
      <w:r>
        <w:t xml:space="preserve">L’inquadramento decade se il sintomo cambia carattere, sede o intensità rispetto all’ultima valutazione medica: un dolore che passa dal carico al riposo, un ginocchio che si gonfia e non si sgonfia, una febbre. Si torna al triage dall’inizio.</w:t>
      </w:r>
    </w:p>
    <w:p>
      <w:pPr>
        <w:pStyle w:val="BodyText"/>
      </w:pPr>
      <w:r>
        <w:rPr>
          <w:b/>
          <w:bCs/>
        </w:rPr>
        <w:t xml:space="preserve">Il vincolo che non si negozia.</w:t>
      </w:r>
      <w:r>
        <w:t xml:space="preserve"> </w:t>
      </w:r>
      <w:r>
        <w:t xml:space="preserve">Quello che non è scritto non esiste.</w:t>
      </w:r>
    </w:p>
    <w:bookmarkEnd w:id="48"/>
    <w:bookmarkStart w:id="49" w:name="il-confine-di-atto-su-questa-condizione"/>
    <w:p>
      <w:pPr>
        <w:pStyle w:val="Heading3"/>
      </w:pPr>
      <w:r>
        <w:t xml:space="preserve">Il confine di atto su questa condizione</w:t>
      </w:r>
    </w:p>
    <w:p>
      <w:pPr>
        <w:pStyle w:val="FirstParagraph"/>
      </w:pPr>
      <w:r>
        <w:t xml:space="preserve">Il perimetro non si definisce sul gesto, ma sull’</w:t>
      </w:r>
      <w:r>
        <w:rPr>
          <w:b/>
          <w:bCs/>
        </w:rPr>
        <w:t xml:space="preserve">unità in cui scrivi l’esito</w:t>
      </w:r>
      <w:r>
        <w:t xml:space="preserve">.</w:t>
      </w:r>
    </w:p>
    <w:p>
      <w:pPr>
        <w:pStyle w:val="Compact"/>
        <w:numPr>
          <w:ilvl w:val="0"/>
          <w:numId w:val="1033"/>
        </w:numPr>
      </w:pPr>
      <w:r>
        <w:rPr>
          <w:b/>
          <w:bCs/>
        </w:rPr>
        <w:t xml:space="preserve">Produrre una misura o una lettura è fuori.</w:t>
      </w:r>
      <w:r>
        <w:t xml:space="preserve"> </w:t>
      </w:r>
      <w:r>
        <w:t xml:space="preserve">Il grado dell’artrosi, una lesione meniscale, l’interpretazione di una risonanza: non si scrive «artrosi di terzo grado» né «menisco integro».</w:t>
      </w:r>
    </w:p>
    <w:p>
      <w:pPr>
        <w:pStyle w:val="Compact"/>
        <w:numPr>
          <w:ilvl w:val="0"/>
          <w:numId w:val="1033"/>
        </w:numPr>
      </w:pPr>
      <w:r>
        <w:rPr>
          <w:b/>
          <w:bCs/>
        </w:rPr>
        <w:t xml:space="preserve">Provocare una risposta è nostro.</w:t>
      </w:r>
      <w:r>
        <w:t xml:space="preserve"> </w:t>
      </w:r>
      <w:r>
        <w:t xml:space="preserve">Step-down, alzata dalla sedia, affondo al muro, ripetizione del gesto che duole. L’esito si scrive</w:t>
      </w:r>
      <w:r>
        <w:t xml:space="preserve"> </w:t>
      </w:r>
      <w:r>
        <w:rPr>
          <w:b/>
          <w:bCs/>
        </w:rPr>
        <w:t xml:space="preserve">nell’unità del marker</w:t>
      </w:r>
      <w:r>
        <w:t xml:space="preserve"> </w:t>
      </w:r>
      <w:r>
        <w:t xml:space="preserve">— gradi, ripetizioni, gradini, percentuale di soglia. Lo step-down si esegue con un appoggio a portata di mano, e nel paziente che riferisce cedimenti si osserva, non si cronometra.</w:t>
      </w:r>
    </w:p>
    <w:p>
      <w:pPr>
        <w:pStyle w:val="Compact"/>
        <w:numPr>
          <w:ilvl w:val="0"/>
          <w:numId w:val="1033"/>
        </w:numPr>
      </w:pPr>
      <w:r>
        <w:rPr>
          <w:b/>
          <w:bCs/>
        </w:rPr>
        <w:t xml:space="preserve">Due frasi sono fuori perimetro:</w:t>
      </w:r>
      <w:r>
        <w:t xml:space="preserve"> </w:t>
      </w:r>
      <w:r>
        <w:rPr>
          <w:i/>
          <w:iCs/>
        </w:rPr>
        <w:t xml:space="preserve">«hai l’artrosi»</w:t>
      </w:r>
      <w:r>
        <w:t xml:space="preserve"> </w:t>
      </w:r>
      <w:r>
        <w:t xml:space="preserve">e</w:t>
      </w:r>
      <w:r>
        <w:t xml:space="preserve"> </w:t>
      </w:r>
      <w:r>
        <w:rPr>
          <w:i/>
          <w:iCs/>
        </w:rPr>
        <w:t xml:space="preserve">«il tuo menisco non c’entra»</w:t>
      </w:r>
      <w:r>
        <w:t xml:space="preserve">. La prima è una diagnosi che non ti compete; la seconda è un’esclusione, ed è la più pericolosa delle due.</w:t>
      </w:r>
    </w:p>
    <w:bookmarkEnd w:id="49"/>
    <w:bookmarkStart w:id="50" w:name="X1ac5a1b3cdf7e22e51df529af64ae60c55cc369"/>
    <w:p>
      <w:pPr>
        <w:pStyle w:val="Heading3"/>
      </w:pPr>
      <w:r>
        <w:t xml:space="preserve">Cosa dichiari nel consenso, su questa condizione</w:t>
      </w:r>
    </w:p>
    <w:p>
      <w:pPr>
        <w:pStyle w:val="FirstParagraph"/>
      </w:pPr>
      <w:r>
        <w:t xml:space="preserve">Tre righe che in un’altra Bibbia non scriveresti.</w:t>
      </w:r>
    </w:p>
    <w:p>
      <w:pPr>
        <w:pStyle w:val="Compact"/>
        <w:numPr>
          <w:ilvl w:val="0"/>
          <w:numId w:val="1034"/>
        </w:numPr>
      </w:pPr>
      <w:r>
        <w:t xml:space="preserve">L’oggetto del trattamento è l’escursione disponibile, la tolleranza al carico e la funzione muscolare,</w:t>
      </w:r>
      <w:r>
        <w:t xml:space="preserve"> </w:t>
      </w:r>
      <w:r>
        <w:rPr>
          <w:b/>
          <w:bCs/>
        </w:rPr>
        <w:t xml:space="preserve">non la cartilagine né lo spazio articolare</w:t>
      </w:r>
      <w:r>
        <w:t xml:space="preserve">.</w:t>
      </w:r>
    </w:p>
    <w:p>
      <w:pPr>
        <w:pStyle w:val="Compact"/>
        <w:numPr>
          <w:ilvl w:val="0"/>
          <w:numId w:val="1034"/>
        </w:numPr>
      </w:pPr>
      <w:r>
        <w:t xml:space="preserve">Il beneficio documentato della componente manuale su questa condizione è</w:t>
      </w:r>
      <w:r>
        <w:t xml:space="preserve"> </w:t>
      </w:r>
      <w:r>
        <w:rPr>
          <w:b/>
          <w:bCs/>
        </w:rPr>
        <w:t xml:space="preserve">a breve termine</w:t>
      </w:r>
      <w:r>
        <w:t xml:space="preserve">. La parte che regge più a lungo è quella attiva, e regge finché viene mantenuta.</w:t>
      </w:r>
    </w:p>
    <w:p>
      <w:pPr>
        <w:pStyle w:val="Compact"/>
        <w:numPr>
          <w:ilvl w:val="0"/>
          <w:numId w:val="1034"/>
        </w:numPr>
      </w:pPr>
      <w:r>
        <w:t xml:space="preserve">Il trattamento si affianca al percorso medico e non lo sostituisce, e non anticipa né ritarda nessuna decisione chirurgica.</w:t>
      </w:r>
    </w:p>
    <w:bookmarkEnd w:id="50"/>
    <w:bookmarkStart w:id="51" w:name="X32e7432f7fdb78343ffa75d3d747d6c61dce583"/>
    <w:p>
      <w:pPr>
        <w:pStyle w:val="Heading3"/>
      </w:pPr>
      <w:r>
        <w:t xml:space="preserve">Il rapporto con il prescrittore, e i farmaci</w:t>
      </w:r>
    </w:p>
    <w:p>
      <w:pPr>
        <w:pStyle w:val="FirstParagraph"/>
      </w:pPr>
      <w:r>
        <w:rPr>
          <w:b/>
          <w:bCs/>
        </w:rPr>
        <w:t xml:space="preserve">Farmaco, infiltrazione, condroprotettore e plantare non si commentano.</w:t>
      </w:r>
      <w:r>
        <w:t xml:space="preserve"> </w:t>
      </w:r>
      <w:r>
        <w:t xml:space="preserve">Non si valuta l’indicazione, non si suggerisce di ridurre, non si dice che «non servono». Se il paziente chiede, la risposta è che ne parli con chi glieli ha prescritti, e gli scrivi tu. Lo stesso vale per il percorso protesico: l’indicazione la pone l’ortopedico, e il tuo lavoro non la anticipa, non la ritarda e non la giudica.</w:t>
      </w:r>
    </w:p>
    <w:p>
      <w:pPr>
        <w:pStyle w:val="BodyText"/>
      </w:pPr>
      <w:r>
        <w:rPr>
          <w:b/>
          <w:bCs/>
        </w:rPr>
        <w:t xml:space="preserve">Ma non commentare una prescrizione e riferire un consumo non prescritto sono due cose diverse.</w:t>
      </w:r>
      <w:r>
        <w:t xml:space="preserve"> </w:t>
      </w:r>
      <w:r>
        <w:t xml:space="preserve">Un antinfiammatorio che il paziente si somministra da solo da mesi non è una terapia in corso: è un’informazione che il curante non ha, e va scritta nella comunicazione, senza commento e senza consiglio. Perché conta: aggiungere un antinfiammatorio a un inibitore del sistema renina-angiotensina più un diuretico porta il rischio di danno renale acuto a</w:t>
      </w:r>
      <w:r>
        <w:t xml:space="preserve"> </w:t>
      </w:r>
      <w:r>
        <w:rPr>
          <w:b/>
          <w:bCs/>
        </w:rPr>
        <w:t xml:space="preserve">2,08 volte</w:t>
      </w:r>
      <w:r>
        <w:t xml:space="preserve"> </w:t>
      </w:r>
      <w:r>
        <w:t xml:space="preserve">quello della doppia terapia (Kunitsu, 2025, PMID 40826437). Il canale scritto esiste già: è la terza condizione del GIALLO.</w:t>
      </w:r>
    </w:p>
    <w:p>
      <w:pPr>
        <w:pStyle w:val="BodyText"/>
      </w:pPr>
      <w:r>
        <w:rPr>
          <w:b/>
          <w:bCs/>
        </w:rPr>
        <w:t xml:space="preserve">Se sbagli campo</w:t>
      </w:r>
      <w:r>
        <w:t xml:space="preserve">, il danno non è un evento avverso da manovra: è un ritardo. Un’anca trattata per otto settimane come un ginocchio, o un adolescente rivisto tre volte prima che qualcuno gli guardi l’anca.</w:t>
      </w:r>
    </w:p>
    <w:p>
      <w:pPr>
        <w:pStyle w:val="BodyText"/>
      </w:pPr>
      <w:r>
        <w:t xml:space="preserve">Il riferimento normativo è il</w:t>
      </w:r>
      <w:r>
        <w:t xml:space="preserve"> </w:t>
      </w:r>
      <w:r>
        <w:rPr>
          <w:b/>
          <w:bCs/>
        </w:rPr>
        <w:t xml:space="preserve">DPR 131/2021</w:t>
      </w:r>
      <w:r>
        <w:t xml:space="preserve">: l’osteopata tratta disfunzioni somatiche non riconducibili a patologie dell’apparato muscoloscheletrico, con tecniche esclusivamente manuali, non invasive ed esterne, in riferimento alla diagnosi di competenza medica, e reindirizza al medico quando i sintomi persistono o peggiorano.</w:t>
      </w:r>
    </w:p>
    <w:p>
      <w:pPr>
        <w:pStyle w:val="BodyText"/>
      </w:pPr>
      <w:r>
        <w:rPr>
          <w:b/>
          <w:bCs/>
        </w:rPr>
        <w:t xml:space="preserve">Le tre cose da ricordare, più una</w:t>
      </w:r>
    </w:p>
    <w:p>
      <w:pPr>
        <w:pStyle w:val="Compact"/>
        <w:numPr>
          <w:ilvl w:val="0"/>
          <w:numId w:val="1035"/>
        </w:numPr>
      </w:pPr>
      <w:r>
        <w:t xml:space="preserve">La riga più pericolosa non è la più drammatica: è l’adolescente con dolore al ginocchio e nessun trauma. Lì l’anca non si forza e la gamba non carica.</w:t>
      </w:r>
    </w:p>
    <w:p>
      <w:pPr>
        <w:pStyle w:val="Compact"/>
        <w:numPr>
          <w:ilvl w:val="0"/>
          <w:numId w:val="1035"/>
        </w:numPr>
      </w:pPr>
      <w:r>
        <w:t xml:space="preserve">Il tempo del GIALLO si conta in settimane sul calendario, non in sedute: una scadenza che il paziente può spostare non è una scadenza.</w:t>
      </w:r>
    </w:p>
    <w:p>
      <w:pPr>
        <w:pStyle w:val="Compact"/>
        <w:numPr>
          <w:ilvl w:val="0"/>
          <w:numId w:val="1035"/>
        </w:numPr>
      </w:pPr>
      <w:r>
        <w:t xml:space="preserve">Il tuo esito si scrive in gradi, ripetizioni e gradini. Mai in gradi di artrosi.</w:t>
      </w:r>
    </w:p>
    <w:p>
      <w:pPr>
        <w:pStyle w:val="Compact"/>
        <w:numPr>
          <w:ilvl w:val="0"/>
          <w:numId w:val="1035"/>
        </w:numPr>
      </w:pPr>
      <w:r>
        <w:rPr>
          <w:b/>
          <w:bCs/>
        </w:rPr>
        <w:t xml:space="preserve">Perché ci sei tu.</w:t>
      </w:r>
      <w:r>
        <w:t xml:space="preserve"> </w:t>
      </w:r>
      <w:r>
        <w:t xml:space="preserve">Su 10.195 pazienti ricoverati con artrite settica del ginocchio come diagnosi principale e sottoposti a lavaggio artroscopico, la mortalità a 90 giorni è stata del</w:t>
      </w:r>
      <w:r>
        <w:t xml:space="preserve"> </w:t>
      </w:r>
      <w:r>
        <w:rPr>
          <w:b/>
          <w:bCs/>
        </w:rPr>
        <w:t xml:space="preserve">7,05%</w:t>
      </w:r>
      <w:r>
        <w:t xml:space="preserve">. Nei 1.842 sopra i 79 anni è stata del</w:t>
      </w:r>
      <w:r>
        <w:t xml:space="preserve"> </w:t>
      </w:r>
      <w:r>
        <w:rPr>
          <w:b/>
          <w:bCs/>
        </w:rPr>
        <w:t xml:space="preserve">22,7%</w:t>
      </w:r>
      <w:r>
        <w:t xml:space="preserve"> </w:t>
      </w:r>
      <w:r>
        <w:t xml:space="preserve">(Abram, 2020, PMID 31862240).</w:t>
      </w:r>
      <w:r>
        <w:t xml:space="preserve"> </w:t>
      </w:r>
      <w:r>
        <w:rPr>
          <w:b/>
          <w:bCs/>
        </w:rPr>
        <w:t xml:space="preserve">Per te:</w:t>
      </w:r>
      <w:r>
        <w:t xml:space="preserve"> </w:t>
      </w:r>
      <w:r>
        <w:t xml:space="preserve">una persona su quattordici muore entro tre mesi, una su quattro fra gli anziani. La prima riga della tabella non è una formalità difensiva: interrompi qualunque valutazione e manda, senza chiedere il permesso a nessuno. Non ti autorizza a trattare quel ginocchio in nessuna forma, nemmeno «solo l’anca, intanto», né a dire che il ritardo causa quella mortalità: lo studio non l’ha misurato.</w:t>
      </w:r>
    </w:p>
    <w:p>
      <w:r>
        <w:pict>
          <v:rect style="width:0;height:1.5pt" o:hralign="center" o:hrstd="t" o:hr="t"/>
        </w:pict>
      </w:r>
    </w:p>
    <w:bookmarkEnd w:id="51"/>
    <w:bookmarkEnd w:id="52"/>
    <w:bookmarkStart w:id="58" w:name="capitolo-10-cosa-dice-la-scienza"/>
    <w:p>
      <w:pPr>
        <w:pStyle w:val="Heading2"/>
      </w:pPr>
      <w:r>
        <w:t xml:space="preserve">Capitolo 10 — Cosa dice la scienza</w:t>
      </w:r>
    </w:p>
    <w:p>
      <w:pPr>
        <w:pStyle w:val="BlockText"/>
      </w:pPr>
      <w:r>
        <w:rPr>
          <w:b/>
          <w:bCs/>
        </w:rPr>
        <w:t xml:space="preserve">In una riga:</w:t>
      </w:r>
      <w:r>
        <w:t xml:space="preserve"> </w:t>
      </w:r>
      <w:r>
        <w:t xml:space="preserve">su questa condizione la scienza c’è, è abbondante, e una parte consistente dice che quello che facciamo non aggiunge niente nel lungo periodo.</w:t>
      </w:r>
    </w:p>
    <w:bookmarkStart w:id="53" w:name="le-due-ancore"/>
    <w:p>
      <w:pPr>
        <w:pStyle w:val="Heading3"/>
      </w:pPr>
      <w:r>
        <w:t xml:space="preserve">Le due ancore</w:t>
      </w:r>
    </w:p>
    <w:p>
      <w:pPr>
        <w:pStyle w:val="FirstParagraph"/>
      </w:pPr>
      <w:r>
        <w:t xml:space="preserve">Su questa condizione le due funzioni dell’ancora sono separate nei fatti, e in due persone diverse. Dichiararlo è più forte che sceglierne una sola.</w:t>
      </w:r>
    </w:p>
    <w:p>
      <w:pPr>
        <w:pStyle w:val="BodyText"/>
      </w:pPr>
      <w:r>
        <w:rPr>
          <w:b/>
          <w:bCs/>
        </w:rPr>
        <w:t xml:space="preserve">L’ancora clinica è Ewa M. Roos</w:t>
      </w:r>
      <w:r>
        <w:t xml:space="preserve">, University of Southern Denmark. Nel 1998 ha costruito il</w:t>
      </w:r>
      <w:r>
        <w:t xml:space="preserve"> </w:t>
      </w:r>
      <w:r>
        <w:rPr>
          <w:b/>
          <w:bCs/>
        </w:rPr>
        <w:t xml:space="preserve">KOOS</w:t>
      </w:r>
      <w:r>
        <w:t xml:space="preserve">, il metro con cui si misura un ginocchio dolente in quasi ogni studio del mondo (Roos, 1998, PMID 9699158). Con quel metro ha fatto la domanda che nessuno faceva: l’esercizio regge il confronto con la chirurgia? Il suo limite va dichiarato:</w:t>
      </w:r>
      <w:r>
        <w:t xml:space="preserve"> </w:t>
      </w:r>
      <w:r>
        <w:rPr>
          <w:b/>
          <w:bCs/>
        </w:rPr>
        <w:t xml:space="preserve">è una fisioterapista, e il suo lavoro non valida le nostre mani.</w:t>
      </w:r>
      <w:r>
        <w:t xml:space="preserve"> </w:t>
      </w:r>
      <w:r>
        <w:t xml:space="preserve">Definisce cosa guadagna davvero un paziente con dolore al ginocchio, ed è il metro contro cui ci misuriamo.</w:t>
      </w:r>
    </w:p>
    <w:p>
      <w:pPr>
        <w:pStyle w:val="BodyText"/>
      </w:pPr>
      <w:r>
        <w:rPr>
          <w:b/>
          <w:bCs/>
        </w:rPr>
        <w:t xml:space="preserve">L’ancora fisiologica è Hans-Georg Schaible</w:t>
      </w:r>
      <w:r>
        <w:t xml:space="preserve">, Universität Jena. Ha stabilito che i nocicettori articolari</w:t>
      </w:r>
      <w:r>
        <w:t xml:space="preserve"> </w:t>
      </w:r>
      <w:r>
        <w:rPr>
          <w:b/>
          <w:bCs/>
        </w:rPr>
        <w:t xml:space="preserve">si sensibilizzano</w:t>
      </w:r>
      <w:r>
        <w:t xml:space="preserve">: dopo un’infiammazione rispondono a movimenti che prima non li attivavano. Il lavoro che lo dimostra è su modello animale: l’artrite sperimentale nel gatto (Schaible e Schmidt, 1985, PMID 4078610). La sintesi sull’uomo è successiva (Eitner e Schaible, 2017, PMID 29163027). È lui a rendere sensata la frase che il paziente non capisce: il ginocchio può far male molto più di quanto sia rotto.</w:t>
      </w:r>
    </w:p>
    <w:bookmarkEnd w:id="53"/>
    <w:bookmarkStart w:id="54" w:name="gli-studi-cardine"/>
    <w:p>
      <w:pPr>
        <w:pStyle w:val="Heading3"/>
      </w:pPr>
      <w:r>
        <w:t xml:space="preserve">Gli studi cardine</w:t>
      </w:r>
    </w:p>
    <w:p>
      <w:pPr>
        <w:pStyle w:val="FirstParagraph"/>
      </w:pPr>
      <w:r>
        <w:t xml:space="preserve">Tredici lavori reggono questo capitolo. La colonna che conta è la terza: le prime due descrivono lo studio, la terza descrive la tua condotta. I link per esteso stanno in Appendice B.</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Autore, anno (PMID)</w:t>
            </w:r>
          </w:p>
        </w:tc>
        <w:tc>
          <w:tcPr/>
          <w:p>
            <w:pPr>
              <w:pStyle w:val="Compact"/>
            </w:pPr>
            <w:r>
              <w:t xml:space="preserve">Cosa ha misurato</w:t>
            </w:r>
          </w:p>
        </w:tc>
        <w:tc>
          <w:tcPr/>
          <w:p>
            <w:pPr>
              <w:pStyle w:val="Compact"/>
            </w:pPr>
            <w:r>
              <w:t xml:space="preserve">Cosa ti autorizza a fare</w:t>
            </w:r>
          </w:p>
        </w:tc>
      </w:tr>
      <w:tr>
        <w:tc>
          <w:tcPr/>
          <w:p>
            <w:pPr>
              <w:pStyle w:val="Compact"/>
            </w:pPr>
            <w:r>
              <w:t xml:space="preserve">Lawford, 2024 (39625083)</w:t>
            </w:r>
          </w:p>
        </w:tc>
        <w:tc>
          <w:tcPr/>
          <w:p>
            <w:pPr>
              <w:pStyle w:val="Compact"/>
            </w:pPr>
            <w:r>
              <w:t xml:space="preserve">Esercizio nell’artrosi di ginocchio</w:t>
            </w:r>
          </w:p>
        </w:tc>
        <w:tc>
          <w:tcPr/>
          <w:p>
            <w:pPr>
              <w:pStyle w:val="Compact"/>
            </w:pPr>
            <w:r>
              <w:t xml:space="preserve">Mettere l’esercizio al centro</w:t>
            </w:r>
          </w:p>
        </w:tc>
      </w:tr>
      <w:tr>
        <w:tc>
          <w:tcPr/>
          <w:p>
            <w:pPr>
              <w:pStyle w:val="Compact"/>
            </w:pPr>
            <w:r>
              <w:t xml:space="preserve">Deyle, 2000 (10651597)</w:t>
            </w:r>
          </w:p>
        </w:tc>
        <w:tc>
          <w:tcPr/>
          <w:p>
            <w:pPr>
              <w:pStyle w:val="Compact"/>
            </w:pPr>
            <w:r>
              <w:t xml:space="preserve">Mani più esercizio contro finto ultrasuono</w:t>
            </w:r>
          </w:p>
        </w:tc>
        <w:tc>
          <w:tcPr/>
          <w:p>
            <w:pPr>
              <w:pStyle w:val="Compact"/>
            </w:pPr>
            <w:r>
              <w:t xml:space="preserve">Usare le mani dentro un programma</w:t>
            </w:r>
          </w:p>
        </w:tc>
      </w:tr>
      <w:tr>
        <w:tc>
          <w:tcPr/>
          <w:p>
            <w:pPr>
              <w:pStyle w:val="Compact"/>
            </w:pPr>
            <w:r>
              <w:t xml:space="preserve">Deyle, 2020 (32268027)</w:t>
            </w:r>
          </w:p>
        </w:tc>
        <w:tc>
          <w:tcPr/>
          <w:p>
            <w:pPr>
              <w:pStyle w:val="Compact"/>
            </w:pPr>
            <w:r>
              <w:t xml:space="preserve">Fisioterapia contro infiltrazione, un anno</w:t>
            </w:r>
          </w:p>
        </w:tc>
        <w:tc>
          <w:tcPr/>
          <w:p>
            <w:pPr>
              <w:pStyle w:val="Compact"/>
            </w:pPr>
            <w:r>
              <w:t xml:space="preserve">Prendere chi ha già fatto l’infiltrazione</w:t>
            </w:r>
          </w:p>
        </w:tc>
      </w:tr>
      <w:tr>
        <w:tc>
          <w:tcPr/>
          <w:p>
            <w:pPr>
              <w:pStyle w:val="Compact"/>
            </w:pPr>
            <w:r>
              <w:t xml:space="preserve">Abbott, 2013 (23313532)</w:t>
            </w:r>
          </w:p>
        </w:tc>
        <w:tc>
          <w:tcPr/>
          <w:p>
            <w:pPr>
              <w:pStyle w:val="Compact"/>
            </w:pPr>
            <w:r>
              <w:t xml:space="preserve">Mani, esercizio, o entrambi</w:t>
            </w:r>
          </w:p>
        </w:tc>
        <w:tc>
          <w:tcPr/>
          <w:p>
            <w:pPr>
              <w:pStyle w:val="Compact"/>
            </w:pPr>
            <w:r>
              <w:t xml:space="preserve">Non ammucchiare le due cose</w:t>
            </w:r>
          </w:p>
        </w:tc>
      </w:tr>
      <w:tr>
        <w:tc>
          <w:tcPr/>
          <w:p>
            <w:pPr>
              <w:pStyle w:val="Compact"/>
            </w:pPr>
            <w:r>
              <w:t xml:space="preserve">Ribeiro, 2024 (38304412)</w:t>
            </w:r>
          </w:p>
        </w:tc>
        <w:tc>
          <w:tcPr/>
          <w:p>
            <w:pPr>
              <w:pStyle w:val="Compact"/>
            </w:pPr>
            <w:r>
              <w:t xml:space="preserve">Attraverso cosa passa l’effetto delle mani</w:t>
            </w:r>
          </w:p>
        </w:tc>
        <w:tc>
          <w:tcPr/>
          <w:p>
            <w:pPr>
              <w:pStyle w:val="Compact"/>
            </w:pPr>
            <w:r>
              <w:t xml:space="preserve">Curare la spiegazione come la tecnica</w:t>
            </w:r>
          </w:p>
        </w:tc>
      </w:tr>
      <w:tr>
        <w:tc>
          <w:tcPr/>
          <w:p>
            <w:pPr>
              <w:pStyle w:val="Compact"/>
            </w:pPr>
            <w:r>
              <w:t xml:space="preserve">Runge, 2022 (35881705)</w:t>
            </w:r>
          </w:p>
        </w:tc>
        <w:tc>
          <w:tcPr/>
          <w:p>
            <w:pPr>
              <w:pStyle w:val="Compact"/>
            </w:pPr>
            <w:r>
              <w:t xml:space="preserve">Mani aggiunte all’esercizio</w:t>
            </w:r>
          </w:p>
        </w:tc>
        <w:tc>
          <w:tcPr/>
          <w:p>
            <w:pPr>
              <w:pStyle w:val="Compact"/>
            </w:pPr>
            <w:r>
              <w:t xml:space="preserve">Promettere solo il breve termine</w:t>
            </w:r>
          </w:p>
        </w:tc>
      </w:tr>
      <w:tr>
        <w:tc>
          <w:tcPr/>
          <w:p>
            <w:pPr>
              <w:pStyle w:val="Compact"/>
            </w:pPr>
            <w:r>
              <w:t xml:space="preserve">Skou, 2015 (26488691)</w:t>
            </w:r>
          </w:p>
        </w:tc>
        <w:tc>
          <w:tcPr/>
          <w:p>
            <w:pPr>
              <w:pStyle w:val="Compact"/>
            </w:pPr>
            <w:r>
              <w:t xml:space="preserve">Protesi contro percorso non chirurgico</w:t>
            </w:r>
          </w:p>
        </w:tc>
        <w:tc>
          <w:tcPr/>
          <w:p>
            <w:pPr>
              <w:pStyle w:val="Compact"/>
            </w:pPr>
            <w:r>
              <w:t xml:space="preserve">Prendere chi ha la protesi nominata</w:t>
            </w:r>
          </w:p>
        </w:tc>
      </w:tr>
      <w:tr>
        <w:tc>
          <w:tcPr/>
          <w:p>
            <w:pPr>
              <w:pStyle w:val="Compact"/>
            </w:pPr>
            <w:r>
              <w:t xml:space="preserve">Kise, 2016 (27440192)</w:t>
            </w:r>
          </w:p>
        </w:tc>
        <w:tc>
          <w:tcPr/>
          <w:p>
            <w:pPr>
              <w:pStyle w:val="Compact"/>
            </w:pPr>
            <w:r>
              <w:t xml:space="preserve">Esercizio contro meniscectomia</w:t>
            </w:r>
          </w:p>
        </w:tc>
        <w:tc>
          <w:tcPr/>
          <w:p>
            <w:pPr>
              <w:pStyle w:val="Compact"/>
            </w:pPr>
            <w:r>
              <w:t xml:space="preserve">Riformulare il referto meniscale</w:t>
            </w:r>
          </w:p>
        </w:tc>
      </w:tr>
      <w:tr>
        <w:tc>
          <w:tcPr/>
          <w:p>
            <w:pPr>
              <w:pStyle w:val="Compact"/>
            </w:pPr>
            <w:r>
              <w:t xml:space="preserve">Sihvonen, 2013 (24369076)</w:t>
            </w:r>
          </w:p>
        </w:tc>
        <w:tc>
          <w:tcPr/>
          <w:p>
            <w:pPr>
              <w:pStyle w:val="Compact"/>
            </w:pPr>
            <w:r>
              <w:t xml:space="preserve">Meniscectomia contro finta chirurgia</w:t>
            </w:r>
          </w:p>
        </w:tc>
        <w:tc>
          <w:tcPr/>
          <w:p>
            <w:pPr>
              <w:pStyle w:val="Compact"/>
            </w:pPr>
            <w:r>
              <w:t xml:space="preserve">Non temere il referto meniscale</w:t>
            </w:r>
          </w:p>
        </w:tc>
      </w:tr>
      <w:tr>
        <w:tc>
          <w:tcPr/>
          <w:p>
            <w:pPr>
              <w:pStyle w:val="Compact"/>
            </w:pPr>
            <w:r>
              <w:t xml:space="preserve">Bennell, 2010 (20175973)</w:t>
            </w:r>
          </w:p>
        </w:tc>
        <w:tc>
          <w:tcPr/>
          <w:p>
            <w:pPr>
              <w:pStyle w:val="Compact"/>
            </w:pPr>
            <w:r>
              <w:t xml:space="preserve">Rinforzo d’anca e carico al ginocchio</w:t>
            </w:r>
          </w:p>
        </w:tc>
        <w:tc>
          <w:tcPr/>
          <w:p>
            <w:pPr>
              <w:pStyle w:val="Compact"/>
            </w:pPr>
            <w:r>
              <w:t xml:space="preserve">Lavorare l’anca per il sintomo</w:t>
            </w:r>
          </w:p>
        </w:tc>
      </w:tr>
      <w:tr>
        <w:tc>
          <w:tcPr/>
          <w:p>
            <w:pPr>
              <w:pStyle w:val="Compact"/>
            </w:pPr>
            <w:r>
              <w:t xml:space="preserve">Parkes, 2013 (23989797)</w:t>
            </w:r>
          </w:p>
        </w:tc>
        <w:tc>
          <w:tcPr/>
          <w:p>
            <w:pPr>
              <w:pStyle w:val="Compact"/>
            </w:pPr>
            <w:r>
              <w:t xml:space="preserve">Cunei laterali contro plantare neutro</w:t>
            </w:r>
          </w:p>
        </w:tc>
        <w:tc>
          <w:tcPr/>
          <w:p>
            <w:pPr>
              <w:pStyle w:val="Compact"/>
            </w:pPr>
            <w:r>
              <w:t xml:space="preserve">Non promettere nulla dal cuneo</w:t>
            </w:r>
          </w:p>
        </w:tc>
      </w:tr>
      <w:tr>
        <w:tc>
          <w:tcPr/>
          <w:p>
            <w:pPr>
              <w:pStyle w:val="Compact"/>
            </w:pPr>
            <w:r>
              <w:t xml:space="preserve">Collins, 2018 (29925502)</w:t>
            </w:r>
          </w:p>
        </w:tc>
        <w:tc>
          <w:tcPr/>
          <w:p>
            <w:pPr>
              <w:pStyle w:val="Compact"/>
            </w:pPr>
            <w:r>
              <w:t xml:space="preserve">Consenso sugli interventi fisici</w:t>
            </w:r>
          </w:p>
        </w:tc>
        <w:tc>
          <w:tcPr/>
          <w:p>
            <w:pPr>
              <w:pStyle w:val="Compact"/>
            </w:pPr>
            <w:r>
              <w:t xml:space="preserve">Non usare la sola mobilizzazione</w:t>
            </w:r>
          </w:p>
        </w:tc>
      </w:tr>
      <w:tr>
        <w:tc>
          <w:tcPr/>
          <w:p>
            <w:pPr>
              <w:pStyle w:val="Compact"/>
            </w:pPr>
            <w:r>
              <w:t xml:space="preserve">Zou, 2016 (26882927)</w:t>
            </w:r>
          </w:p>
        </w:tc>
        <w:tc>
          <w:tcPr/>
          <w:p>
            <w:pPr>
              <w:pStyle w:val="Compact"/>
            </w:pPr>
            <w:r>
              <w:t xml:space="preserve">Quota contestuale dell’effetto</w:t>
            </w:r>
          </w:p>
        </w:tc>
        <w:tc>
          <w:tcPr/>
          <w:p>
            <w:pPr>
              <w:pStyle w:val="Compact"/>
            </w:pPr>
            <w:r>
              <w:t xml:space="preserve">Curare il contesto come cura</w:t>
            </w:r>
          </w:p>
        </w:tc>
      </w:tr>
    </w:tbl>
    <w:p>
      <w:pPr>
        <w:pStyle w:val="BodyText"/>
      </w:pPr>
      <w:r>
        <w:t xml:space="preserve">Quattro righe meritano una frase in più, perché cambiano una conversazione.</w:t>
      </w:r>
    </w:p>
    <w:p>
      <w:pPr>
        <w:pStyle w:val="BodyText"/>
      </w:pPr>
      <w:r>
        <w:rPr>
          <w:b/>
          <w:bCs/>
        </w:rPr>
        <w:t xml:space="preserve">Il referto meniscale.</w:t>
      </w:r>
      <w:r>
        <w:t xml:space="preserve"> </w:t>
      </w:r>
      <w:r>
        <w:t xml:space="preserve">In 146 pazienti di 35-65 anni con sintomi da lesione degenerativa del menisco mediale e senza artrosi, la meniscectomia artroscopica</w:t>
      </w:r>
      <w:r>
        <w:t xml:space="preserve"> </w:t>
      </w:r>
      <w:r>
        <w:rPr>
          <w:b/>
          <w:bCs/>
        </w:rPr>
        <w:t xml:space="preserve">non ha fatto meglio di una finta chirurgia</w:t>
      </w:r>
      <w:r>
        <w:t xml:space="preserve"> </w:t>
      </w:r>
      <w:r>
        <w:t xml:space="preserve">a dodici mesi. Non ha fatto meglio su nessuno dei tre esiti principali (Sihvonen, 2013, PMID 24369076). E in 140 pazienti di età media 49 anni, dodici settimane di esercizio supervisionato hanno dato lo stesso risultato della meniscectomia a due anni (Kise, 2016, PMID 27440192).</w:t>
      </w:r>
      <w:r>
        <w:t xml:space="preserve"> </w:t>
      </w:r>
      <w:r>
        <w:rPr>
          <w:b/>
          <w:bCs/>
        </w:rPr>
        <w:t xml:space="preserve">Per te:</w:t>
      </w:r>
      <w:r>
        <w:t xml:space="preserve"> </w:t>
      </w:r>
      <w:r>
        <w:t xml:space="preserve">hai due studi randomizzati con cui riformulare quel referto. La decisione resta del chirurgo; la tua parte è non trattarlo come una sentenza.</w:t>
      </w:r>
    </w:p>
    <w:p>
      <w:pPr>
        <w:pStyle w:val="BodyText"/>
      </w:pPr>
      <w:r>
        <w:rPr>
          <w:b/>
          <w:bCs/>
        </w:rPr>
        <w:t xml:space="preserve">Il plantare.</w:t>
      </w:r>
      <w:r>
        <w:t xml:space="preserve"> </w:t>
      </w:r>
      <w:r>
        <w:t xml:space="preserve">In dodici studi randomizzati su 885 persone con artrosi mediale, i cunei laterali sembravano ridurre il dolore. Ma</w:t>
      </w:r>
      <w:r>
        <w:t xml:space="preserve"> </w:t>
      </w:r>
      <w:r>
        <w:rPr>
          <w:b/>
          <w:bCs/>
        </w:rPr>
        <w:t xml:space="preserve">restringendo il confronto ai sette studi con un plantare neutro come controllo, l’effetto spariva</w:t>
      </w:r>
      <w:r>
        <w:t xml:space="preserve"> </w:t>
      </w:r>
      <w:r>
        <w:t xml:space="preserve">(Parkes, 2013, PMID 23989797).</w:t>
      </w:r>
      <w:r>
        <w:t xml:space="preserve"> </w:t>
      </w:r>
      <w:r>
        <w:rPr>
          <w:b/>
          <w:bCs/>
        </w:rPr>
        <w:t xml:space="preserve">Per te:</w:t>
      </w:r>
      <w:r>
        <w:t xml:space="preserve"> </w:t>
      </w:r>
      <w:r>
        <w:t xml:space="preserve">se il paziente ha un plantare e sta meglio, non toccarlo e non commentarlo — ma non promettere niente a chi non ce l’ha. Attenzione a non generalizzare: quello studio riguarda i cunei laterali nell’artrosi mediale, e sul dolore femoro-rotuleo il consenso internazionale</w:t>
      </w:r>
      <w:r>
        <w:t xml:space="preserve"> </w:t>
      </w:r>
      <w:r>
        <w:rPr>
          <w:b/>
          <w:bCs/>
        </w:rPr>
        <w:t xml:space="preserve">raccomanda</w:t>
      </w:r>
      <w:r>
        <w:t xml:space="preserve"> </w:t>
      </w:r>
      <w:r>
        <w:t xml:space="preserve">le ortesi plantari.</w:t>
      </w:r>
    </w:p>
    <w:p>
      <w:pPr>
        <w:pStyle w:val="BodyText"/>
      </w:pPr>
      <w:r>
        <w:rPr>
          <w:b/>
          <w:bCs/>
        </w:rPr>
        <w:t xml:space="preserve">La sola mobilizzazione.</w:t>
      </w:r>
      <w:r>
        <w:t xml:space="preserve"> </w:t>
      </w:r>
      <w:r>
        <w:t xml:space="preserve">Il consenso internazionale sul dolore femoro-rotuleo, votato da 41 esperti, raccomanda l’esercizio — soprattutto la combinazione di anca e ginocchio — e gli interventi combinati. E dichiara che</w:t>
      </w:r>
      <w:r>
        <w:t xml:space="preserve"> </w:t>
      </w:r>
      <w:r>
        <w:rPr>
          <w:b/>
          <w:bCs/>
        </w:rPr>
        <w:t xml:space="preserve">l’uso di mobilizzazioni femoro-rotulee, di ginocchio o lombari in isolamento non è raccomandato</w:t>
      </w:r>
      <w:r>
        <w:t xml:space="preserve"> </w:t>
      </w:r>
      <w:r>
        <w:t xml:space="preserve">(Collins, 2018, PMID 29925502).</w:t>
      </w:r>
      <w:r>
        <w:t xml:space="preserve"> </w:t>
      </w:r>
      <w:r>
        <w:rPr>
          <w:b/>
          <w:bCs/>
        </w:rPr>
        <w:t xml:space="preserve">Per te:</w:t>
      </w:r>
      <w:r>
        <w:t xml:space="preserve"> </w:t>
      </w:r>
      <w:r>
        <w:t xml:space="preserve">la tua mano su questo pattern ha senso dentro un programma che contiene l’esercizio, non al posto suo.</w:t>
      </w:r>
    </w:p>
    <w:p>
      <w:pPr>
        <w:pStyle w:val="BodyText"/>
      </w:pPr>
      <w:r>
        <w:rPr>
          <w:b/>
          <w:bCs/>
        </w:rPr>
        <w:t xml:space="preserve">Attraverso che cosa passa l’effetto delle mani.</w:t>
      </w:r>
      <w:r>
        <w:t xml:space="preserve"> </w:t>
      </w:r>
      <w:r>
        <w:t xml:space="preserve">Sui 206 partecipanti dello studio di Abbott un’analisi di mediazione ha cercato</w:t>
      </w:r>
      <w:r>
        <w:t xml:space="preserve"> </w:t>
      </w:r>
      <w:r>
        <w:rPr>
          <w:b/>
          <w:bCs/>
        </w:rPr>
        <w:t xml:space="preserve">attraverso che cosa</w:t>
      </w:r>
      <w:r>
        <w:t xml:space="preserve"> </w:t>
      </w:r>
      <w:r>
        <w:t xml:space="preserve">sia passato il beneficio. Passa attraverso</w:t>
      </w:r>
      <w:r>
        <w:t xml:space="preserve"> </w:t>
      </w:r>
      <w:r>
        <w:rPr>
          <w:b/>
          <w:bCs/>
        </w:rPr>
        <w:t xml:space="preserve">le credenze del paziente sul dolore</w:t>
      </w:r>
      <w:r>
        <w:t xml:space="preserve"> </w:t>
      </w:r>
      <w:r>
        <w:t xml:space="preserve">(terapia manuale b = −10,7, IC 95% da −22,3 a −0,9; esercizio b = −14,5), mentre la</w:t>
      </w:r>
      <w:r>
        <w:t xml:space="preserve"> </w:t>
      </w:r>
      <w:r>
        <w:rPr>
          <w:b/>
          <w:bCs/>
        </w:rPr>
        <w:t xml:space="preserve">forza funzionale non ha mediato niente</w:t>
      </w:r>
      <w:r>
        <w:t xml:space="preserve">, in nessuno dei bracci (Ribeiro, Lamb e Abbott, 2024, PMID 38304412).</w:t>
      </w:r>
      <w:r>
        <w:t xml:space="preserve"> </w:t>
      </w:r>
      <w:r>
        <w:rPr>
          <w:b/>
          <w:bCs/>
        </w:rPr>
        <w:t xml:space="preserve">Per te:</w:t>
      </w:r>
      <w:r>
        <w:t xml:space="preserve"> </w:t>
      </w:r>
      <w:r>
        <w:t xml:space="preserve">il bersaglio dove metti le mani è meccanico; il motivo per cui quel lavoro cambia qualcosa, per quanto ne sappiamo, passa da quello che il paziente crede di poter caricare.</w:t>
      </w:r>
    </w:p>
    <w:bookmarkEnd w:id="54"/>
    <w:bookmarkStart w:id="55" w:name="i-tre-cerchi"/>
    <w:p>
      <w:pPr>
        <w:pStyle w:val="Heading3"/>
      </w:pPr>
      <w:r>
        <w:t xml:space="preserve">I tre cerchi</w:t>
      </w:r>
    </w:p>
    <w:p>
      <w:pPr>
        <w:pStyle w:val="Compact"/>
        <w:numPr>
          <w:ilvl w:val="0"/>
          <w:numId w:val="1036"/>
        </w:numPr>
      </w:pPr>
      <w:r>
        <w:rPr>
          <w:b/>
          <w:bCs/>
        </w:rPr>
        <w:t xml:space="preserve">Cerchio 1 — le prove specifiche.</w:t>
      </w:r>
      <w:r>
        <w:t xml:space="preserve"> </w:t>
      </w:r>
      <w:r>
        <w:t xml:space="preserve">Qui il cerchio non è povero: ci sono studi randomizzati di terapia manuale su questa condizione, e una parte è negativa.</w:t>
      </w:r>
    </w:p>
    <w:p>
      <w:pPr>
        <w:pStyle w:val="Compact"/>
        <w:numPr>
          <w:ilvl w:val="0"/>
          <w:numId w:val="1036"/>
        </w:numPr>
      </w:pPr>
      <w:r>
        <w:rPr>
          <w:b/>
          <w:bCs/>
        </w:rPr>
        <w:t xml:space="preserve">Cerchio 2 — il meccanismo condiviso.</w:t>
      </w:r>
      <w:r>
        <w:t xml:space="preserve"> </w:t>
      </w:r>
      <w:r>
        <w:t xml:space="preserve">Effetto contestuale, soglie sensoriali dopo terapia manuale, sensibilizzazione, inibizione artrogena, esercizio e controllo discendente, dorsiflessione ridotta, tocco lento, leve comportamentali. Ognuna porta il suo salto, dichiarato nel punto d’uso, e ogni fonte sta in Appendice B.</w:t>
      </w:r>
    </w:p>
    <w:p>
      <w:pPr>
        <w:pStyle w:val="Compact"/>
        <w:numPr>
          <w:ilvl w:val="0"/>
          <w:numId w:val="1036"/>
        </w:numPr>
      </w:pPr>
      <w:r>
        <w:rPr>
          <w:b/>
          <w:bCs/>
        </w:rPr>
        <w:t xml:space="preserve">Cerchio 3 — la fisiologia.</w:t>
      </w:r>
      <w:r>
        <w:t xml:space="preserve"> </w:t>
      </w:r>
      <w:r>
        <w:t xml:space="preserve">Carico dentro il ginocchio umano, nocicezione dei tessuti anteriori nell’uomo sveglio, sensibilizzazione del nocicettore articolare, reperti muti nella popolazione. Regge il razionale, mai l’efficacia.</w:t>
      </w:r>
    </w:p>
    <w:bookmarkEnd w:id="55"/>
    <w:bookmarkStart w:id="56" w:name="cosa-possiamo-dire-e-cosa-no"/>
    <w:p>
      <w:pPr>
        <w:pStyle w:val="Heading3"/>
      </w:pPr>
      <w:r>
        <w:t xml:space="preserve">Cosa possiamo dire e cosa no</w:t>
      </w:r>
    </w:p>
    <w:p>
      <w:pPr>
        <w:pStyle w:val="FirstParagraph"/>
      </w:pPr>
      <w:r>
        <w:rPr>
          <w:b/>
          <w:bCs/>
        </w:rPr>
        <w:t xml:space="preserve">Possiamo dire</w:t>
      </w:r>
      <w:r>
        <w:t xml:space="preserve"> </w:t>
      </w:r>
      <w:r>
        <w:t xml:space="preserve">cinque cose.</w:t>
      </w:r>
    </w:p>
    <w:p>
      <w:pPr>
        <w:pStyle w:val="Compact"/>
        <w:numPr>
          <w:ilvl w:val="0"/>
          <w:numId w:val="1037"/>
        </w:numPr>
      </w:pPr>
      <w:r>
        <w:t xml:space="preserve">Che l’esercizio riduce il dolore e migliora la funzione, con la certezza dichiarata dagli autori e la sua ampiezza vera.</w:t>
      </w:r>
    </w:p>
    <w:p>
      <w:pPr>
        <w:pStyle w:val="Compact"/>
        <w:numPr>
          <w:ilvl w:val="0"/>
          <w:numId w:val="1037"/>
        </w:numPr>
      </w:pPr>
      <w:r>
        <w:t xml:space="preserve">Che la terapia manuale aggiunta all’esercizio dà un beneficio a breve termine.</w:t>
      </w:r>
    </w:p>
    <w:p>
      <w:pPr>
        <w:pStyle w:val="Compact"/>
        <w:numPr>
          <w:ilvl w:val="0"/>
          <w:numId w:val="1037"/>
        </w:numPr>
      </w:pPr>
      <w:r>
        <w:t xml:space="preserve">Che un programma che unisce mani ed esercizio ha prodotto guadagni ancora presenti a un anno, rispetto al punto di partenza. A quel tempo, però, non è dimostrata una differenza fra i gruppi (Deyle, 2000, PMID 10651597).</w:t>
      </w:r>
    </w:p>
    <w:p>
      <w:pPr>
        <w:pStyle w:val="Compact"/>
        <w:numPr>
          <w:ilvl w:val="0"/>
          <w:numId w:val="1037"/>
        </w:numPr>
      </w:pPr>
      <w:r>
        <w:t xml:space="preserve">Che il lavoro sull’anca migliora i sintomi.</w:t>
      </w:r>
    </w:p>
    <w:p>
      <w:pPr>
        <w:pStyle w:val="Compact"/>
        <w:numPr>
          <w:ilvl w:val="0"/>
          <w:numId w:val="1037"/>
        </w:numPr>
      </w:pPr>
      <w:r>
        <w:t xml:space="preserve">Che la quota non attribuibile all’ingrediente specifico è grande.</w:t>
      </w:r>
    </w:p>
    <w:p>
      <w:pPr>
        <w:pStyle w:val="FirstParagraph"/>
      </w:pPr>
      <w:r>
        <w:rPr>
          <w:b/>
          <w:bCs/>
        </w:rPr>
        <w:t xml:space="preserve">Non possiamo dire</w:t>
      </w:r>
      <w:r>
        <w:t xml:space="preserve"> </w:t>
      </w:r>
      <w:r>
        <w:t xml:space="preserve">cinque cose.</w:t>
      </w:r>
    </w:p>
    <w:p>
      <w:pPr>
        <w:pStyle w:val="Compact"/>
        <w:numPr>
          <w:ilvl w:val="0"/>
          <w:numId w:val="1038"/>
        </w:numPr>
      </w:pPr>
      <w:r>
        <w:t xml:space="preserve">Che la terapia manuale aggiunga qualcosa nel lungo termine: lì la prova è di</w:t>
      </w:r>
      <w:r>
        <w:t xml:space="preserve"> </w:t>
      </w:r>
      <w:r>
        <w:rPr>
          <w:b/>
          <w:bCs/>
        </w:rPr>
        <w:t xml:space="preserve">alta certezza, ed è negativa</w:t>
      </w:r>
      <w:r>
        <w:t xml:space="preserve">.</w:t>
      </w:r>
    </w:p>
    <w:p>
      <w:pPr>
        <w:pStyle w:val="Compact"/>
        <w:numPr>
          <w:ilvl w:val="0"/>
          <w:numId w:val="1038"/>
        </w:numPr>
      </w:pPr>
      <w:r>
        <w:t xml:space="preserve">Che il nostro lavoro modifichi il carico dentro l’articolazione, la cartilagine o lo spazio articolare.</w:t>
      </w:r>
    </w:p>
    <w:p>
      <w:pPr>
        <w:pStyle w:val="Compact"/>
        <w:numPr>
          <w:ilvl w:val="0"/>
          <w:numId w:val="1038"/>
        </w:numPr>
      </w:pPr>
      <w:r>
        <w:t xml:space="preserve">Che la mobilizzazione da sola funzioni sul dolore femoro-rotuleo. Oltre al consenso di 41 esperti c’è ora un randomizzato in doppio cieco: in 53 adulti, aggiungere mobilizzazione rotulea e lavoro sui tessuti laterali a esercizi di anca e ginocchio non ha dato differenza su nessuna variabile (Abdo, 2025, PMID 40987761; campione piccolo, età media 22 anni, singolo centro).</w:t>
      </w:r>
    </w:p>
    <w:p>
      <w:pPr>
        <w:pStyle w:val="Compact"/>
        <w:numPr>
          <w:ilvl w:val="0"/>
          <w:numId w:val="1038"/>
        </w:numPr>
      </w:pPr>
      <w:r>
        <w:t xml:space="preserve">Che una tecnica manuale sciolga l’inibizione riflessa dell’estensore: quattro studi l’hanno cercata, e l’intervallo contiene lo zero.</w:t>
      </w:r>
    </w:p>
    <w:p>
      <w:pPr>
        <w:pStyle w:val="Compact"/>
        <w:numPr>
          <w:ilvl w:val="0"/>
          <w:numId w:val="1038"/>
        </w:numPr>
      </w:pPr>
      <w:r>
        <w:t xml:space="preserve">Che il paziente eviterà la protesi.</w:t>
      </w:r>
    </w:p>
    <w:bookmarkEnd w:id="56"/>
    <w:bookmarkStart w:id="57" w:name="quando-la-scienza-tace"/>
    <w:p>
      <w:pPr>
        <w:pStyle w:val="Heading3"/>
      </w:pPr>
      <w:r>
        <w:t xml:space="preserve">Quando la scienza tace</w:t>
      </w:r>
    </w:p>
    <w:p>
      <w:pPr>
        <w:pStyle w:val="FirstParagraph"/>
      </w:pPr>
      <w:r>
        <w:rPr>
          <w:b/>
          <w:bCs/>
        </w:rPr>
        <w:t xml:space="preserve">1. Assenza di prove non è prova di assenza.</w:t>
      </w:r>
      <w:r>
        <w:t xml:space="preserve"> </w:t>
      </w:r>
      <w:r>
        <w:t xml:space="preserve">Che nessuno abbia misurato un intervento non dice niente sulla sua efficacia: dice che nessuno l’ha misurata. Sono due affermazioni diverse.</w:t>
      </w:r>
    </w:p>
    <w:p>
      <w:pPr>
        <w:pStyle w:val="BodyText"/>
      </w:pPr>
      <w:r>
        <w:rPr>
          <w:b/>
          <w:bCs/>
        </w:rPr>
        <w:t xml:space="preserve">2. Ma qui la scienza non tace, e va detto.</w:t>
      </w:r>
      <w:r>
        <w:t xml:space="preserve"> </w:t>
      </w:r>
      <w:r>
        <w:t xml:space="preserve">Su questa condizione gli studi sono stati fatti, sono molti, e una parte consistente è negativa o nulla: la finta chirurgia, i cunei laterali, la mobilizzazione isolata, il drenaggio manuale, il lungo termine della terapia manuale aggiunta. Quello che manca è la misura del</w:t>
      </w:r>
      <w:r>
        <w:t xml:space="preserve"> </w:t>
      </w:r>
      <w:r>
        <w:rPr>
          <w:b/>
          <w:bCs/>
        </w:rPr>
        <w:t xml:space="preserve">nostro pacchetto</w:t>
      </w:r>
      <w:r>
        <w:t xml:space="preserve">, cioè un ciclo che apre dall’anca e dalla caviglia, lavora sul livello di attivazione e consegna un programma attivo. Manca per tre motivi: non esiste un placebo credibile per il tocco, non c’è finanziamento per una professione piccola, e nessuno ha definito «il pacchetto». La differenza conta: qui non stai riempiendo un silenzio, stai lavorando accanto a una letteratura che ha già detto di no a parecchie cose.</w:t>
      </w:r>
    </w:p>
    <w:p>
      <w:pPr>
        <w:pStyle w:val="BodyText"/>
      </w:pPr>
      <w:r>
        <w:rPr>
          <w:b/>
          <w:bCs/>
        </w:rPr>
        <w:t xml:space="preserve">3. Su cosa ti basi allora.</w:t>
      </w:r>
      <w:r>
        <w:t xml:space="preserve"> </w:t>
      </w:r>
      <w:r>
        <w:t xml:space="preserve">Sul meccanismo fisiologico documentato dai cerchi 2 e 3. Sul ragionamento clinico, dichiarato come ragionamento. E sulla verifica nel singolo paziente, con un marker scelto</w:t>
      </w:r>
      <w:r>
        <w:t xml:space="preserve"> </w:t>
      </w:r>
      <w:r>
        <w:rPr>
          <w:b/>
          <w:bCs/>
        </w:rPr>
        <w:t xml:space="preserve">prima</w:t>
      </w:r>
      <w:r>
        <w:t xml:space="preserve"> </w:t>
      </w:r>
      <w:r>
        <w:t xml:space="preserve">di trattare, misurato prima e dopo, con una soglia che ha una provenienza.</w:t>
      </w:r>
    </w:p>
    <w:p>
      <w:pPr>
        <w:pStyle w:val="BodyText"/>
      </w:pPr>
      <w:r>
        <w:rPr>
          <w:b/>
          <w:bCs/>
        </w:rPr>
        <w:t xml:space="preserve">4. Cosa lo separa dal pensiero magico.</w:t>
      </w:r>
      <w:r>
        <w:t xml:space="preserve"> </w:t>
      </w:r>
      <w:r>
        <w:t xml:space="preserve">La verifica, e nient’altro. Scegliere il marker prima e accettarne il verdetto è scienza applicata a un caso singolo. Sceglierlo dopo aver visto il paziente migliorare, no.</w:t>
      </w:r>
    </w:p>
    <w:p>
      <w:pPr>
        <w:pStyle w:val="BodyText"/>
      </w:pPr>
      <w:r>
        <w:rPr>
          <w:b/>
          <w:bCs/>
        </w:rPr>
        <w:t xml:space="preserve">5. Cosa non autorizza.</w:t>
      </w:r>
      <w:r>
        <w:t xml:space="preserve"> </w:t>
      </w:r>
      <w:r>
        <w:t xml:space="preserve">Non a promettere un esito. Non a scrivere DIMOSTRATO dove c’è IPOTESI. Non a dire al paziente che «gli studi lo confermano», quando su metà di quello che fai non lo confermano affatto.</w:t>
      </w:r>
    </w:p>
    <w:p>
      <w:pPr>
        <w:pStyle w:val="BodyText"/>
      </w:pPr>
      <w:r>
        <w:rPr>
          <w:b/>
          <w:bCs/>
        </w:rPr>
        <w:t xml:space="preserve">Le tre cose da ricordare, più una</w:t>
      </w:r>
    </w:p>
    <w:p>
      <w:pPr>
        <w:pStyle w:val="Compact"/>
        <w:numPr>
          <w:ilvl w:val="0"/>
          <w:numId w:val="1039"/>
        </w:numPr>
      </w:pPr>
      <w:r>
        <w:t xml:space="preserve">L’ancora clinica di questa condizione non è un’osteopata, e il suo lavoro non valida le nostre mani: definisce il metro.</w:t>
      </w:r>
    </w:p>
    <w:p>
      <w:pPr>
        <w:pStyle w:val="Compact"/>
        <w:numPr>
          <w:ilvl w:val="0"/>
          <w:numId w:val="1039"/>
        </w:numPr>
      </w:pPr>
      <w:r>
        <w:t xml:space="preserve">Due studi randomizzati dicono che sul menisco degenerativo l’alternativa attiva regge il confronto con la chirurgia.</w:t>
      </w:r>
    </w:p>
    <w:p>
      <w:pPr>
        <w:pStyle w:val="Compact"/>
        <w:numPr>
          <w:ilvl w:val="0"/>
          <w:numId w:val="1039"/>
        </w:numPr>
      </w:pPr>
      <w:r>
        <w:t xml:space="preserve">Su questa condizione la frase «non ci sono studi» è falsa, e chi la usa perde la discussione al primo controllo.</w:t>
      </w:r>
    </w:p>
    <w:p>
      <w:pPr>
        <w:pStyle w:val="Compact"/>
        <w:numPr>
          <w:ilvl w:val="0"/>
          <w:numId w:val="1039"/>
        </w:numPr>
      </w:pPr>
      <w:r>
        <w:rPr>
          <w:b/>
          <w:bCs/>
        </w:rPr>
        <w:t xml:space="preserve">Perché ci sei tu.</w:t>
      </w:r>
      <w:r>
        <w:t xml:space="preserve"> </w:t>
      </w:r>
      <w:r>
        <w:t xml:space="preserve">In 19 studi randomizzati la terapia manuale più esercizio è stata confrontata con lo stesso esercizio da solo. L’aggiunta delle mani ha dato un beneficio a breve termine su dolore e punteggio globale, con certezza da molto bassa a moderata. E</w:t>
      </w:r>
      <w:r>
        <w:t xml:space="preserve"> </w:t>
      </w:r>
      <w:r>
        <w:rPr>
          <w:b/>
          <w:bCs/>
        </w:rPr>
        <w:t xml:space="preserve">nel lungo termine la prova è di alta certezza e dice che non aggiunge niente</w:t>
      </w:r>
      <w:r>
        <w:t xml:space="preserve"> </w:t>
      </w:r>
      <w:r>
        <w:t xml:space="preserve">(Runge, 2022, PMID 35881705).</w:t>
      </w:r>
      <w:r>
        <w:t xml:space="preserve"> </w:t>
      </w:r>
      <w:r>
        <w:rPr>
          <w:b/>
          <w:bCs/>
        </w:rPr>
        <w:t xml:space="preserve">Per te:</w:t>
      </w:r>
      <w:r>
        <w:t xml:space="preserve"> </w:t>
      </w:r>
      <w:r>
        <w:t xml:space="preserve">le mani aprono una finestra e la letteratura lo riconosce; a tenerla aperta è quello che il paziente fa dopo. Non ti autorizza a vendere un ciclo di sole mani come trattamento di lungo periodo: lì la prova contraria è la più solida del documento.</w:t>
      </w:r>
    </w:p>
    <w:p>
      <w:r>
        <w:pict>
          <v:rect style="width:0;height:1.5pt" o:hralign="center" o:hrstd="t" o:hr="t"/>
        </w:pict>
      </w:r>
    </w:p>
    <w:bookmarkEnd w:id="57"/>
    <w:bookmarkEnd w:id="58"/>
    <w:bookmarkStart w:id="60" w:name="X749ea22382664277f31924734c3f9c650ac2093"/>
    <w:p>
      <w:pPr>
        <w:pStyle w:val="Heading2"/>
      </w:pPr>
      <w:r>
        <w:t xml:space="preserve">Capitolo 11 — Perché le mani possono cambiare qualcosa</w:t>
      </w:r>
    </w:p>
    <w:p>
      <w:pPr>
        <w:pStyle w:val="BlockText"/>
      </w:pPr>
      <w:r>
        <w:rPr>
          <w:b/>
          <w:bCs/>
        </w:rPr>
        <w:t xml:space="preserve">In una riga:</w:t>
      </w:r>
      <w:r>
        <w:t xml:space="preserve"> </w:t>
      </w:r>
      <w:r>
        <w:t xml:space="preserve">le mani aprono una finestra, e su questa condizione sappiamo con precisione quanto è larga, quanto dura, e — cosa rara — attraverso che cosa passa.</w:t>
      </w:r>
    </w:p>
    <w:p>
      <w:pPr>
        <w:pStyle w:val="FirstParagraph"/>
      </w:pPr>
      <w:r>
        <w:rPr>
          <w:b/>
          <w:bCs/>
        </w:rPr>
        <w:t xml:space="preserve">Cosa non possono fare, detto per primo.</w:t>
      </w:r>
      <w:r>
        <w:t xml:space="preserve"> </w:t>
      </w:r>
      <w:r>
        <w:t xml:space="preserve">Non modificano cartilagine, spazio articolare né distribuzione del carico. Non riducono il versamento. Non sostituiscono la parte attiva: la prova di alta certezza dice che, aggiunte all’esercizio, nel lungo periodo non aggiungono niente (Runge, 2022, PMID 35881705). E su un ginocchio settico, un ginocchio protesizzato, un dolore riferito o un blocco vero non fanno nulla di utile: ritardano.</w:t>
      </w:r>
    </w:p>
    <w:p>
      <w:pPr>
        <w:pStyle w:val="BodyText"/>
      </w:pPr>
      <w:r>
        <w:t xml:space="preserve">Meccanismo per meccanismo.</w:t>
      </w:r>
    </w:p>
    <w:p>
      <w:pPr>
        <w:pStyle w:val="BodyText"/>
      </w:pPr>
      <w:r>
        <w:rPr>
          <w:b/>
          <w:bCs/>
        </w:rPr>
        <w:t xml:space="preserve">Sul carico che si concentra.</w:t>
      </w:r>
      <w:r>
        <w:t xml:space="preserve"> </w:t>
      </w:r>
      <w:r>
        <w:rPr>
          <w:i/>
          <w:iCs/>
        </w:rPr>
        <w:t xml:space="preserve">Su cosa agisce una mano:</w:t>
      </w:r>
      <w:r>
        <w:t xml:space="preserve"> </w:t>
      </w:r>
      <w:r>
        <w:t xml:space="preserve">sull’escursione dei segmenti che vincolano la traiettoria — anca, caviglia, e l’estensione completa del ginocchio quando manca.</w:t>
      </w:r>
      <w:r>
        <w:t xml:space="preserve"> </w:t>
      </w:r>
      <w:r>
        <w:rPr>
          <w:i/>
          <w:iCs/>
        </w:rPr>
        <w:t xml:space="preserve">Effetto atteso:</w:t>
      </w:r>
      <w:r>
        <w:t xml:space="preserve"> </w:t>
      </w:r>
      <w:r>
        <w:t xml:space="preserve">più corsa disponibile, sintomo che compare più tardi nel gesto.</w:t>
      </w:r>
      <w:r>
        <w:t xml:space="preserve"> </w:t>
      </w:r>
      <w:r>
        <w:rPr>
          <w:i/>
          <w:iCs/>
        </w:rPr>
        <w:t xml:space="preserve">In quanto tempo:</w:t>
      </w:r>
      <w:r>
        <w:t xml:space="preserve"> </w:t>
      </w:r>
      <w:r>
        <w:t xml:space="preserve">l’escursione dentro la seduta, la tolleranza al gesto in due o tre settimane.</w:t>
      </w:r>
      <w:r>
        <w:t xml:space="preserve"> </w:t>
      </w:r>
      <w:r>
        <w:rPr>
          <w:i/>
          <w:iCs/>
        </w:rPr>
        <w:t xml:space="preserve">Con quale fisiologia:</w:t>
      </w:r>
      <w:r>
        <w:t xml:space="preserve"> </w:t>
      </w:r>
      <w:r>
        <w:t xml:space="preserve">quel guadagno di escursione è</w:t>
      </w:r>
      <w:r>
        <w:t xml:space="preserve"> </w:t>
      </w:r>
      <w:r>
        <w:rPr>
          <w:b/>
          <w:bCs/>
        </w:rPr>
        <w:t xml:space="preserve">tolleranza allo stiramento</w:t>
      </w:r>
      <w:r>
        <w:t xml:space="preserve">, non lunghezza del tessuto (Weppler e Magnusson, 2010, PMID 20075147). Per questo torna indietro se il gesto non viene ripetuto: è la mano che si abitua all’acqua calda, non l’acqua che si raffredda.</w:t>
      </w:r>
    </w:p>
    <w:p>
      <w:pPr>
        <w:pStyle w:val="BlockText"/>
      </w:pPr>
      <w:r>
        <w:rPr>
          <w:b/>
          <w:bCs/>
        </w:rPr>
        <w:t xml:space="preserve">Quanto è solido:</w:t>
      </w:r>
      <w:r>
        <w:t xml:space="preserve"> </w:t>
      </w:r>
      <w:r>
        <w:rPr>
          <w:b/>
          <w:bCs/>
        </w:rPr>
        <w:t xml:space="preserve">PROBABILE</w:t>
      </w:r>
      <w:r>
        <w:t xml:space="preserve"> </w:t>
      </w:r>
      <w:r>
        <w:rPr>
          <w:i/>
          <w:iCs/>
        </w:rPr>
        <w:t xml:space="preserve">(razionale forte, prove parziali)</w:t>
      </w:r>
      <w:r>
        <w:t xml:space="preserve"> </w:t>
      </w:r>
      <w:r>
        <w:t xml:space="preserve">per il beneficio sintomatico.</w:t>
      </w:r>
      <w:r>
        <w:t xml:space="preserve"> </w:t>
      </w:r>
      <w:r>
        <w:rPr>
          <w:b/>
          <w:bCs/>
        </w:rPr>
        <w:t xml:space="preserve">IPOTESI</w:t>
      </w:r>
      <w:r>
        <w:t xml:space="preserve"> </w:t>
      </w:r>
      <w:r>
        <w:rPr>
          <w:i/>
          <w:iCs/>
        </w:rPr>
        <w:t xml:space="preserve">(meccanismo coerente, nessuno studio)</w:t>
      </w:r>
      <w:r>
        <w:t xml:space="preserve"> </w:t>
      </w:r>
      <w:r>
        <w:t xml:space="preserve">che avvenga redistribuendo il carico, e qui con prove contrarie: il momento adduttorio al ginocchio non è cambiato dopo dodici settimane di rinforzo d’anca che pure avevano migliorato i sintomi (Bennell, 2010, PMID 20175973).</w:t>
      </w:r>
    </w:p>
    <w:p>
      <w:pPr>
        <w:pStyle w:val="FirstParagraph"/>
      </w:pPr>
      <w:r>
        <w:rPr>
          <w:b/>
          <w:bCs/>
        </w:rPr>
        <w:t xml:space="preserve">Sul freno che si scarica.</w:t>
      </w:r>
      <w:r>
        <w:t xml:space="preserve"> </w:t>
      </w:r>
      <w:r>
        <w:rPr>
          <w:i/>
          <w:iCs/>
        </w:rPr>
        <w:t xml:space="preserve">Su cosa agisce una mano:</w:t>
      </w:r>
      <w:r>
        <w:t xml:space="preserve"> </w:t>
      </w:r>
      <w:r>
        <w:t xml:space="preserve">sulla componente del freno mediata dal dolore e dalla guardia muscolare.</w:t>
      </w:r>
      <w:r>
        <w:t xml:space="preserve"> </w:t>
      </w:r>
      <w:r>
        <w:rPr>
          <w:b/>
          <w:bCs/>
        </w:rPr>
        <w:t xml:space="preserve">Non sul versamento.</w:t>
      </w:r>
      <w:r>
        <w:t xml:space="preserve"> </w:t>
      </w:r>
      <w:r>
        <w:t xml:space="preserve">Quella parte dell’inibizione dipende dal volume e dalla pressione dentro l’articolazione, non dal dolore: l’ampiezza del riflesso cala in proporzione ai millilitri infusi, con una soglia fra 20 e 30 ml. E un anestetico intrarticolare che toglie il dolore non riproduce l’inibizione (Spencer, 1984, PMID 6712434). Finché il liquido non scende, quella parte non si muove:</w:t>
      </w:r>
      <w:r>
        <w:t xml:space="preserve"> </w:t>
      </w:r>
      <w:r>
        <w:rPr>
          <w:b/>
          <w:bCs/>
        </w:rPr>
        <w:t xml:space="preserve">è la ragione fisiologica per cui il ginocchio versato cambia l’uscita del triage.</w:t>
      </w:r>
      <w:r>
        <w:t xml:space="preserve"> </w:t>
      </w:r>
      <w:r>
        <w:rPr>
          <w:i/>
          <w:iCs/>
        </w:rPr>
        <w:t xml:space="preserve">Effetto atteso:</w:t>
      </w:r>
      <w:r>
        <w:t xml:space="preserve"> </w:t>
      </w:r>
      <w:r>
        <w:t xml:space="preserve">una finestra in cui il paziente riesce a caricare quello che prima non caricava.</w:t>
      </w:r>
      <w:r>
        <w:t xml:space="preserve"> </w:t>
      </w:r>
      <w:r>
        <w:rPr>
          <w:i/>
          <w:iCs/>
        </w:rPr>
        <w:t xml:space="preserve">In quanto tempo:</w:t>
      </w:r>
      <w:r>
        <w:t xml:space="preserve"> </w:t>
      </w:r>
      <w:r>
        <w:t xml:space="preserve">dentro la seduta, e dura quanto dura.</w:t>
      </w:r>
    </w:p>
    <w:p>
      <w:pPr>
        <w:pStyle w:val="BlockText"/>
      </w:pPr>
      <w:r>
        <w:rPr>
          <w:b/>
          <w:bCs/>
        </w:rPr>
        <w:t xml:space="preserve">Quanto è solido:</w:t>
      </w:r>
      <w:r>
        <w:t xml:space="preserve"> </w:t>
      </w:r>
      <w:r>
        <w:rPr>
          <w:b/>
          <w:bCs/>
        </w:rPr>
        <w:t xml:space="preserve">PROBABILE</w:t>
      </w:r>
      <w:r>
        <w:t xml:space="preserve"> </w:t>
      </w:r>
      <w:r>
        <w:rPr>
          <w:i/>
          <w:iCs/>
        </w:rPr>
        <w:t xml:space="preserve">(razionale forte, prove parziali)</w:t>
      </w:r>
      <w:r>
        <w:t xml:space="preserve"> </w:t>
      </w:r>
      <w:r>
        <w:t xml:space="preserve">per l’apertura della finestra sulla componente da dolore.</w:t>
      </w:r>
      <w:r>
        <w:t xml:space="preserve"> </w:t>
      </w:r>
      <w:r>
        <w:rPr>
          <w:b/>
          <w:bCs/>
        </w:rPr>
        <w:t xml:space="preserve">IPOTESI</w:t>
      </w:r>
      <w:r>
        <w:t xml:space="preserve"> </w:t>
      </w:r>
      <w:r>
        <w:rPr>
          <w:i/>
          <w:iCs/>
        </w:rPr>
        <w:t xml:space="preserve">(meccanismo coerente, nessuno studio)</w:t>
      </w:r>
      <w:r>
        <w:t xml:space="preserve"> </w:t>
      </w:r>
      <w:r>
        <w:t xml:space="preserve">che la mano sblocchi l’inibizione riflessa, e qui con prove contrarie: quattro studi di terapia manuale aggregati danno un effetto immediato non significativo sull’attivazione volontaria del quadricipite (Harkey, 2014, PMID 24490843, con il salto dichiarato in «Cosa si rompe»). Quella non si sblocca a comando, e la differenza fra le due cose è il motivo per cui esiste il capitolo successivo.</w:t>
      </w:r>
    </w:p>
    <w:p>
      <w:pPr>
        <w:pStyle w:val="FirstParagraph"/>
      </w:pPr>
      <w:r>
        <w:rPr>
          <w:b/>
          <w:bCs/>
        </w:rPr>
        <w:t xml:space="preserve">Sulla soglia che si abbassa.</w:t>
      </w:r>
      <w:r>
        <w:t xml:space="preserve"> </w:t>
      </w:r>
      <w:r>
        <w:rPr>
          <w:i/>
          <w:iCs/>
        </w:rPr>
        <w:t xml:space="preserve">Su cosa agisce una mano:</w:t>
      </w:r>
      <w:r>
        <w:t xml:space="preserve"> </w:t>
      </w:r>
      <w:r>
        <w:t xml:space="preserve">sul livello di attivazione. Ci agisce attraverso il contatto lento e prevedibile, il ritmo del respiro, il tempo dedicato e la spiegazione che accompagna il tocco.</w:t>
      </w:r>
      <w:r>
        <w:t xml:space="preserve"> </w:t>
      </w:r>
      <w:r>
        <w:rPr>
          <w:i/>
          <w:iCs/>
        </w:rPr>
        <w:t xml:space="preserve">Effetto atteso e tempi:</w:t>
      </w:r>
      <w:r>
        <w:t xml:space="preserve"> </w:t>
      </w:r>
      <w:r>
        <w:t xml:space="preserve">uno spostamento di stato dentro la seduta, uno spostamento di soglia nell’arco di settimane. I due tempi sono diversi e non vanno confusi.</w:t>
      </w:r>
    </w:p>
    <w:p>
      <w:pPr>
        <w:pStyle w:val="BlockText"/>
      </w:pPr>
      <w:r>
        <w:rPr>
          <w:b/>
          <w:bCs/>
        </w:rPr>
        <w:t xml:space="preserve">Quanto è solido:</w:t>
      </w:r>
      <w:r>
        <w:t xml:space="preserve"> </w:t>
      </w:r>
      <w:r>
        <w:rPr>
          <w:b/>
          <w:bCs/>
        </w:rPr>
        <w:t xml:space="preserve">IPOTESI</w:t>
      </w:r>
      <w:r>
        <w:t xml:space="preserve"> </w:t>
      </w:r>
      <w:r>
        <w:rPr>
          <w:i/>
          <w:iCs/>
        </w:rPr>
        <w:t xml:space="preserve">(meccanismo coerente, nessuno studio)</w:t>
      </w:r>
      <w:r>
        <w:t xml:space="preserve"> </w:t>
      </w:r>
      <w:r>
        <w:t xml:space="preserve">che il tocco abbassi il guadagno centrale, e qui con prove discordanti (Rodgers e Coronado, 2024, PMID 37908101; il salto è di</w:t>
      </w:r>
      <w:r>
        <w:t xml:space="preserve"> </w:t>
      </w:r>
      <w:r>
        <w:rPr>
          <w:b/>
          <w:bCs/>
        </w:rPr>
        <w:t xml:space="preserve">popolazione</w:t>
      </w:r>
      <w:r>
        <w:t xml:space="preserve">).</w:t>
      </w:r>
    </w:p>
    <w:p>
      <w:pPr>
        <w:pStyle w:val="BlockText"/>
      </w:pPr>
      <w:r>
        <w:t xml:space="preserve">Che il</w:t>
      </w:r>
      <w:r>
        <w:t xml:space="preserve"> </w:t>
      </w:r>
      <w:r>
        <w:rPr>
          <w:b/>
          <w:bCs/>
        </w:rPr>
        <w:t xml:space="preserve">modo</w:t>
      </w:r>
      <w:r>
        <w:t xml:space="preserve"> </w:t>
      </w:r>
      <w:r>
        <w:t xml:space="preserve">del contatto conti, e non solo il contatto, ha però una base sperimentale. In 44 volontari sani lo sfioramento lento ha ridotto il dolore da calore cutaneo. Lento vuol dire alla velocità ottimale per le</w:t>
      </w:r>
      <w:r>
        <w:t xml:space="preserve"> </w:t>
      </w:r>
      <w:r>
        <w:rPr>
          <w:b/>
          <w:bCs/>
        </w:rPr>
        <w:t xml:space="preserve">fibre C-tattili</w:t>
      </w:r>
      <w:r>
        <w:t xml:space="preserve">, i recettori della pelle che rispondono alla carezza; lo sfioramento veloce e la vibrazione non hanno ridotto niente (Liljencrantz, 2017, PMID 28263013; misurato su volontari sani con dolore sperimentale da calore e uno sfioramento standardizzato con un pennello, non su pazienti con dolore al ginocchio e non su un trattamento — i salti sono di</w:t>
      </w:r>
      <w:r>
        <w:t xml:space="preserve"> </w:t>
      </w:r>
      <w:r>
        <w:rPr>
          <w:b/>
          <w:bCs/>
        </w:rPr>
        <w:t xml:space="preserve">popolazione</w:t>
      </w:r>
      <w:r>
        <w:t xml:space="preserve"> </w:t>
      </w:r>
      <w:r>
        <w:t xml:space="preserve">e di</w:t>
      </w:r>
      <w:r>
        <w:t xml:space="preserve"> </w:t>
      </w:r>
      <w:r>
        <w:rPr>
          <w:b/>
          <w:bCs/>
        </w:rPr>
        <w:t xml:space="preserve">intervento</w:t>
      </w:r>
      <w:r>
        <w:t xml:space="preserve">, e gli autori scrivono che il meccanismo preciso resta ignoto).</w:t>
      </w:r>
      <w:r>
        <w:t xml:space="preserve"> </w:t>
      </w:r>
      <w:r>
        <w:rPr>
          <w:b/>
          <w:bCs/>
        </w:rPr>
        <w:t xml:space="preserve">Un indice misurato su volontari sani non regge mai una leva:</w:t>
      </w:r>
      <w:r>
        <w:t xml:space="preserve"> </w:t>
      </w:r>
      <w:r>
        <w:t xml:space="preserve">quella riga ancora il razionale del contatto lento, e non alza niente.</w:t>
      </w:r>
    </w:p>
    <w:p>
      <w:pPr>
        <w:pStyle w:val="BlockText"/>
      </w:pPr>
      <w:r>
        <w:rPr>
          <w:b/>
          <w:bCs/>
        </w:rPr>
        <w:t xml:space="preserve">DIMOSTRATO</w:t>
      </w:r>
      <w:r>
        <w:t xml:space="preserve"> </w:t>
      </w:r>
      <w:r>
        <w:rPr>
          <w:i/>
          <w:iCs/>
        </w:rPr>
        <w:t xml:space="preserve">(studi sull’uomo, solidi)</w:t>
      </w:r>
      <w:r>
        <w:t xml:space="preserve"> </w:t>
      </w:r>
      <w:r>
        <w:t xml:space="preserve">è un’altra cosa: che la quota di miglioramento non attribuibile all’ingrediente specifico è in media il 75% negli studi su questa famiglia di condizioni (Zou, 2016, PMID 26882927; il salto è di</w:t>
      </w:r>
      <w:r>
        <w:t xml:space="preserve"> </w:t>
      </w:r>
      <w:r>
        <w:rPr>
          <w:b/>
          <w:bCs/>
        </w:rPr>
        <w:t xml:space="preserve">intervento</w:t>
      </w:r>
      <w:r>
        <w:t xml:space="preserve">). E dentro quella quota stanno, indistinguibili, anche la storia naturale e il ritorno verso la media.</w:t>
      </w:r>
    </w:p>
    <w:p>
      <w:pPr>
        <w:pStyle w:val="FirstParagraph"/>
      </w:pPr>
      <w:r>
        <w:rPr>
          <w:b/>
          <w:bCs/>
        </w:rPr>
        <w:t xml:space="preserve">Sui vicini che comandano.</w:t>
      </w:r>
      <w:r>
        <w:t xml:space="preserve"> </w:t>
      </w:r>
      <w:r>
        <w:t xml:space="preserve">Ci sono due cose diverse, e vanno separate.</w:t>
      </w:r>
      <w:r>
        <w:t xml:space="preserve"> </w:t>
      </w:r>
      <w:r>
        <w:rPr>
          <w:i/>
          <w:iCs/>
        </w:rPr>
        <w:t xml:space="preserve">La mano su anca e caviglia</w:t>
      </w:r>
      <w:r>
        <w:t xml:space="preserve"> </w:t>
      </w:r>
      <w:r>
        <w:t xml:space="preserve">cambia la tolleranza al gesto: meno sintomo, più gradini prima che compaia, in due o tre settimane, e l’erogatore sei tu.</w:t>
      </w:r>
      <w:r>
        <w:t xml:space="preserve"> </w:t>
      </w:r>
      <w:r>
        <w:rPr>
          <w:i/>
          <w:iCs/>
        </w:rPr>
        <w:t xml:space="preserve">Il guadagno di forza dell’anca</w:t>
      </w:r>
      <w:r>
        <w:t xml:space="preserve"> </w:t>
      </w:r>
      <w:r>
        <w:t xml:space="preserve">è quello che lo studio ha misurato: non arriva prima di sei-otto settimane, e l’erogatore è la parte attiva.</w:t>
      </w:r>
    </w:p>
    <w:p>
      <w:pPr>
        <w:pStyle w:val="BlockText"/>
      </w:pPr>
      <w:r>
        <w:rPr>
          <w:b/>
          <w:bCs/>
        </w:rPr>
        <w:t xml:space="preserve">Quanto è solido:</w:t>
      </w:r>
      <w:r>
        <w:t xml:space="preserve"> </w:t>
      </w:r>
      <w:r>
        <w:rPr>
          <w:b/>
          <w:bCs/>
        </w:rPr>
        <w:t xml:space="preserve">PROBABILE</w:t>
      </w:r>
      <w:r>
        <w:t xml:space="preserve"> </w:t>
      </w:r>
      <w:r>
        <w:rPr>
          <w:i/>
          <w:iCs/>
        </w:rPr>
        <w:t xml:space="preserve">(razionale forte, prove parziali)</w:t>
      </w:r>
      <w:r>
        <w:t xml:space="preserve"> </w:t>
      </w:r>
      <w:r>
        <w:t xml:space="preserve">che il lavoro sull’anca migliori i sintomi del ginocchio (Bennell, 2010, PMID 20175973; rinforzo attivo, non terapia manuale — il salto è di</w:t>
      </w:r>
      <w:r>
        <w:t xml:space="preserve"> </w:t>
      </w:r>
      <w:r>
        <w:rPr>
          <w:b/>
          <w:bCs/>
        </w:rPr>
        <w:t xml:space="preserve">intervento</w:t>
      </w:r>
      <w:r>
        <w:t xml:space="preserve">; disegno e limiti in «Cosa si rompe»). Sul dolore femoro-rotuleo il consenso internazionale dichiara che la sola mobilizzazione non è raccomandata (Collins, 2018, PMID 29925502): la mano ha senso dentro un programma, non al posto suo.</w:t>
      </w:r>
    </w:p>
    <w:p>
      <w:pPr>
        <w:pStyle w:val="FirstParagraph"/>
      </w:pPr>
      <w:r>
        <w:rPr>
          <w:b/>
          <w:bCs/>
        </w:rPr>
        <w:t xml:space="preserve">Sui tessuti extra-articolari.</w:t>
      </w:r>
      <w:r>
        <w:t xml:space="preserve"> </w:t>
      </w:r>
      <w:r>
        <w:rPr>
          <w:i/>
          <w:iCs/>
        </w:rPr>
        <w:t xml:space="preserve">Su cosa agisce una mano:</w:t>
      </w:r>
      <w:r>
        <w:t xml:space="preserve"> </w:t>
      </w:r>
      <w:r>
        <w:t xml:space="preserve">sulla tolleranza al carico di un tendine fuori dall’articolazione — zampa d’oca, tendine rotuleo, bandelletta.</w:t>
      </w:r>
      <w:r>
        <w:t xml:space="preserve"> </w:t>
      </w:r>
      <w:r>
        <w:rPr>
          <w:i/>
          <w:iCs/>
        </w:rPr>
        <w:t xml:space="preserve">Effetto atteso e tempi:</w:t>
      </w:r>
      <w:r>
        <w:t xml:space="preserve"> </w:t>
      </w:r>
      <w:r>
        <w:t xml:space="preserve">è il gruppo che risponde meglio e più in fretta al lavoro manuale, e quanto in fretta nessuno l’ha misurato.</w:t>
      </w:r>
    </w:p>
    <w:p>
      <w:pPr>
        <w:pStyle w:val="BlockText"/>
      </w:pPr>
      <w:r>
        <w:rPr>
          <w:b/>
          <w:bCs/>
        </w:rPr>
        <w:t xml:space="preserve">Quanto è solido:</w:t>
      </w:r>
      <w:r>
        <w:t xml:space="preserve"> </w:t>
      </w:r>
      <w:r>
        <w:rPr>
          <w:b/>
          <w:bCs/>
        </w:rPr>
        <w:t xml:space="preserve">RAGIONAMENTO</w:t>
      </w:r>
      <w:r>
        <w:t xml:space="preserve"> </w:t>
      </w:r>
      <w:r>
        <w:rPr>
          <w:i/>
          <w:iCs/>
        </w:rPr>
        <w:t xml:space="preserve">(cornice clinica, non una prova)</w:t>
      </w:r>
      <w:r>
        <w:t xml:space="preserve">. È un’attesa clinica, non un dato misurato. La cella «Molto» della tabella dei pattern si legge con questa etichetta accanto.</w:t>
      </w:r>
    </w:p>
    <w:p>
      <w:pPr>
        <w:pStyle w:val="FirstParagraph"/>
      </w:pPr>
      <w:r>
        <w:rPr>
          <w:b/>
          <w:bCs/>
        </w:rPr>
        <w:t xml:space="preserve">Sul dolore che non è del ginocchio.</w:t>
      </w:r>
      <w:r>
        <w:t xml:space="preserve"> </w:t>
      </w:r>
      <w:r>
        <w:t xml:space="preserve">Qui la mano non è la leva: la leva è il riconoscimento, e il valore che porti è il tempo che risparmi al paziente.</w:t>
      </w:r>
    </w:p>
    <w:p>
      <w:pPr>
        <w:pStyle w:val="BlockText"/>
      </w:pPr>
      <w:r>
        <w:rPr>
          <w:b/>
          <w:bCs/>
        </w:rPr>
        <w:t xml:space="preserve">Attenzione.</w:t>
      </w:r>
      <w:r>
        <w:t xml:space="preserve"> </w:t>
      </w:r>
      <w:r>
        <w:t xml:space="preserve">Prima di lavorare sul polpaccio, guarda il polpaccio. Gonfiore e dolorabilità unilaterali con circonferenza asimmetrica sono la riga trombosi della tabella, non un compenso da sciogliere: il massaggio dell’arto su una trombosi venosa profonda non riconosciuta può mobilizzare il trombo (Sutham, 2020, PMID 32321459).</w:t>
      </w:r>
    </w:p>
    <w:bookmarkStart w:id="59" w:name="X313a9305afc17cefd332a43187892ca69ddea55"/>
    <w:p>
      <w:pPr>
        <w:pStyle w:val="Heading3"/>
      </w:pPr>
      <w:r>
        <w:t xml:space="preserve">Cosa fa l’osteopata che il resto del percorso non fa</w:t>
      </w:r>
    </w:p>
    <w:p>
      <w:pPr>
        <w:pStyle w:val="Compact"/>
        <w:numPr>
          <w:ilvl w:val="0"/>
          <w:numId w:val="1040"/>
        </w:numPr>
      </w:pPr>
      <w:r>
        <w:rPr>
          <w:b/>
          <w:bCs/>
        </w:rPr>
        <w:t xml:space="preserve">Prende i tre reperti che nessuno ha preso</w:t>
      </w:r>
      <w:r>
        <w:t xml:space="preserve"> </w:t>
      </w:r>
      <w:r>
        <w:t xml:space="preserve">— anca, rachide, caviglia — e misura il ginocchio sotto carico invece che da fermo, come elencato in «Chi ti trova davanti». Il percorso standard è organizzato per distretto e per immagine: il quinto meccanismo gli sfugge per come è fatto, e il gesto che duole davanti a una lastra non compare mai.</w:t>
      </w:r>
    </w:p>
    <w:p>
      <w:pPr>
        <w:pStyle w:val="Compact"/>
        <w:numPr>
          <w:ilvl w:val="0"/>
          <w:numId w:val="1040"/>
        </w:numPr>
      </w:pPr>
      <w:r>
        <w:rPr>
          <w:b/>
          <w:bCs/>
        </w:rPr>
        <w:t xml:space="preserve">Lavora sul livello di attivazione con il contatto, non solo con le parole.</w:t>
      </w:r>
      <w:r>
        <w:t xml:space="preserve"> </w:t>
      </w:r>
      <w:r>
        <w:t xml:space="preserve">È spesso l’unico punto del percorso in cui qualcuno mette le mani su quel paziente, per un tempo lungo e prevedibile.</w:t>
      </w:r>
    </w:p>
    <w:p>
      <w:pPr>
        <w:pStyle w:val="FirstParagraph"/>
      </w:pPr>
      <w:r>
        <w:t xml:space="preserve">Il come si fa non è qui. Sta nella Procedura della Gonalgia: due pagine, tecniche, dosi e piano delle sedute.</w:t>
      </w:r>
    </w:p>
    <w:p>
      <w:pPr>
        <w:pStyle w:val="BodyText"/>
      </w:pPr>
      <w:r>
        <w:rPr>
          <w:b/>
          <w:bCs/>
        </w:rPr>
        <w:t xml:space="preserve">Le tre cose da ricordare, più una</w:t>
      </w:r>
    </w:p>
    <w:p>
      <w:pPr>
        <w:pStyle w:val="Compact"/>
        <w:numPr>
          <w:ilvl w:val="0"/>
          <w:numId w:val="1041"/>
        </w:numPr>
      </w:pPr>
      <w:r>
        <w:t xml:space="preserve">Le mani aprono una finestra, e dichiarare che è una finestra è ciò che rende credibile il resto.</w:t>
      </w:r>
    </w:p>
    <w:p>
      <w:pPr>
        <w:pStyle w:val="Compact"/>
        <w:numPr>
          <w:ilvl w:val="0"/>
          <w:numId w:val="1041"/>
        </w:numPr>
      </w:pPr>
      <w:r>
        <w:t xml:space="preserve">L’effetto della singola seduta e quello della ripetizione sono cose diverse: attribuire il secondo alla tecnica porta a concludere che «non funziona niente».</w:t>
      </w:r>
    </w:p>
    <w:p>
      <w:pPr>
        <w:pStyle w:val="Compact"/>
        <w:numPr>
          <w:ilvl w:val="0"/>
          <w:numId w:val="1041"/>
        </w:numPr>
      </w:pPr>
      <w:r>
        <w:t xml:space="preserve">Sul dolore riferito la leva non è la mano: è il riconoscimento, e vale più di un ciclo.</w:t>
      </w:r>
    </w:p>
    <w:p>
      <w:pPr>
        <w:pStyle w:val="Compact"/>
        <w:numPr>
          <w:ilvl w:val="0"/>
          <w:numId w:val="1041"/>
        </w:numPr>
      </w:pPr>
      <w:r>
        <w:rPr>
          <w:b/>
          <w:bCs/>
        </w:rPr>
        <w:t xml:space="preserve">Perché ci sei tu.</w:t>
      </w:r>
      <w:r>
        <w:t xml:space="preserve"> </w:t>
      </w:r>
      <w:r>
        <w:t xml:space="preserve">In uno studio fattoriale su 206 adulti, la</w:t>
      </w:r>
      <w:r>
        <w:t xml:space="preserve"> </w:t>
      </w:r>
      <w:r>
        <w:rPr>
          <w:b/>
          <w:bCs/>
        </w:rPr>
        <w:t xml:space="preserve">sola fisioterapia manuale</w:t>
      </w:r>
      <w:r>
        <w:t xml:space="preserve"> </w:t>
      </w:r>
      <w:r>
        <w:t xml:space="preserve">ha ridotto il WOMAC di 28,5 punti su 240 a un anno. Il confronto era con le cure abituali (IC 95% da 9,2 a 47,8). L’esercizio da solo l’ha ridotto di 16,4 e la combinazione di 14,5, ma questi due intervalli</w:t>
      </w:r>
      <w:r>
        <w:t xml:space="preserve"> </w:t>
      </w:r>
      <w:r>
        <w:rPr>
          <w:b/>
          <w:bCs/>
        </w:rPr>
        <w:t xml:space="preserve">contengono lo zero</w:t>
      </w:r>
      <w:r>
        <w:t xml:space="preserve"> </w:t>
      </w:r>
      <w:r>
        <w:t xml:space="preserve">e non sono significativi. L’interazione fra i due trattamenti è risultata</w:t>
      </w:r>
      <w:r>
        <w:t xml:space="preserve"> </w:t>
      </w:r>
      <w:r>
        <w:rPr>
          <w:b/>
          <w:bCs/>
        </w:rPr>
        <w:t xml:space="preserve">antagonista</w:t>
      </w:r>
      <w:r>
        <w:t xml:space="preserve">, con significatività di limite e mai replicata (Abbott, 2013, PMID 23313532; erogata da fisioterapisti, su anca</w:t>
      </w:r>
      <w:r>
        <w:t xml:space="preserve"> </w:t>
      </w:r>
      <w:r>
        <w:rPr>
          <w:b/>
          <w:bCs/>
        </w:rPr>
        <w:t xml:space="preserve">o</w:t>
      </w:r>
      <w:r>
        <w:t xml:space="preserve"> </w:t>
      </w:r>
      <w:r>
        <w:t xml:space="preserve">ginocchio — i salti sono di</w:t>
      </w:r>
      <w:r>
        <w:t xml:space="preserve"> </w:t>
      </w:r>
      <w:r>
        <w:rPr>
          <w:b/>
          <w:bCs/>
        </w:rPr>
        <w:t xml:space="preserve">erogatore</w:t>
      </w:r>
      <w:r>
        <w:t xml:space="preserve"> </w:t>
      </w:r>
      <w:r>
        <w:t xml:space="preserve">e di distretto).</w:t>
      </w:r>
      <w:r>
        <w:t xml:space="preserve"> </w:t>
      </w:r>
      <w:r>
        <w:rPr>
          <w:b/>
          <w:bCs/>
        </w:rPr>
        <w:t xml:space="preserve">Per te:</w:t>
      </w:r>
      <w:r>
        <w:t xml:space="preserve"> </w:t>
      </w:r>
      <w:r>
        <w:t xml:space="preserve">tratta la componente manuale come un intervento e non come un preludio, e diffida dall’ammucchiare tutto nella stessa seduta. Non ti autorizza a leggerlo come «mani</w:t>
      </w:r>
      <w:r>
        <w:t xml:space="preserve"> </w:t>
      </w:r>
      <w:r>
        <w:rPr>
          <w:i/>
          <w:iCs/>
        </w:rPr>
        <w:t xml:space="preserve">oppure</w:t>
      </w:r>
      <w:r>
        <w:t xml:space="preserve"> </w:t>
      </w:r>
      <w:r>
        <w:t xml:space="preserve">esercizio»: è un’ipotesi da verificare sul tuo marker. E i due confronti non vanno confusi: Abbott confronta con le cure abituali, Runge l’aggiunta all’esercizio.</w:t>
      </w:r>
    </w:p>
    <w:p>
      <w:r>
        <w:pict>
          <v:rect style="width:0;height:1.5pt" o:hralign="center" o:hrstd="t" o:hr="t"/>
        </w:pict>
      </w:r>
    </w:p>
    <w:bookmarkEnd w:id="59"/>
    <w:bookmarkEnd w:id="60"/>
    <w:bookmarkStart w:id="65" w:name="X136fc797340a8505b3f1ef11420398b4b0fe2f0"/>
    <w:p>
      <w:pPr>
        <w:pStyle w:val="Heading2"/>
      </w:pPr>
      <w:r>
        <w:t xml:space="preserve">Capitolo 12 — Cosa può fare il paziente da solo</w:t>
      </w:r>
    </w:p>
    <w:p>
      <w:pPr>
        <w:pStyle w:val="BlockText"/>
      </w:pPr>
      <w:r>
        <w:rPr>
          <w:b/>
          <w:bCs/>
        </w:rPr>
        <w:t xml:space="preserve">In una riga:</w:t>
      </w:r>
      <w:r>
        <w:t xml:space="preserve"> </w:t>
      </w:r>
      <w:r>
        <w:t xml:space="preserve">su questa condizione la leva con le prove migliori dell’intero documento non è il tocco: è quello che il paziente fa quando è uscito.</w:t>
      </w:r>
    </w:p>
    <w:p>
      <w:pPr>
        <w:pStyle w:val="FirstParagraph"/>
      </w:pPr>
      <w:r>
        <w:t xml:space="preserve">Il capitolo esiste perché la condizione è soddisfatta con ampio margine: qui l’esercizio poggia su 139 studi randomizzati e 12.468 partecipanti.</w:t>
      </w:r>
    </w:p>
    <w:bookmarkStart w:id="61" w:name="X5be6bd8e1a48d97cfc78a690ac40f9bbec3e869"/>
    <w:p>
      <w:pPr>
        <w:pStyle w:val="Heading3"/>
      </w:pPr>
      <w:r>
        <w:t xml:space="preserve">1. L’esercizio a carico progressivo, e il cammino</w:t>
      </w:r>
    </w:p>
    <w:p>
      <w:pPr>
        <w:pStyle w:val="FirstParagraph"/>
      </w:pPr>
      <w:r>
        <w:rPr>
          <w:b/>
          <w:bCs/>
        </w:rPr>
        <w:t xml:space="preserve">Cos’è.</w:t>
      </w:r>
      <w:r>
        <w:t xml:space="preserve"> </w:t>
      </w:r>
      <w:r>
        <w:t xml:space="preserve">Un programma che carica in modo graduale l’estensore del ginocchio e i muscoli dell’anca, con un carico che cresce nel tempo. Qui dentro sta anche il gesto che il paziente ha già smesso di fare:</w:t>
      </w:r>
      <w:r>
        <w:t xml:space="preserve"> </w:t>
      </w:r>
      <w:r>
        <w:rPr>
          <w:b/>
          <w:bCs/>
        </w:rPr>
        <w:t xml:space="preserve">camminare</w:t>
      </w:r>
      <w:r>
        <w:t xml:space="preserve">.</w:t>
      </w:r>
    </w:p>
    <w:p>
      <w:pPr>
        <w:pStyle w:val="BodyText"/>
      </w:pPr>
      <w:r>
        <w:rPr>
          <w:b/>
          <w:bCs/>
        </w:rPr>
        <w:t xml:space="preserve">Su quale meccanismo agisce.</w:t>
      </w:r>
      <w:r>
        <w:t xml:space="preserve"> </w:t>
      </w:r>
      <w:r>
        <w:t xml:space="preserve">Su quattro.</w:t>
      </w:r>
    </w:p>
    <w:p>
      <w:pPr>
        <w:pStyle w:val="Compact"/>
        <w:numPr>
          <w:ilvl w:val="0"/>
          <w:numId w:val="1042"/>
        </w:numPr>
      </w:pPr>
      <w:r>
        <w:t xml:space="preserve">Su «Il freno che si scarica», costruendo forza e tolleranza.</w:t>
      </w:r>
    </w:p>
    <w:p>
      <w:pPr>
        <w:pStyle w:val="Compact"/>
        <w:numPr>
          <w:ilvl w:val="0"/>
          <w:numId w:val="1042"/>
        </w:numPr>
      </w:pPr>
      <w:r>
        <w:t xml:space="preserve">Su «Il carico che si concentra», aumentando l’energia assorbita dal muscolo.</w:t>
      </w:r>
    </w:p>
    <w:p>
      <w:pPr>
        <w:pStyle w:val="Compact"/>
        <w:numPr>
          <w:ilvl w:val="0"/>
          <w:numId w:val="1042"/>
        </w:numPr>
      </w:pPr>
      <w:r>
        <w:t xml:space="preserve">Su «Il ginocchio che paga per i vicini», attraverso il rinforzo dell’anca. È il guadagno che «Perché le mani possono cambiare qualcosa» attribuisce alla parte attiva.</w:t>
      </w:r>
    </w:p>
    <w:p>
      <w:pPr>
        <w:pStyle w:val="Compact"/>
        <w:numPr>
          <w:ilvl w:val="0"/>
          <w:numId w:val="1042"/>
        </w:numPr>
      </w:pPr>
      <w:r>
        <w:t xml:space="preserve">Su «La soglia che si abbassa», attraverso il controllo discendente — ma non nella direzione che si dà per scontata. Prendi 40 pazienti con artrosi di ginocchio, divisi per efficienza della modulazione condizionata del dolore, più 20 controlli sani. Una singola seduta di esercizio aerobico o isometrico ha</w:t>
      </w:r>
      <w:r>
        <w:t xml:space="preserve"> </w:t>
      </w:r>
      <w:r>
        <w:rPr>
          <w:b/>
          <w:bCs/>
        </w:rPr>
        <w:t xml:space="preserve">alzato</w:t>
      </w:r>
      <w:r>
        <w:t xml:space="preserve"> </w:t>
      </w:r>
      <w:r>
        <w:t xml:space="preserve">le soglie pressorie in chi aveva una modulazione normale. E le ha</w:t>
      </w:r>
      <w:r>
        <w:t xml:space="preserve"> </w:t>
      </w:r>
      <w:r>
        <w:rPr>
          <w:b/>
          <w:bCs/>
        </w:rPr>
        <w:t xml:space="preserve">abbassate</w:t>
      </w:r>
      <w:r>
        <w:t xml:space="preserve"> </w:t>
      </w:r>
      <w:r>
        <w:t xml:space="preserve">in chi l’aveva inefficiente (p = 0,011 e p = 0,013) (Fingleton, 2017, PMID 27518487; misurato su una singola seduta di esercizio in laboratorio con soglie all’algometro, non su un programma di dodici settimane né sul dolore riferito dal paziente — i salti sono di</w:t>
      </w:r>
      <w:r>
        <w:t xml:space="preserve"> </w:t>
      </w:r>
      <w:r>
        <w:rPr>
          <w:b/>
          <w:bCs/>
        </w:rPr>
        <w:t xml:space="preserve">intervento</w:t>
      </w:r>
      <w:r>
        <w:t xml:space="preserve"> </w:t>
      </w:r>
      <w:r>
        <w:t xml:space="preserve">e di</w:t>
      </w:r>
      <w:r>
        <w:t xml:space="preserve"> </w:t>
      </w:r>
      <w:r>
        <w:rPr>
          <w:b/>
          <w:bCs/>
        </w:rPr>
        <w:t xml:space="preserve">dose</w:t>
      </w:r>
      <w:r>
        <w:t xml:space="preserve">). In quel sottogruppo le prime sedute possono peggiorare il sintomo, e va annunciato prima di consegnare il programma, non spiegato dopo.</w:t>
      </w:r>
    </w:p>
    <w:p>
      <w:pPr>
        <w:pStyle w:val="FirstParagraph"/>
      </w:pPr>
      <w:r>
        <w:rPr>
          <w:b/>
          <w:bCs/>
        </w:rPr>
        <w:t xml:space="preserve">Cosa hanno misurato gli studi.</w:t>
      </w:r>
      <w:r>
        <w:t xml:space="preserve"> </w:t>
      </w:r>
      <w:r>
        <w:t xml:space="preserve">La revisione Cochrane aggiornata a dicembre 2024 raccoglie 139 studi randomizzati e 12.468 partecipanti. L’esercizio ha ridotto il dolore di</w:t>
      </w:r>
      <w:r>
        <w:t xml:space="preserve"> </w:t>
      </w:r>
      <w:r>
        <w:rPr>
          <w:b/>
          <w:bCs/>
        </w:rPr>
        <w:t xml:space="preserve">13,14 punti su 100</w:t>
      </w:r>
      <w:r>
        <w:t xml:space="preserve"> </w:t>
      </w:r>
      <w:r>
        <w:t xml:space="preserve">rispetto a nessun trattamento, e di</w:t>
      </w:r>
      <w:r>
        <w:t xml:space="preserve"> </w:t>
      </w:r>
      <w:r>
        <w:rPr>
          <w:b/>
          <w:bCs/>
        </w:rPr>
        <w:t xml:space="preserve">8,70</w:t>
      </w:r>
      <w:r>
        <w:t xml:space="preserve"> </w:t>
      </w:r>
      <w:r>
        <w:t xml:space="preserve">rispetto a un controllo attivo o placebo. In entrambi i casi la certezza è</w:t>
      </w:r>
      <w:r>
        <w:t xml:space="preserve"> </w:t>
      </w:r>
      <w:r>
        <w:rPr>
          <w:b/>
          <w:bCs/>
        </w:rPr>
        <w:t xml:space="preserve">bassa</w:t>
      </w:r>
      <w:r>
        <w:t xml:space="preserve">; la funzione migliora con certezza moderata. Gli autori confrontano quei numeri con la soglia di differenza minima importante che hanno adottato, cioè</w:t>
      </w:r>
      <w:r>
        <w:t xml:space="preserve"> </w:t>
      </w:r>
      <w:r>
        <w:rPr>
          <w:b/>
          <w:bCs/>
        </w:rPr>
        <w:t xml:space="preserve">12 punti</w:t>
      </w:r>
      <w:r>
        <w:t xml:space="preserve">. E concludono che la rilevanza clinica del beneficio è incerta (Lawford, 2024, PMID 39625083). Nel confronto con la chirurgia, dodici settimane di esercizio supervisionato hanno dato lo stesso risultato della meniscectomia a due anni (Kise, 2016, PMID 27440192). Sul dolore anteriore, gli esercizi di anca più ginocchio hanno fatto meglio dei soli esercizi di ginocchio, con prove di qualità molto bassa (van der Heijden, 2015, PMID 25603546). Sul cammino: in 1.212 persone sopra i 50 anni seguite quattro anni, chi camminava per esercizio aveva un rapporto di probabilità di</w:t>
      </w:r>
      <w:r>
        <w:t xml:space="preserve"> </w:t>
      </w:r>
      <w:r>
        <w:rPr>
          <w:b/>
          <w:bCs/>
        </w:rPr>
        <w:t xml:space="preserve">0,6 (IC 95% 0,4-0,8)</w:t>
      </w:r>
      <w:r>
        <w:t xml:space="preserve"> </w:t>
      </w:r>
      <w:r>
        <w:t xml:space="preserve">di sviluppare un dolore frequente nuovo. È una coorte osservazionale, non uno studio randomizzato (Lo, 2022, PMID 35673832).</w:t>
      </w:r>
    </w:p>
    <w:p>
      <w:pPr>
        <w:pStyle w:val="BlockText"/>
      </w:pPr>
      <w:r>
        <w:rPr>
          <w:b/>
          <w:bCs/>
        </w:rPr>
        <w:t xml:space="preserve">Quanto è solido:</w:t>
      </w:r>
      <w:r>
        <w:t xml:space="preserve"> </w:t>
      </w:r>
      <w:r>
        <w:t xml:space="preserve">l’etichetta si spezza.</w:t>
      </w:r>
      <w:r>
        <w:t xml:space="preserve"> </w:t>
      </w:r>
      <w:r>
        <w:rPr>
          <w:b/>
          <w:bCs/>
        </w:rPr>
        <w:t xml:space="preserve">PROBABILE</w:t>
      </w:r>
      <w:r>
        <w:t xml:space="preserve"> </w:t>
      </w:r>
      <w:r>
        <w:rPr>
          <w:i/>
          <w:iCs/>
        </w:rPr>
        <w:t xml:space="preserve">(razionale forte, prove parziali)</w:t>
      </w:r>
      <w:r>
        <w:t xml:space="preserve"> </w:t>
      </w:r>
      <w:r>
        <w:t xml:space="preserve">per l’effetto sul dolore: il numero di studi è enorme, ma la certezza dichiarata dagli autori è bassa e l’ampiezza è sotto la soglia di rilevanza che loro stessi hanno adottato.</w:t>
      </w:r>
      <w:r>
        <w:t xml:space="preserve"> </w:t>
      </w:r>
      <w:r>
        <w:rPr>
          <w:b/>
          <w:bCs/>
        </w:rPr>
        <w:t xml:space="preserve">DIMOSTRATO</w:t>
      </w:r>
      <w:r>
        <w:t xml:space="preserve"> </w:t>
      </w:r>
      <w:r>
        <w:rPr>
          <w:i/>
          <w:iCs/>
        </w:rPr>
        <w:t xml:space="preserve">(studi sull’uomo, solidi)</w:t>
      </w:r>
      <w:r>
        <w:t xml:space="preserve"> </w:t>
      </w:r>
      <w:r>
        <w:t xml:space="preserve">che l’esercizio regga il confronto con la meniscectomia nel menisco degenerativo di mezza età.</w:t>
      </w:r>
      <w:r>
        <w:t xml:space="preserve"> </w:t>
      </w:r>
      <w:r>
        <w:rPr>
          <w:b/>
          <w:bCs/>
        </w:rPr>
        <w:t xml:space="preserve">PROBABILE</w:t>
      </w:r>
      <w:r>
        <w:t xml:space="preserve"> </w:t>
      </w:r>
      <w:r>
        <w:rPr>
          <w:i/>
          <w:iCs/>
        </w:rPr>
        <w:t xml:space="preserve">(razionale forte, prove parziali)</w:t>
      </w:r>
      <w:r>
        <w:t xml:space="preserve"> </w:t>
      </w:r>
      <w:r>
        <w:t xml:space="preserve">per il cammino, con il limite del disegno osservazionale scritto accanto al numero.</w:t>
      </w:r>
    </w:p>
    <w:p>
      <w:pPr>
        <w:pStyle w:val="FirstParagraph"/>
      </w:pPr>
      <w:r>
        <w:rPr>
          <w:b/>
          <w:bCs/>
        </w:rPr>
        <w:t xml:space="preserve">Cosa non fa, e cosa succede quando smette.</w:t>
      </w:r>
      <w:r>
        <w:t xml:space="preserve"> </w:t>
      </w:r>
      <w:r>
        <w:t xml:space="preserve">Non modifica la struttura e non ferma la progressione. E l’effetto si consuma: da due a sei mesi</w:t>
      </w:r>
      <w:r>
        <w:t xml:space="preserve"> </w:t>
      </w:r>
      <w:r>
        <w:rPr>
          <w:b/>
          <w:bCs/>
        </w:rPr>
        <w:t xml:space="preserve">dopo la fine</w:t>
      </w:r>
      <w:r>
        <w:t xml:space="preserve"> </w:t>
      </w:r>
      <w:r>
        <w:t xml:space="preserve">del programma la riduzione del dolore era scesa da 12 punti a 6 (Fransen, 2015, PMID 25569281). È la versione precedente della stessa revisione Cochrane, e il dato di decadimento è suo. È il dato che spiega le ricadute. Va detto anche il rovescio: in 377 adulti sopra i 50 anni seguiti 18 mesi, l’allenamento di forza ad alta intensità</w:t>
      </w:r>
      <w:r>
        <w:t xml:space="preserve"> </w:t>
      </w:r>
      <w:r>
        <w:rPr>
          <w:b/>
          <w:bCs/>
        </w:rPr>
        <w:t xml:space="preserve">non ha ridotto né il dolore né le forze di compressione al ginocchio</w:t>
      </w:r>
      <w:r>
        <w:t xml:space="preserve">. Il confronto era con la bassa intensità e con un controllo di attenzione (Messier, 2021, PMID 33591346). Il beneficio non svanisce; svanisce l’idea che si sappia perché.</w:t>
      </w:r>
    </w:p>
    <w:bookmarkEnd w:id="61"/>
    <w:bookmarkStart w:id="62" w:name="leducazione-su-cosa-fa-male-al-ginocchio"/>
    <w:p>
      <w:pPr>
        <w:pStyle w:val="Heading3"/>
      </w:pPr>
      <w:r>
        <w:t xml:space="preserve">2. L’educazione su cosa fa male al ginocchio</w:t>
      </w:r>
    </w:p>
    <w:p>
      <w:pPr>
        <w:pStyle w:val="FirstParagraph"/>
      </w:pPr>
      <w:r>
        <w:rPr>
          <w:b/>
          <w:bCs/>
        </w:rPr>
        <w:t xml:space="preserve">Cos’è.</w:t>
      </w:r>
      <w:r>
        <w:t xml:space="preserve"> </w:t>
      </w:r>
      <w:r>
        <w:t xml:space="preserve">Rimettere in ordine due credenze: che camminare consumi, e che l’immagine descriva il dolore.</w:t>
      </w:r>
      <w:r>
        <w:t xml:space="preserve"> </w:t>
      </w:r>
      <w:r>
        <w:rPr>
          <w:b/>
          <w:bCs/>
        </w:rPr>
        <w:t xml:space="preserve">Su quale meccanismo agisce:</w:t>
      </w:r>
      <w:r>
        <w:t xml:space="preserve"> </w:t>
      </w:r>
      <w:r>
        <w:t xml:space="preserve">su «La soglia che si abbassa», attraverso aspettativa e ipervigilanza; e su «Il freno che si scarica», perché è il risparmio motivato dalla paura a scaricarlo. È la stessa strada che l’analisi di mediazione di «Cosa dice la scienza» indica per l’effetto delle mani.</w:t>
      </w:r>
    </w:p>
    <w:p>
      <w:pPr>
        <w:pStyle w:val="BodyText"/>
      </w:pPr>
      <w:r>
        <w:rPr>
          <w:b/>
          <w:bCs/>
        </w:rPr>
        <w:t xml:space="preserve">Cosa hanno misurato gli studi.</w:t>
      </w:r>
      <w:r>
        <w:t xml:space="preserve"> </w:t>
      </w:r>
      <w:r>
        <w:t xml:space="preserve">Il programma danese unisce due o tre sessioni di educazione a dodici sedute di esercizio supervisionato, in otto settimane. È stato applicato a 28.370 pazienti con artrosi di anca o ginocchio, in tre paesi. Il dolore medio è sceso del 26-33%, e fra il 43% e il 47% dei pazienti ha avuto una riduzione del dolore clinicamente rilevante (Roos, 2021, PMID 33561542; erogato da fisioterapisti dentro un programma strutturato — il salto è di</w:t>
      </w:r>
      <w:r>
        <w:t xml:space="preserve"> </w:t>
      </w:r>
      <w:r>
        <w:rPr>
          <w:b/>
          <w:bCs/>
        </w:rPr>
        <w:t xml:space="preserve">erogatore</w:t>
      </w:r>
      <w:r>
        <w:t xml:space="preserve">).</w:t>
      </w:r>
    </w:p>
    <w:p>
      <w:pPr>
        <w:pStyle w:val="BlockText"/>
      </w:pPr>
      <w:r>
        <w:rPr>
          <w:b/>
          <w:bCs/>
        </w:rPr>
        <w:t xml:space="preserve">Quanto è solido:</w:t>
      </w:r>
      <w:r>
        <w:t xml:space="preserve"> </w:t>
      </w:r>
      <w:r>
        <w:rPr>
          <w:b/>
          <w:bCs/>
        </w:rPr>
        <w:t xml:space="preserve">IPOTESI</w:t>
      </w:r>
      <w:r>
        <w:t xml:space="preserve"> </w:t>
      </w:r>
      <w:r>
        <w:rPr>
          <w:i/>
          <w:iCs/>
        </w:rPr>
        <w:t xml:space="preserve">(meccanismo coerente, nessuno studio)</w:t>
      </w:r>
      <w:r>
        <w:t xml:space="preserve"> </w:t>
      </w:r>
      <w:r>
        <w:t xml:space="preserve">per la componente educativa</w:t>
      </w:r>
      <w:r>
        <w:t xml:space="preserve"> </w:t>
      </w:r>
      <w:r>
        <w:rPr>
          <w:b/>
          <w:bCs/>
        </w:rPr>
        <w:t xml:space="preserve">presa da sola</w:t>
      </w:r>
      <w:r>
        <w:t xml:space="preserve">. Nel programma danese l’educazione è erogata dentro dodici sedute di esercizio supervisionato, e il disegno non permette di isolarla. Il registro non ha un gruppo di controllo, quindi misura cosa succede a chi entra nel programma, non quanto di quel cambiamento sia prodotto dal programma.</w:t>
      </w:r>
    </w:p>
    <w:p>
      <w:pPr>
        <w:pStyle w:val="FirstParagraph"/>
      </w:pPr>
      <w:r>
        <w:rPr>
          <w:b/>
          <w:bCs/>
        </w:rPr>
        <w:t xml:space="preserve">Cosa non fa.</w:t>
      </w:r>
      <w:r>
        <w:t xml:space="preserve"> </w:t>
      </w:r>
      <w:r>
        <w:t xml:space="preserve">Non sostituisce il carico. E non funziona come informazione, ma come esperienza: chi è convinto a parole che camminare non consuma, ma dopo la camminata sta peggio, torna alla credenza di prima.</w:t>
      </w:r>
    </w:p>
    <w:bookmarkEnd w:id="62"/>
    <w:bookmarkStart w:id="63" w:name="la-gestione-del-peso"/>
    <w:p>
      <w:pPr>
        <w:pStyle w:val="Heading3"/>
      </w:pPr>
      <w:r>
        <w:t xml:space="preserve">3. La gestione del peso</w:t>
      </w:r>
    </w:p>
    <w:p>
      <w:pPr>
        <w:pStyle w:val="FirstParagraph"/>
      </w:pPr>
      <w:r>
        <w:rPr>
          <w:b/>
          <w:bCs/>
        </w:rPr>
        <w:t xml:space="preserve">Cos’è.</w:t>
      </w:r>
      <w:r>
        <w:t xml:space="preserve"> </w:t>
      </w:r>
      <w:r>
        <w:t xml:space="preserve">Una riduzione importante della massa corporea, con un percorso alimentare strutturato.</w:t>
      </w:r>
      <w:r>
        <w:t xml:space="preserve"> </w:t>
      </w:r>
      <w:r>
        <w:rPr>
          <w:b/>
          <w:bCs/>
        </w:rPr>
        <w:t xml:space="preserve">Su quale meccanismo agisce:</w:t>
      </w:r>
      <w:r>
        <w:t xml:space="preserve"> </w:t>
      </w:r>
      <w:r>
        <w:t xml:space="preserve">su «Il carico che si concentra», riducendo la forza assoluta a ogni passo.</w:t>
      </w:r>
    </w:p>
    <w:p>
      <w:pPr>
        <w:pStyle w:val="BodyText"/>
      </w:pPr>
      <w:r>
        <w:rPr>
          <w:b/>
          <w:bCs/>
        </w:rPr>
        <w:t xml:space="preserve">Cosa hanno misurato gli studi.</w:t>
      </w:r>
      <w:r>
        <w:t xml:space="preserve"> </w:t>
      </w:r>
      <w:r>
        <w:t xml:space="preserve">In 454 adulti in sovrappeso seguiti 18 mesi, il gruppo dieta più esercizio ha perso 10,6 kg. Aveva meno dolore e funzione migliore sia della sola dieta sia del solo esercizio. La riduzione maggiore della forza di compressione, però, è stata del gruppo della sola dieta (Messier, 2013, PMID 24065013).</w:t>
      </w:r>
    </w:p>
    <w:p>
      <w:pPr>
        <w:pStyle w:val="BlockText"/>
      </w:pPr>
      <w:r>
        <w:rPr>
          <w:b/>
          <w:bCs/>
        </w:rPr>
        <w:t xml:space="preserve">Quanto è solido:</w:t>
      </w:r>
      <w:r>
        <w:t xml:space="preserve"> </w:t>
      </w:r>
      <w:r>
        <w:rPr>
          <w:b/>
          <w:bCs/>
        </w:rPr>
        <w:t xml:space="preserve">DIMOSTRATO</w:t>
      </w:r>
      <w:r>
        <w:t xml:space="preserve"> </w:t>
      </w:r>
      <w:r>
        <w:rPr>
          <w:i/>
          <w:iCs/>
        </w:rPr>
        <w:t xml:space="preserve">(studi sull’uomo, solidi)</w:t>
      </w:r>
      <w:r>
        <w:t xml:space="preserve"> </w:t>
      </w:r>
      <w:r>
        <w:t xml:space="preserve">sull’esito, con due salti dichiarati. Di</w:t>
      </w:r>
      <w:r>
        <w:t xml:space="preserve"> </w:t>
      </w:r>
      <w:r>
        <w:rPr>
          <w:b/>
          <w:bCs/>
        </w:rPr>
        <w:t xml:space="preserve">erogatore</w:t>
      </w:r>
      <w:r>
        <w:t xml:space="preserve">: negli studi il percorso alimentare è condotto da dietisti dentro un programma strutturato, non da osteopati. Di</w:t>
      </w:r>
      <w:r>
        <w:t xml:space="preserve"> </w:t>
      </w:r>
      <w:r>
        <w:rPr>
          <w:b/>
          <w:bCs/>
        </w:rPr>
        <w:t xml:space="preserve">popolazione</w:t>
      </w:r>
      <w:r>
        <w:t xml:space="preserve">: adulti dai 55 anni con indice di massa corporea fra 27 e 41. Fuori da lì, e in particolare nell’anziano fragile o normopeso, la leva non è questa e la decisione non è nostra.</w:t>
      </w:r>
    </w:p>
    <w:p>
      <w:pPr>
        <w:pStyle w:val="FirstParagraph"/>
      </w:pPr>
      <w:r>
        <w:rPr>
          <w:b/>
          <w:bCs/>
        </w:rPr>
        <w:t xml:space="preserve">Cosa non fa.</w:t>
      </w:r>
      <w:r>
        <w:t xml:space="preserve"> </w:t>
      </w:r>
      <w:r>
        <w:t xml:space="preserve">Non cambia lo schema di movimento. E la parte alimentare esce dal nostro perimetro appena smette di essere una segnalazione e diventa un consiglio.</w:t>
      </w:r>
    </w:p>
    <w:bookmarkEnd w:id="63"/>
    <w:bookmarkStart w:id="64" w:name="X1d4dbb5a6c75bce6dbb5096b2dba7bc3aff27ec"/>
    <w:p>
      <w:pPr>
        <w:pStyle w:val="Heading3"/>
      </w:pPr>
      <w:r>
        <w:t xml:space="preserve">4. Il contatto periodico che tiene in piedi il programma</w:t>
      </w:r>
    </w:p>
    <w:p>
      <w:pPr>
        <w:pStyle w:val="FirstParagraph"/>
      </w:pPr>
      <w:r>
        <w:rPr>
          <w:b/>
          <w:bCs/>
        </w:rPr>
        <w:t xml:space="preserve">Cos’è.</w:t>
      </w:r>
      <w:r>
        <w:t xml:space="preserve"> </w:t>
      </w:r>
      <w:r>
        <w:t xml:space="preserve">Una figura che resta in contatto dopo la fine del programma, e fa riaggiustare il carico quando la vita cambia.</w:t>
      </w:r>
      <w:r>
        <w:t xml:space="preserve"> </w:t>
      </w:r>
      <w:r>
        <w:rPr>
          <w:b/>
          <w:bCs/>
        </w:rPr>
        <w:t xml:space="preserve">Su quale meccanismo agisce:</w:t>
      </w:r>
      <w:r>
        <w:t xml:space="preserve"> </w:t>
      </w:r>
      <w:r>
        <w:t xml:space="preserve">su «Il freno che si scarica». È l’unico dei quattro strumenti che non costruisce niente di nuovo: agisce sul tempo in cui quello che hai costruito si perde.</w:t>
      </w:r>
    </w:p>
    <w:p>
      <w:pPr>
        <w:pStyle w:val="BodyText"/>
      </w:pPr>
      <w:r>
        <w:rPr>
          <w:b/>
          <w:bCs/>
        </w:rPr>
        <w:t xml:space="preserve">Cosa hanno misurato gli studi.</w:t>
      </w:r>
      <w:r>
        <w:t xml:space="preserve"> </w:t>
      </w:r>
      <w:r>
        <w:t xml:space="preserve">Quanto i pazienti svolgano davvero non lo sappiamo: su 176 studi sull’esercizio non supervisionato nella gonalgia solo 72 la dichiarano, e dove è dichiarata va</w:t>
      </w:r>
      <w:r>
        <w:t xml:space="preserve"> </w:t>
      </w:r>
      <w:r>
        <w:rPr>
          <w:b/>
          <w:bCs/>
        </w:rPr>
        <w:t xml:space="preserve">dal 3,7% al 100%</w:t>
      </w:r>
      <w:r>
        <w:t xml:space="preserve"> </w:t>
      </w:r>
      <w:r>
        <w:t xml:space="preserve">(Smith, 2023, PMID 37597491). Come sostenerla, invece, è stato misurato, e il dato sta nel box di chiusura del capitolo.</w:t>
      </w:r>
    </w:p>
    <w:p>
      <w:pPr>
        <w:pStyle w:val="BlockText"/>
      </w:pPr>
      <w:r>
        <w:rPr>
          <w:b/>
          <w:bCs/>
        </w:rPr>
        <w:t xml:space="preserve">Quanto è solido:</w:t>
      </w:r>
      <w:r>
        <w:t xml:space="preserve"> </w:t>
      </w:r>
      <w:r>
        <w:rPr>
          <w:b/>
          <w:bCs/>
        </w:rPr>
        <w:t xml:space="preserve">PROBABILE</w:t>
      </w:r>
      <w:r>
        <w:t xml:space="preserve"> </w:t>
      </w:r>
      <w:r>
        <w:rPr>
          <w:i/>
          <w:iCs/>
        </w:rPr>
        <w:t xml:space="preserve">(razionale forte, prove parziali)</w:t>
      </w:r>
      <w:r>
        <w:t xml:space="preserve"> </w:t>
      </w:r>
      <w:r>
        <w:t xml:space="preserve">che il contatto periodico sostenga l’aderenza.</w:t>
      </w:r>
    </w:p>
    <w:p>
      <w:pPr>
        <w:pStyle w:val="FirstParagraph"/>
      </w:pPr>
      <w:r>
        <w:rPr>
          <w:b/>
          <w:bCs/>
        </w:rPr>
        <w:t xml:space="preserve">Cosa non fa.</w:t>
      </w:r>
      <w:r>
        <w:t xml:space="preserve"> </w:t>
      </w:r>
      <w:r>
        <w:t xml:space="preserve">Non aggiunge niente al programma: ne rallenta la perdita. È il coperchio sulla pentola: non cuoce niente, tiene il calore che c’è già. E non è un ciclo di trattamento — chiamarlo così sposta su di te una prova che è dell’esercizio.</w:t>
      </w:r>
    </w:p>
    <w:p>
      <w:pPr>
        <w:pStyle w:val="BodyText"/>
      </w:pPr>
      <w:r>
        <w:rPr>
          <w:b/>
          <w:bCs/>
        </w:rPr>
        <w:t xml:space="preserve">Le tre cose da ricordare, più una</w:t>
      </w:r>
    </w:p>
    <w:p>
      <w:pPr>
        <w:pStyle w:val="Compact"/>
        <w:numPr>
          <w:ilvl w:val="0"/>
          <w:numId w:val="1043"/>
        </w:numPr>
      </w:pPr>
      <w:r>
        <w:t xml:space="preserve">La leva con le prove migliori di questo documento è quella che il paziente porta a casa, non quella che gli fai in studio. E l’ampiezza del suo effetto è più modesta di quanto si dica in giro.</w:t>
      </w:r>
    </w:p>
    <w:p>
      <w:pPr>
        <w:pStyle w:val="Compact"/>
        <w:numPr>
          <w:ilvl w:val="0"/>
          <w:numId w:val="1043"/>
        </w:numPr>
      </w:pPr>
      <w:r>
        <w:t xml:space="preserve">L’esercizio si consuma: metà del guadagno se ne va nei sei mesi dopo la fine del programma, e questo va detto prima e non dopo.</w:t>
      </w:r>
    </w:p>
    <w:p>
      <w:pPr>
        <w:pStyle w:val="Compact"/>
        <w:numPr>
          <w:ilvl w:val="0"/>
          <w:numId w:val="1043"/>
        </w:numPr>
      </w:pPr>
      <w:r>
        <w:t xml:space="preserve">Sul peso la prova è forte e l’erogatore non sei tu: si nomina e si rinvia, non si prescrive.</w:t>
      </w:r>
    </w:p>
    <w:p>
      <w:pPr>
        <w:pStyle w:val="Compact"/>
        <w:numPr>
          <w:ilvl w:val="0"/>
          <w:numId w:val="1043"/>
        </w:numPr>
      </w:pPr>
      <w:r>
        <w:rPr>
          <w:b/>
          <w:bCs/>
        </w:rPr>
        <w:t xml:space="preserve">Perché ci sei tu.</w:t>
      </w:r>
      <w:r>
        <w:t xml:space="preserve"> </w:t>
      </w:r>
      <w:r>
        <w:t xml:space="preserve">Metà del risultato dipende da quello che succede dopo la fine del programma. E l’aderenza non è un tratto del carattere del paziente: è una cosa che si sostiene. Le sedute di richiamo con un professionista la migliorano, con prove di qualità moderata (Nicolson, 2017, PMID 28087567; misurato su programmi di esercizio erogati da fisioterapisti — il salto è di</w:t>
      </w:r>
      <w:r>
        <w:t xml:space="preserve"> </w:t>
      </w:r>
      <w:r>
        <w:rPr>
          <w:b/>
          <w:bCs/>
        </w:rPr>
        <w:t xml:space="preserve">erogatore</w:t>
      </w:r>
      <w:r>
        <w:t xml:space="preserve">).</w:t>
      </w:r>
      <w:r>
        <w:t xml:space="preserve"> </w:t>
      </w:r>
      <w:r>
        <w:rPr>
          <w:b/>
          <w:bCs/>
        </w:rPr>
        <w:t xml:space="preserve">Per te:</w:t>
      </w:r>
      <w:r>
        <w:t xml:space="preserve"> </w:t>
      </w:r>
      <w:r>
        <w:t xml:space="preserve">questo ti autorizza a essere la figura che resta in contatto con quel paziente, e gli fa aggiustare il carico quando la vita cambia. È una figura che nel percorso standard non ha un titolare. Non ti autorizza a chiamare «trattamento osteopatico» il programma di esercizio: la prova è sua, non tua.</w:t>
      </w:r>
    </w:p>
    <w:p>
      <w:r>
        <w:pict>
          <v:rect style="width:0;height:1.5pt" o:hralign="center" o:hrstd="t" o:hr="t"/>
        </w:pict>
      </w:r>
    </w:p>
    <w:bookmarkEnd w:id="64"/>
    <w:bookmarkEnd w:id="65"/>
    <w:bookmarkStart w:id="69" w:name="capitolo-13-cosa-dire-al-paziente"/>
    <w:p>
      <w:pPr>
        <w:pStyle w:val="Heading2"/>
      </w:pPr>
      <w:r>
        <w:t xml:space="preserve">Capitolo 13 — Cosa dire al paziente</w:t>
      </w:r>
    </w:p>
    <w:p>
      <w:pPr>
        <w:pStyle w:val="BlockText"/>
      </w:pPr>
      <w:r>
        <w:rPr>
          <w:b/>
          <w:bCs/>
        </w:rPr>
        <w:t xml:space="preserve">In una riga:</w:t>
      </w:r>
      <w:r>
        <w:t xml:space="preserve"> </w:t>
      </w:r>
      <w:r>
        <w:t xml:space="preserve">la conversazione che cambia questo paziente è quella che separa l’immagine dal dolore senza togliere valore all’immagine.</w:t>
      </w:r>
    </w:p>
    <w:bookmarkStart w:id="66" w:name="lo-script"/>
    <w:p>
      <w:pPr>
        <w:pStyle w:val="Heading3"/>
      </w:pPr>
      <w:r>
        <w:t xml:space="preserve">Lo script</w:t>
      </w:r>
    </w:p>
    <w:p>
      <w:pPr>
        <w:pStyle w:val="FirstParagraph"/>
      </w:pPr>
      <w:r>
        <w:rPr>
          <w:i/>
          <w:iCs/>
        </w:rPr>
        <w:t xml:space="preserve">«Il suo ginocchio fa male, e la lastra è vera. Ma le due cose non vanno sempre insieme: ci sono ginocchia peggiori della sua che non fanno male, e ginocchia pulite che fanno malissimo. Quello che cambia da un giorno all’altro non è la lastra: è quanto carico arriva lì e quanto il muscolo riesce a frenarlo. Su quello si può lavorare. Io guardo l’anca, la caviglia e come si alza dalla sedia. Poi misuriamo una cosa oggi, e la rimisuriamo fra tre settimane. Il dolore al ginocchio va comunque inquadrato dal suo medico, e nel frattempo io non aspetto.»</w:t>
      </w:r>
    </w:p>
    <w:bookmarkEnd w:id="66"/>
    <w:bookmarkStart w:id="67" w:name="le-tre-cose-che-gli-dici-prima-che-esca"/>
    <w:p>
      <w:pPr>
        <w:pStyle w:val="Heading3"/>
      </w:pPr>
      <w:r>
        <w:t xml:space="preserve">Le tre cose che gli dici prima che esca</w:t>
      </w:r>
    </w:p>
    <w:p>
      <w:pPr>
        <w:pStyle w:val="FirstParagraph"/>
      </w:pPr>
      <w:r>
        <w:rPr>
          <w:i/>
          <w:iCs/>
        </w:rPr>
        <w:t xml:space="preserve">«Dopo la seduta può essere un po’ più indolenzito per un giorno o due: è normale e passa. Tre cose invece non sono normali e non aspettano me: il ginocchio che diventa caldo, rosso e gonfio; il polpaccio che si gonfia e fa male da un lato solo; e la gamba che non regge il peso. Se succede una di queste, pronto soccorso, non la prossima seduta.»</w:t>
      </w:r>
    </w:p>
    <w:p>
      <w:pPr>
        <w:pStyle w:val="BodyText"/>
      </w:pPr>
      <w:r>
        <w:t xml:space="preserve">Serve perché la spiegazione che gli hai dato — il ginocchio oscilla, dopo il carico è normale stare peggio — è giusta e</w:t>
      </w:r>
      <w:r>
        <w:t xml:space="preserve"> </w:t>
      </w:r>
      <w:r>
        <w:rPr>
          <w:b/>
          <w:bCs/>
        </w:rPr>
        <w:t xml:space="preserve">sedativa</w:t>
      </w:r>
      <w:r>
        <w:t xml:space="preserve">. Alza la soglia oltre la quale si allarma, proprio sugli eventi che compaiono fra una seduta e l’altra.</w:t>
      </w:r>
    </w:p>
    <w:bookmarkEnd w:id="67"/>
    <w:bookmarkStart w:id="68" w:name="le-obiezioni-e-le-risposte-oneste"/>
    <w:p>
      <w:pPr>
        <w:pStyle w:val="Heading3"/>
      </w:pPr>
      <w:r>
        <w:t xml:space="preserve">Le obiezioni, e le risposte oneste</w:t>
      </w:r>
    </w:p>
    <w:p>
      <w:pPr>
        <w:pStyle w:val="FirstParagraph"/>
      </w:pPr>
      <w:r>
        <w:t xml:space="preserve">La premessa di tutte e quattro è stata misurata. In 27 pazienti in lista per protesi di ginocchio,</w:t>
      </w:r>
      <w:r>
        <w:t xml:space="preserve"> </w:t>
      </w:r>
      <w:r>
        <w:rPr>
          <w:b/>
          <w:bCs/>
        </w:rPr>
        <w:t xml:space="preserve">tutti</w:t>
      </w:r>
      <w:r>
        <w:t xml:space="preserve"> </w:t>
      </w:r>
      <w:r>
        <w:t xml:space="preserve">descrivevano il proprio ginocchio come «osso contro osso». La maggioranza credeva che caricarlo lo danneggiasse, e più di venti su ventisette avevano scartato esercizio e fisioterapia perché convinti che aumentassero il dolore (Bunzli, 2019, PMID 31192807; interviste in un solo ospedale australiano, su pazienti già in fondo al percorso e non su quello medio che entra da te).</w:t>
      </w:r>
    </w:p>
    <w:p>
      <w:pPr>
        <w:pStyle w:val="BodyText"/>
      </w:pPr>
      <w:r>
        <w:rPr>
          <w:b/>
          <w:bCs/>
        </w:rPr>
        <w:t xml:space="preserve">«La risonanza dice che la cartilagine è consumata.»</w:t>
      </w:r>
      <w:r>
        <w:t xml:space="preserve"> </w:t>
      </w:r>
      <w:r>
        <w:rPr>
          <w:i/>
          <w:iCs/>
        </w:rPr>
        <w:t xml:space="preserve">«È un dato vero, e non lo discuto. Ma il dolore non è proporzionale al consumo: dipende anche da come il ginocchio viene fatto lavorare, e quello si può cambiare. È il margine su cui lavoro io. Quanto è largo quel margine, in lei, lo scopriamo misurando.»</w:t>
      </w:r>
    </w:p>
    <w:p>
      <w:pPr>
        <w:pStyle w:val="BodyText"/>
      </w:pPr>
      <w:r>
        <w:rPr>
          <w:b/>
          <w:bCs/>
        </w:rPr>
        <w:t xml:space="preserve">«Mi hanno già parlato di protesi.»</w:t>
      </w:r>
      <w:r>
        <w:t xml:space="preserve"> </w:t>
      </w:r>
      <w:r>
        <w:rPr>
          <w:i/>
          <w:iCs/>
        </w:rPr>
        <w:t xml:space="preserve">«L’indicazione la pone il chirurgo, e io non la anticipo né la ritardo. Le do il dato per intero, perché la decisione è sua. In uno studio su cento persone già considerate candidate alla protesi, chi si è operato è migliorato circa il doppio di chi ha fatto solo un percorso non chirurgico di tre mesi. Quel percorso era esercizio, educazione, consigli alimentari, plantari e antidolorifici, seguito da fisioterapisti e dietisti. E chi si è operato ha anche avuto più complicanze. Di quelli che non si sono operati, tre su quattro a un anno non si erano ancora operati. Quel percorso non è il mio trattamento, e io non le sto dicendo cosa scegliere: le sto dicendo che c’è tempo, e che nel frattempo qualcosa si può misurare e muovere.»</w:t>
      </w:r>
    </w:p>
    <w:p>
      <w:pPr>
        <w:pStyle w:val="BodyText"/>
      </w:pPr>
      <w:r>
        <w:rPr>
          <w:b/>
          <w:bCs/>
        </w:rPr>
        <w:t xml:space="preserve">«Ho già fatto fisioterapia sul ginocchio.»</w:t>
      </w:r>
      <w:r>
        <w:t xml:space="preserve"> </w:t>
      </w:r>
      <w:r>
        <w:rPr>
          <w:i/>
          <w:iCs/>
        </w:rPr>
        <w:t xml:space="preserve">«Bene, e probabilmente ha rinforzato. Io aggiungo due cose che spesso non vengono guardate: l’anca e la caviglia. Non perché siano la causa, ma perché decidono in che posizione il ginocchio lavora.»</w:t>
      </w:r>
    </w:p>
    <w:p>
      <w:pPr>
        <w:pStyle w:val="BodyText"/>
      </w:pPr>
      <w:r>
        <w:rPr>
          <w:b/>
          <w:bCs/>
        </w:rPr>
        <w:t xml:space="preserve">«Ho smesso di camminare per non consumarlo.»</w:t>
      </w:r>
      <w:r>
        <w:t xml:space="preserve"> </w:t>
      </w:r>
      <w:r>
        <w:rPr>
          <w:i/>
          <w:iCs/>
        </w:rPr>
        <w:t xml:space="preserve">«È la conclusione più logica del mondo, ma i dati vanno nella direzione opposta: fra le persone con artrosi di ginocchio seguite quattro anni, chi camminava per esercizio ha sviluppato meno spesso un dolore nuovo. Il muscolo che protegge il ginocchio si costruisce usandolo. Il lavoro è rimettere il cammino nella dose che regge.»</w:t>
      </w:r>
    </w:p>
    <w:p>
      <w:pPr>
        <w:pStyle w:val="BodyText"/>
      </w:pPr>
      <w:r>
        <w:rPr>
          <w:b/>
          <w:bCs/>
        </w:rPr>
        <w:t xml:space="preserve">Cosa non promettere mai.</w:t>
      </w:r>
      <w:r>
        <w:t xml:space="preserve"> </w:t>
      </w:r>
      <w:r>
        <w:t xml:space="preserve">Che eviterà la protesi. Che la cartilagine si rigenera, o che l’articolazione «si rimette a posto». E non dire che gli studi confermano il trattamento: su metà di quello che fai non lo confermano.</w:t>
      </w:r>
    </w:p>
    <w:p>
      <w:pPr>
        <w:pStyle w:val="BodyText"/>
      </w:pPr>
      <w:r>
        <w:rPr>
          <w:b/>
          <w:bCs/>
        </w:rPr>
        <w:t xml:space="preserve">Le tre cose da ricordare, più una</w:t>
      </w:r>
    </w:p>
    <w:p>
      <w:pPr>
        <w:pStyle w:val="Compact"/>
        <w:numPr>
          <w:ilvl w:val="0"/>
          <w:numId w:val="1044"/>
        </w:numPr>
      </w:pPr>
      <w:r>
        <w:t xml:space="preserve">L’immagine non si smonta: si affianca con la parte che l’immagine non contiene.</w:t>
      </w:r>
    </w:p>
    <w:p>
      <w:pPr>
        <w:pStyle w:val="Compact"/>
        <w:numPr>
          <w:ilvl w:val="0"/>
          <w:numId w:val="1044"/>
        </w:numPr>
      </w:pPr>
      <w:r>
        <w:t xml:space="preserve">«Il movimento giusto protegge» è la frase che cambia più comportamenti di qualunque tecnica, e adesso ha un numero sotto.</w:t>
      </w:r>
    </w:p>
    <w:p>
      <w:pPr>
        <w:pStyle w:val="Compact"/>
        <w:numPr>
          <w:ilvl w:val="0"/>
          <w:numId w:val="1044"/>
        </w:numPr>
      </w:pPr>
      <w:r>
        <w:t xml:space="preserve">La convivenza va detta come convivenza, e va detta</w:t>
      </w:r>
      <w:r>
        <w:t xml:space="preserve"> </w:t>
      </w:r>
      <w:r>
        <w:rPr>
          <w:b/>
          <w:bCs/>
        </w:rPr>
        <w:t xml:space="preserve">dentro</w:t>
      </w:r>
      <w:r>
        <w:t xml:space="preserve"> </w:t>
      </w:r>
      <w:r>
        <w:t xml:space="preserve">lo script: io ho qualcosa da trattare, e il tuo sintomo va comunque inquadrato.</w:t>
      </w:r>
    </w:p>
    <w:p>
      <w:pPr>
        <w:pStyle w:val="Compact"/>
        <w:numPr>
          <w:ilvl w:val="0"/>
          <w:numId w:val="1044"/>
        </w:numPr>
      </w:pPr>
      <w:r>
        <w:rPr>
          <w:b/>
          <w:bCs/>
        </w:rPr>
        <w:t xml:space="preserve">Perché ci sei tu.</w:t>
      </w:r>
      <w:r>
        <w:t xml:space="preserve"> </w:t>
      </w:r>
      <w:r>
        <w:t xml:space="preserve">A 5-8 anni dalla diagnosi il recupero del dolore femoro-rotuleo è spesso insoddisfacente, e l’artrosi quasi non compare. I numeri e il limite stanno in «Che cos’è davvero» (Lankhorst, 2016, PMID 26463119).</w:t>
      </w:r>
      <w:r>
        <w:t xml:space="preserve"> </w:t>
      </w:r>
      <w:r>
        <w:rPr>
          <w:b/>
          <w:bCs/>
        </w:rPr>
        <w:t xml:space="preserve">Per te:</w:t>
      </w:r>
      <w:r>
        <w:t xml:space="preserve"> </w:t>
      </w:r>
      <w:r>
        <w:t xml:space="preserve">hai l’ordine di grandezza per dare a un giovane una prognosi onesta, e nessuno gliela ha data. Non gliela ha data chi gli ha detto «passa con l’età», né chi gli ha detto «finirai con l’artrosi». Non ti autorizza a promettergli la risoluzione, né a consegnargli quelle percentuali come se fossero certe.</w:t>
      </w:r>
    </w:p>
    <w:p>
      <w:r>
        <w:pict>
          <v:rect style="width:0;height:1.5pt" o:hralign="center" o:hrstd="t" o:hr="t"/>
        </w:pict>
      </w:r>
    </w:p>
    <w:bookmarkEnd w:id="68"/>
    <w:bookmarkEnd w:id="69"/>
    <w:bookmarkStart w:id="70" w:name="capitolo-14-cosa-fare-adesso"/>
    <w:p>
      <w:pPr>
        <w:pStyle w:val="Heading2"/>
      </w:pPr>
      <w:r>
        <w:t xml:space="preserve">Capitolo 14 — Cosa fare adesso</w:t>
      </w:r>
    </w:p>
    <w:p>
      <w:pPr>
        <w:pStyle w:val="BlockText"/>
      </w:pPr>
      <w:r>
        <w:rPr>
          <w:b/>
          <w:bCs/>
        </w:rPr>
        <w:t xml:space="preserve">In una riga:</w:t>
      </w:r>
      <w:r>
        <w:t xml:space="preserve"> </w:t>
      </w:r>
      <w:r>
        <w:t xml:space="preserve">hai un paziente che ti indica un punto, e il tuo mestiere comincia dal chiederti se quel punto è la sorgente.</w:t>
      </w:r>
    </w:p>
    <w:p>
      <w:pPr>
        <w:pStyle w:val="FirstParagraph"/>
      </w:pPr>
      <w:r>
        <w:t xml:space="preserve">Ti arriva qualcuno a cui hanno mostrato un’immagine e spiegato che con l’età peggiora. Quell’immagine descrive un tessuto che non produce dolore. Il dolore nasce dall’osso sotto, dalla sinovia, dalla capsula, dal grasso anteriore, e dal guadagno con cui quel traffico arriva alla coscienza. Il carico si concentra, l’osso duole, il paziente risparmia, il muscolo che frenava si scarica, e il carico si concentra di più: cinque meccanismi in cerchio, non in fila. In una casistica su mille primi accessi ortopedici, in 137 la sorgente non era nemmeno lì. Le tue leve stanno sull’escursione che manca sopra e sotto, sulla finestra che le mani aprono, e su quello che il paziente porta a casa. Il lavoro che si porta a casa è la parte con le prove migliori, ed è quella che si consuma se nessuno la segue. Il tuo campo finisce dove comincia un ginocchio caldo, un adolescente senza trauma, un ginocchio che non si estende attivamente, un dolore mediale comparso di colpo in una notte.</w:t>
      </w:r>
    </w:p>
    <w:p>
      <w:pPr>
        <w:pStyle w:val="BodyText"/>
      </w:pPr>
      <w:r>
        <w:rPr>
          <w:i/>
          <w:iCs/>
        </w:rPr>
        <w:t xml:space="preserve">Non ti si chiede di essere l’unico: ti si chiede di essere il primo che guarda l’intera gamba invece del punto che duole, e la figura che resta accanto a quel paziente quando il programma finisce e la vita ricomincia a caricargli il ginocchio. Quella parte del lavoro, nel percorso standard, non ha un titolare — ed è la parte che decide se il guadagno resta.</w:t>
      </w:r>
    </w:p>
    <w:p>
      <w:pPr>
        <w:pStyle w:val="BodyText"/>
      </w:pPr>
      <w:r>
        <w:rPr>
          <w:b/>
          <w:bCs/>
        </w:rPr>
        <w:t xml:space="preserve">Le tre cose da ricordare, più una</w:t>
      </w:r>
    </w:p>
    <w:p>
      <w:pPr>
        <w:pStyle w:val="Compact"/>
        <w:numPr>
          <w:ilvl w:val="0"/>
          <w:numId w:val="1045"/>
        </w:numPr>
      </w:pPr>
      <w:r>
        <w:t xml:space="preserve">Guarda l’anca e il rachide in ogni ginocchio, prima di toccare il ginocchio. L’unica eccezione è l’adolescente, in cui l’anca non si forza.</w:t>
      </w:r>
    </w:p>
    <w:p>
      <w:pPr>
        <w:pStyle w:val="Compact"/>
        <w:numPr>
          <w:ilvl w:val="0"/>
          <w:numId w:val="1045"/>
        </w:numPr>
      </w:pPr>
      <w:r>
        <w:t xml:space="preserve">Di’ la convivenza a voce alta, dentro lo script:</w:t>
      </w:r>
      <w:r>
        <w:t xml:space="preserve"> </w:t>
      </w:r>
      <w:r>
        <w:rPr>
          <w:i/>
          <w:iCs/>
        </w:rPr>
        <w:t xml:space="preserve">«io lavoro sulla componente meccanica che ho trovato; il dolore va comunque inquadrato dal tuo medico, e nel frattempo io non aspetto.»</w:t>
      </w:r>
    </w:p>
    <w:p>
      <w:pPr>
        <w:pStyle w:val="Compact"/>
        <w:numPr>
          <w:ilvl w:val="0"/>
          <w:numId w:val="1045"/>
        </w:numPr>
      </w:pPr>
      <w:r>
        <w:t xml:space="preserve">Smetti di misurare il risultato sul dolore del momento. Il marker si sceglie prima, su un piano che non tratterai, e la data della revisione si scrive il giorno in cui apri il ciclo.</w:t>
      </w:r>
    </w:p>
    <w:p>
      <w:pPr>
        <w:pStyle w:val="Compact"/>
        <w:numPr>
          <w:ilvl w:val="0"/>
          <w:numId w:val="1045"/>
        </w:numPr>
      </w:pPr>
      <w:r>
        <w:rPr>
          <w:b/>
          <w:bCs/>
        </w:rPr>
        <w:t xml:space="preserve">Perché ci sei tu.</w:t>
      </w:r>
      <w:r>
        <w:t xml:space="preserve"> </w:t>
      </w:r>
      <w:r>
        <w:t xml:space="preserve">L’unica analisi di mediazione esistente sullo studio cardine di questa Bibbia dice una cosa sola. L’effetto delle mani è passato attraverso le</w:t>
      </w:r>
      <w:r>
        <w:t xml:space="preserve"> </w:t>
      </w:r>
      <w:r>
        <w:rPr>
          <w:b/>
          <w:bCs/>
        </w:rPr>
        <w:t xml:space="preserve">credenze del paziente sul dolore</w:t>
      </w:r>
      <w:r>
        <w:t xml:space="preserve">, non attraverso la forza (Ribeiro, Lamb e Abbott, 2024, PMID 38304412, con i numeri in «Cosa dice la scienza»).</w:t>
      </w:r>
      <w:r>
        <w:t xml:space="preserve"> </w:t>
      </w:r>
      <w:r>
        <w:rPr>
          <w:b/>
          <w:bCs/>
        </w:rPr>
        <w:t xml:space="preserve">Per te:</w:t>
      </w:r>
      <w:r>
        <w:t xml:space="preserve"> </w:t>
      </w:r>
      <w:r>
        <w:t xml:space="preserve">quello che il paziente porta via dalla stanza non è il contorno del trattamento: è la strada per cui il tuo lavoro arriva al sintomo. Questo ti autorizza a curare la spiegazione con lo stesso scrupolo con cui curi la tecnica. Non ti autorizza a raccontare il tuo lavoro con il meccanismo sbagliato, che è quello che il paziente ricorderà e ripeterà.</w:t>
      </w:r>
    </w:p>
    <w:p>
      <w:r>
        <w:pict>
          <v:rect style="width:0;height:1.5pt" o:hralign="center" o:hrstd="t" o:hr="t"/>
        </w:pict>
      </w:r>
    </w:p>
    <w:bookmarkEnd w:id="70"/>
    <w:bookmarkStart w:id="71" w:name="appendice-a-glossario"/>
    <w:p>
      <w:pPr>
        <w:pStyle w:val="Heading2"/>
      </w:pPr>
      <w:r>
        <w:t xml:space="preserve">Appendice A — Glossario</w:t>
      </w:r>
    </w:p>
    <w:p>
      <w:pPr>
        <w:pStyle w:val="Compact"/>
        <w:numPr>
          <w:ilvl w:val="0"/>
          <w:numId w:val="1046"/>
        </w:numPr>
      </w:pPr>
      <w:r>
        <w:rPr>
          <w:b/>
          <w:bCs/>
        </w:rPr>
        <w:t xml:space="preserve">Aderenza</w:t>
      </w:r>
      <w:r>
        <w:t xml:space="preserve"> </w:t>
      </w:r>
      <w:r>
        <w:t xml:space="preserve">— quanto di un programma il paziente svolge davvero. Negli studi sull’esercizio non supervisionato per il ginocchio è dichiarata in meno della metà dei lavori.</w:t>
      </w:r>
    </w:p>
    <w:p>
      <w:pPr>
        <w:pStyle w:val="Compact"/>
        <w:numPr>
          <w:ilvl w:val="0"/>
          <w:numId w:val="1046"/>
        </w:numPr>
      </w:pPr>
      <w:r>
        <w:rPr>
          <w:b/>
          <w:bCs/>
        </w:rPr>
        <w:t xml:space="preserve">Algometro</w:t>
      </w:r>
      <w:r>
        <w:t xml:space="preserve"> </w:t>
      </w:r>
      <w:r>
        <w:t xml:space="preserve">— strumento a pressione che misura la soglia oltre la quale una pressione diventa dolorosa.</w:t>
      </w:r>
    </w:p>
    <w:p>
      <w:pPr>
        <w:pStyle w:val="Compact"/>
        <w:numPr>
          <w:ilvl w:val="0"/>
          <w:numId w:val="1046"/>
        </w:numPr>
      </w:pPr>
      <w:r>
        <w:rPr>
          <w:b/>
          <w:bCs/>
        </w:rPr>
        <w:t xml:space="preserve">Alta certezza (delle prove)</w:t>
      </w:r>
      <w:r>
        <w:t xml:space="preserve"> </w:t>
      </w:r>
      <w:r>
        <w:t xml:space="preserve">— vocabolario tecnico delle revisioni sistematiche: gli autori sono molto sicuri che il risultato non cambierà con nuovi studi. Vale anche per i risultati negativi.</w:t>
      </w:r>
    </w:p>
    <w:p>
      <w:pPr>
        <w:pStyle w:val="Compact"/>
        <w:numPr>
          <w:ilvl w:val="0"/>
          <w:numId w:val="1046"/>
        </w:numPr>
      </w:pPr>
      <w:r>
        <w:rPr>
          <w:b/>
          <w:bCs/>
        </w:rPr>
        <w:t xml:space="preserve">Artrite settica</w:t>
      </w:r>
      <w:r>
        <w:t xml:space="preserve"> </w:t>
      </w:r>
      <w:r>
        <w:t xml:space="preserve">— infezione batterica dentro l’articolazione. Urgenza medica: danno rapido e irreversibile.</w:t>
      </w:r>
    </w:p>
    <w:p>
      <w:pPr>
        <w:pStyle w:val="Compact"/>
        <w:numPr>
          <w:ilvl w:val="0"/>
          <w:numId w:val="1046"/>
        </w:numPr>
      </w:pPr>
      <w:r>
        <w:rPr>
          <w:b/>
          <w:bCs/>
        </w:rPr>
        <w:t xml:space="preserve">Artrosi</w:t>
      </w:r>
      <w:r>
        <w:t xml:space="preserve"> </w:t>
      </w:r>
      <w:r>
        <w:t xml:space="preserve">— quadro di alterazione di cartilagine, osso e membrana sinoviale, definito su criteri clinici e radiografici.</w:t>
      </w:r>
    </w:p>
    <w:p>
      <w:pPr>
        <w:pStyle w:val="Compact"/>
        <w:numPr>
          <w:ilvl w:val="0"/>
          <w:numId w:val="1046"/>
        </w:numPr>
      </w:pPr>
      <w:r>
        <w:rPr>
          <w:b/>
          <w:bCs/>
        </w:rPr>
        <w:t xml:space="preserve">Catena</w:t>
      </w:r>
      <w:r>
        <w:t xml:space="preserve"> </w:t>
      </w:r>
      <w:r>
        <w:t xml:space="preserve">— un insieme di strutture collegate che si influenzano a distanza, per continuità meccanica o per via nervosa. Spiega perché un problema in un punto può manifestarsi in un altro.</w:t>
      </w:r>
    </w:p>
    <w:p>
      <w:pPr>
        <w:pStyle w:val="Compact"/>
        <w:numPr>
          <w:ilvl w:val="0"/>
          <w:numId w:val="1046"/>
        </w:numPr>
      </w:pPr>
      <w:r>
        <w:rPr>
          <w:b/>
          <w:bCs/>
        </w:rPr>
        <w:t xml:space="preserve">Compenso</w:t>
      </w:r>
      <w:r>
        <w:t xml:space="preserve"> </w:t>
      </w:r>
      <w:r>
        <w:t xml:space="preserve">— un adattamento che il corpo mette in atto per continuare a funzionare nonostante un problema. Costa qualcosa — comfort, efficienza, escursione — e regge finché può. Il sintomo compare spesso dove il compenso ha ceduto, non dove il problema è nato.</w:t>
      </w:r>
    </w:p>
    <w:p>
      <w:pPr>
        <w:pStyle w:val="Compact"/>
        <w:numPr>
          <w:ilvl w:val="0"/>
          <w:numId w:val="1046"/>
        </w:numPr>
      </w:pPr>
      <w:r>
        <w:rPr>
          <w:b/>
          <w:bCs/>
        </w:rPr>
        <w:t xml:space="preserve">Condropatia rotulea</w:t>
      </w:r>
      <w:r>
        <w:t xml:space="preserve"> </w:t>
      </w:r>
      <w:r>
        <w:t xml:space="preserve">— alterazione della cartilagine dietro la rotula descritta su un’immagine. Non è una sorgente di dolore.</w:t>
      </w:r>
    </w:p>
    <w:p>
      <w:pPr>
        <w:pStyle w:val="Compact"/>
        <w:numPr>
          <w:ilvl w:val="0"/>
          <w:numId w:val="1046"/>
        </w:numPr>
      </w:pPr>
      <w:r>
        <w:rPr>
          <w:b/>
          <w:bCs/>
        </w:rPr>
        <w:t xml:space="preserve">Controllo discendente</w:t>
      </w:r>
      <w:r>
        <w:t xml:space="preserve"> </w:t>
      </w:r>
      <w:r>
        <w:t xml:space="preserve">— le vie che dal cervello abbassano il volume del segnale doloroso in arrivo. Nella gonartrosi è spesso meno efficiente.</w:t>
      </w:r>
    </w:p>
    <w:p>
      <w:pPr>
        <w:pStyle w:val="Compact"/>
        <w:numPr>
          <w:ilvl w:val="0"/>
          <w:numId w:val="1046"/>
        </w:numPr>
      </w:pPr>
      <w:r>
        <w:rPr>
          <w:b/>
          <w:bCs/>
        </w:rPr>
        <w:t xml:space="preserve">Corpo adiposo di Hoffa</w:t>
      </w:r>
      <w:r>
        <w:t xml:space="preserve"> </w:t>
      </w:r>
      <w:r>
        <w:t xml:space="preserve">— cuscinetto di grasso dietro il tendine rotuleo. È fra i tessuti più dolorifici del ginocchio umano.</w:t>
      </w:r>
    </w:p>
    <w:p>
      <w:pPr>
        <w:pStyle w:val="Compact"/>
        <w:numPr>
          <w:ilvl w:val="0"/>
          <w:numId w:val="1046"/>
        </w:numPr>
      </w:pPr>
      <w:r>
        <w:rPr>
          <w:b/>
          <w:bCs/>
        </w:rPr>
        <w:t xml:space="preserve">Crepitio</w:t>
      </w:r>
      <w:r>
        <w:t xml:space="preserve"> </w:t>
      </w:r>
      <w:r>
        <w:t xml:space="preserve">— rumore o scroscio articolare durante il movimento. Frequente anche in ginocchia che non fanno male.</w:t>
      </w:r>
    </w:p>
    <w:p>
      <w:pPr>
        <w:pStyle w:val="Compact"/>
        <w:numPr>
          <w:ilvl w:val="0"/>
          <w:numId w:val="1046"/>
        </w:numPr>
      </w:pPr>
      <w:r>
        <w:rPr>
          <w:b/>
          <w:bCs/>
        </w:rPr>
        <w:t xml:space="preserve">Dimensione dell’effetto (d)</w:t>
      </w:r>
      <w:r>
        <w:t xml:space="preserve"> </w:t>
      </w:r>
      <w:r>
        <w:t xml:space="preserve">— quanto è grande un effetto, espresso in una scala confrontabile fra studi diversi. Più il numero è alto, più l’effetto è ampio.</w:t>
      </w:r>
    </w:p>
    <w:p>
      <w:pPr>
        <w:pStyle w:val="Compact"/>
        <w:numPr>
          <w:ilvl w:val="0"/>
          <w:numId w:val="1046"/>
        </w:numPr>
      </w:pPr>
      <w:r>
        <w:rPr>
          <w:b/>
          <w:bCs/>
        </w:rPr>
        <w:t xml:space="preserve">DIMOSTRATO</w:t>
      </w:r>
      <w:r>
        <w:t xml:space="preserve"> </w:t>
      </w:r>
      <w:r>
        <w:t xml:space="preserve">— etichetta di solidità: studi sull’uomo, solidi.</w:t>
      </w:r>
    </w:p>
    <w:p>
      <w:pPr>
        <w:pStyle w:val="Compact"/>
        <w:numPr>
          <w:ilvl w:val="0"/>
          <w:numId w:val="1046"/>
        </w:numPr>
      </w:pPr>
      <w:r>
        <w:rPr>
          <w:b/>
          <w:bCs/>
        </w:rPr>
        <w:t xml:space="preserve">Disfunzione somatica</w:t>
      </w:r>
      <w:r>
        <w:t xml:space="preserve"> </w:t>
      </w:r>
      <w:r>
        <w:t xml:space="preserve">— un’alterazione della funzione di una parte del sistema muscolo-scheletrico e delle strutture collegate, riconoscibile all’esame manuale. È una descrizione di funzione, non una diagnosi di malattia. In questo documento compare solo dentro la citazione del DPR 131/2021.</w:t>
      </w:r>
    </w:p>
    <w:p>
      <w:pPr>
        <w:pStyle w:val="Compact"/>
        <w:numPr>
          <w:ilvl w:val="0"/>
          <w:numId w:val="1046"/>
        </w:numPr>
      </w:pPr>
      <w:r>
        <w:rPr>
          <w:b/>
          <w:bCs/>
        </w:rPr>
        <w:t xml:space="preserve">Dorsiflessione in carico</w:t>
      </w:r>
      <w:r>
        <w:t xml:space="preserve"> </w:t>
      </w:r>
      <w:r>
        <w:t xml:space="preserve">— quanti gradi la tibia avanza sul piede con il tallone a terra. Si misura con l’affondo al muro.</w:t>
      </w:r>
    </w:p>
    <w:p>
      <w:pPr>
        <w:pStyle w:val="Compact"/>
        <w:numPr>
          <w:ilvl w:val="0"/>
          <w:numId w:val="1046"/>
        </w:numPr>
      </w:pPr>
      <w:r>
        <w:rPr>
          <w:b/>
          <w:bCs/>
        </w:rPr>
        <w:t xml:space="preserve">Edema dell’osso subcondrale</w:t>
      </w:r>
      <w:r>
        <w:t xml:space="preserve"> </w:t>
      </w:r>
      <w:r>
        <w:t xml:space="preserve">— accumulo di liquido nell’osso sotto la cartilagine, visibile in risonanza. Non è sempre reattivo.</w:t>
      </w:r>
    </w:p>
    <w:p>
      <w:pPr>
        <w:pStyle w:val="Compact"/>
        <w:numPr>
          <w:ilvl w:val="0"/>
          <w:numId w:val="1046"/>
        </w:numPr>
      </w:pPr>
      <w:r>
        <w:rPr>
          <w:b/>
          <w:bCs/>
        </w:rPr>
        <w:t xml:space="preserve">Effetto contestuale</w:t>
      </w:r>
      <w:r>
        <w:t xml:space="preserve"> </w:t>
      </w:r>
      <w:r>
        <w:t xml:space="preserve">— la quota di miglioramento che compare anche nel braccio di controllo di uno studio. Contiene il modo in cui il trattamento è erogato e atteso, ma anche la storia naturale e il ritorno verso la media: non sono separabili.</w:t>
      </w:r>
    </w:p>
    <w:p>
      <w:pPr>
        <w:pStyle w:val="Compact"/>
        <w:numPr>
          <w:ilvl w:val="0"/>
          <w:numId w:val="1046"/>
        </w:numPr>
      </w:pPr>
      <w:r>
        <w:rPr>
          <w:b/>
          <w:bCs/>
        </w:rPr>
        <w:t xml:space="preserve">Epifisiolisi della testa del femore</w:t>
      </w:r>
      <w:r>
        <w:t xml:space="preserve"> </w:t>
      </w:r>
      <w:r>
        <w:t xml:space="preserve">— scivolamento della testa femorale sulla cartilagine di accrescimento, tipico dell’adolescente. Può presentarsi come dolore al ginocchio.</w:t>
      </w:r>
    </w:p>
    <w:p>
      <w:pPr>
        <w:pStyle w:val="Compact"/>
        <w:numPr>
          <w:ilvl w:val="0"/>
          <w:numId w:val="1046"/>
        </w:numPr>
      </w:pPr>
      <w:r>
        <w:rPr>
          <w:b/>
          <w:bCs/>
        </w:rPr>
        <w:t xml:space="preserve">Fibre C-tattili</w:t>
      </w:r>
      <w:r>
        <w:t xml:space="preserve"> </w:t>
      </w:r>
      <w:r>
        <w:t xml:space="preserve">— recettori della pelle che rispondono alla carezza lenta. La loro velocità ottimale è quella di un tocco lento.</w:t>
      </w:r>
    </w:p>
    <w:p>
      <w:pPr>
        <w:pStyle w:val="Compact"/>
        <w:numPr>
          <w:ilvl w:val="0"/>
          <w:numId w:val="1046"/>
        </w:numPr>
      </w:pPr>
      <w:r>
        <w:rPr>
          <w:b/>
          <w:bCs/>
        </w:rPr>
        <w:t xml:space="preserve">Frattura da insufficienza subcondrale</w:t>
      </w:r>
      <w:r>
        <w:t xml:space="preserve"> </w:t>
      </w:r>
      <w:r>
        <w:t xml:space="preserve">— frattura da stress dell’osso sotto la cartilagine. Esordio improvviso nell’anziano, dolore notturno, radiografia precoce normale.</w:t>
      </w:r>
    </w:p>
    <w:p>
      <w:pPr>
        <w:pStyle w:val="Compact"/>
        <w:numPr>
          <w:ilvl w:val="0"/>
          <w:numId w:val="1046"/>
        </w:numPr>
      </w:pPr>
      <w:r>
        <w:rPr>
          <w:b/>
          <w:bCs/>
        </w:rPr>
        <w:t xml:space="preserve">Gonalgia</w:t>
      </w:r>
      <w:r>
        <w:t xml:space="preserve"> </w:t>
      </w:r>
      <w:r>
        <w:t xml:space="preserve">— dolore al ginocchio. È una sede, non una diagnosi.</w:t>
      </w:r>
    </w:p>
    <w:p>
      <w:pPr>
        <w:pStyle w:val="Compact"/>
        <w:numPr>
          <w:ilvl w:val="0"/>
          <w:numId w:val="1046"/>
        </w:numPr>
      </w:pPr>
      <w:r>
        <w:rPr>
          <w:b/>
          <w:bCs/>
        </w:rPr>
        <w:t xml:space="preserve">Guadagno</w:t>
      </w:r>
      <w:r>
        <w:t xml:space="preserve"> </w:t>
      </w:r>
      <w:r>
        <w:t xml:space="preserve">— l’amplificazione con cui il sistema nervoso lascia passare un segnale. In questo documento la parola ha solo questo significato.</w:t>
      </w:r>
    </w:p>
    <w:p>
      <w:pPr>
        <w:pStyle w:val="Compact"/>
        <w:numPr>
          <w:ilvl w:val="0"/>
          <w:numId w:val="1046"/>
        </w:numPr>
      </w:pPr>
      <w:r>
        <w:rPr>
          <w:b/>
          <w:bCs/>
        </w:rPr>
        <w:t xml:space="preserve">Inibizione muscolare artrogena</w:t>
      </w:r>
      <w:r>
        <w:t xml:space="preserve"> </w:t>
      </w:r>
      <w:r>
        <w:t xml:space="preserve">— riduzione riflessa e spinale del reclutamento dell’estensore prodotta da distensione, infiammazione e danno delle afferenze articolari. Indipendente dal dolore.</w:t>
      </w:r>
    </w:p>
    <w:p>
      <w:pPr>
        <w:pStyle w:val="Compact"/>
        <w:numPr>
          <w:ilvl w:val="0"/>
          <w:numId w:val="1046"/>
        </w:numPr>
      </w:pPr>
      <w:r>
        <w:rPr>
          <w:b/>
          <w:bCs/>
        </w:rPr>
        <w:t xml:space="preserve">Interazione antagonista</w:t>
      </w:r>
      <w:r>
        <w:t xml:space="preserve"> </w:t>
      </w:r>
      <w:r>
        <w:t xml:space="preserve">— quando due trattamenti dati insieme rendono meno della somma dei due presi da soli.</w:t>
      </w:r>
    </w:p>
    <w:p>
      <w:pPr>
        <w:pStyle w:val="Compact"/>
        <w:numPr>
          <w:ilvl w:val="0"/>
          <w:numId w:val="1046"/>
        </w:numPr>
      </w:pPr>
      <w:r>
        <w:rPr>
          <w:b/>
          <w:bCs/>
        </w:rPr>
        <w:t xml:space="preserve">IPOTESI</w:t>
      </w:r>
      <w:r>
        <w:t xml:space="preserve"> </w:t>
      </w:r>
      <w:r>
        <w:t xml:space="preserve">— etichetta di solidità: meccanismo coerente, nessuno studio.</w:t>
      </w:r>
    </w:p>
    <w:p>
      <w:pPr>
        <w:pStyle w:val="Compact"/>
        <w:numPr>
          <w:ilvl w:val="0"/>
          <w:numId w:val="1046"/>
        </w:numPr>
      </w:pPr>
      <w:r>
        <w:rPr>
          <w:b/>
          <w:bCs/>
        </w:rPr>
        <w:t xml:space="preserve">Irritabilità</w:t>
      </w:r>
      <w:r>
        <w:t xml:space="preserve"> </w:t>
      </w:r>
      <w:r>
        <w:t xml:space="preserve">— lo stato in cui il ginocchio ricompare gonfio e caldo e non recupera l’escursione fra una seduta e l’altra. È uno stato, non un sottotipo: sposta l’uscita del triage.</w:t>
      </w:r>
    </w:p>
    <w:p>
      <w:pPr>
        <w:pStyle w:val="Compact"/>
        <w:numPr>
          <w:ilvl w:val="0"/>
          <w:numId w:val="1046"/>
        </w:numPr>
      </w:pPr>
      <w:r>
        <w:rPr>
          <w:b/>
          <w:bCs/>
        </w:rPr>
        <w:t xml:space="preserve">Segno di stato</w:t>
      </w:r>
      <w:r>
        <w:t xml:space="preserve"> </w:t>
      </w:r>
      <w:r>
        <w:t xml:space="preserve">— un segno che descrive lo stato in cui il ginocchio si trova oggi. Non è un marker: non ha soglia pubblicata e non serve a smentire un’ipotesi di piano.</w:t>
      </w:r>
    </w:p>
    <w:p>
      <w:pPr>
        <w:pStyle w:val="Compact"/>
        <w:numPr>
          <w:ilvl w:val="0"/>
          <w:numId w:val="1046"/>
        </w:numPr>
      </w:pPr>
      <w:r>
        <w:rPr>
          <w:b/>
          <w:bCs/>
        </w:rPr>
        <w:t xml:space="preserve">KOOS</w:t>
      </w:r>
      <w:r>
        <w:t xml:space="preserve"> </w:t>
      </w:r>
      <w:r>
        <w:t xml:space="preserve">— questionario che misura dolore, sintomi, attività quotidiane, sport e qualità di vita di un ginocchio. È il metro usato nella maggior parte degli studi.</w:t>
      </w:r>
    </w:p>
    <w:p>
      <w:pPr>
        <w:pStyle w:val="Compact"/>
        <w:numPr>
          <w:ilvl w:val="0"/>
          <w:numId w:val="1046"/>
        </w:numPr>
      </w:pPr>
      <w:r>
        <w:rPr>
          <w:b/>
          <w:bCs/>
        </w:rPr>
        <w:t xml:space="preserve">Livello di attivazione</w:t>
      </w:r>
      <w:r>
        <w:t xml:space="preserve"> </w:t>
      </w:r>
      <w:r>
        <w:t xml:space="preserve">— quanto il sistema nervoso di questo paziente tiene alta la guardia: il guadagno alzato al midollo più lo stato di allerta, l’aspettativa e la paura che lo mantengono.</w:t>
      </w:r>
    </w:p>
    <w:p>
      <w:pPr>
        <w:pStyle w:val="Compact"/>
        <w:numPr>
          <w:ilvl w:val="0"/>
          <w:numId w:val="1046"/>
        </w:numPr>
      </w:pPr>
      <w:r>
        <w:rPr>
          <w:b/>
          <w:bCs/>
        </w:rPr>
        <w:t xml:space="preserve">Marker</w:t>
      </w:r>
      <w:r>
        <w:t xml:space="preserve"> </w:t>
      </w:r>
      <w:r>
        <w:t xml:space="preserve">— un segno misurabile che scegli</w:t>
      </w:r>
      <w:r>
        <w:t xml:space="preserve"> </w:t>
      </w:r>
      <w:r>
        <w:rPr>
          <w:b/>
          <w:bCs/>
        </w:rPr>
        <w:t xml:space="preserve">prima</w:t>
      </w:r>
      <w:r>
        <w:t xml:space="preserve"> </w:t>
      </w:r>
      <w:r>
        <w:t xml:space="preserve">di trattare e che rimisuri dopo, per sapere se quello che hai fatto ha cambiato qualcosa. Non è il sintomo del paziente: è il segno che ti dice se la tua ipotesi era giusta.</w:t>
      </w:r>
      <w:r>
        <w:t xml:space="preserve"> </w:t>
      </w:r>
      <w:r>
        <w:rPr>
          <w:b/>
          <w:bCs/>
        </w:rPr>
        <w:t xml:space="preserve">Locale</w:t>
      </w:r>
      <w:r>
        <w:t xml:space="preserve"> </w:t>
      </w:r>
      <w:r>
        <w:t xml:space="preserve">se sta sul piano che hai trattato,</w:t>
      </w:r>
      <w:r>
        <w:t xml:space="preserve"> </w:t>
      </w:r>
      <w:r>
        <w:rPr>
          <w:b/>
          <w:bCs/>
        </w:rPr>
        <w:t xml:space="preserve">remoto</w:t>
      </w:r>
      <w:r>
        <w:t xml:space="preserve"> </w:t>
      </w:r>
      <w:r>
        <w:t xml:space="preserve">se sta fuori: è sempre il secondo a decidere.</w:t>
      </w:r>
    </w:p>
    <w:p>
      <w:pPr>
        <w:pStyle w:val="Compact"/>
        <w:numPr>
          <w:ilvl w:val="0"/>
          <w:numId w:val="1046"/>
        </w:numPr>
      </w:pPr>
      <w:r>
        <w:rPr>
          <w:b/>
          <w:bCs/>
        </w:rPr>
        <w:t xml:space="preserve">Menisco</w:t>
      </w:r>
      <w:r>
        <w:t xml:space="preserve"> </w:t>
      </w:r>
      <w:r>
        <w:t xml:space="preserve">— cuscinetto fibrocartilagineo che distribuisce il carico. La sua parte interna non ha vasi né nervi.</w:t>
      </w:r>
    </w:p>
    <w:p>
      <w:pPr>
        <w:pStyle w:val="Compact"/>
        <w:numPr>
          <w:ilvl w:val="0"/>
          <w:numId w:val="1046"/>
        </w:numPr>
      </w:pPr>
      <w:r>
        <w:rPr>
          <w:b/>
          <w:bCs/>
        </w:rPr>
        <w:t xml:space="preserve">Meniscectomia artroscopica</w:t>
      </w:r>
      <w:r>
        <w:t xml:space="preserve"> </w:t>
      </w:r>
      <w:r>
        <w:t xml:space="preserve">— asportazione chirurgica della porzione lesa del menisco.</w:t>
      </w:r>
    </w:p>
    <w:p>
      <w:pPr>
        <w:pStyle w:val="Compact"/>
        <w:numPr>
          <w:ilvl w:val="0"/>
          <w:numId w:val="1046"/>
        </w:numPr>
      </w:pPr>
      <w:r>
        <w:rPr>
          <w:b/>
          <w:bCs/>
        </w:rPr>
        <w:t xml:space="preserve">Metafisi</w:t>
      </w:r>
      <w:r>
        <w:t xml:space="preserve"> </w:t>
      </w:r>
      <w:r>
        <w:t xml:space="preserve">— la porzione dell’osso lungo vicina alla cartilagine di accrescimento.</w:t>
      </w:r>
    </w:p>
    <w:p>
      <w:pPr>
        <w:pStyle w:val="Compact"/>
        <w:numPr>
          <w:ilvl w:val="0"/>
          <w:numId w:val="1046"/>
        </w:numPr>
      </w:pPr>
      <w:r>
        <w:rPr>
          <w:b/>
          <w:bCs/>
        </w:rPr>
        <w:t xml:space="preserve">Momento adduttorio al ginocchio</w:t>
      </w:r>
      <w:r>
        <w:t xml:space="preserve"> </w:t>
      </w:r>
      <w:r>
        <w:t xml:space="preserve">— misura indiretta di quanto carico passa dal compartimento interno durante il cammino.</w:t>
      </w:r>
    </w:p>
    <w:p>
      <w:pPr>
        <w:pStyle w:val="Compact"/>
        <w:numPr>
          <w:ilvl w:val="0"/>
          <w:numId w:val="1046"/>
        </w:numPr>
      </w:pPr>
      <w:r>
        <w:rPr>
          <w:b/>
          <w:bCs/>
        </w:rPr>
        <w:t xml:space="preserve">Neuropatico</w:t>
      </w:r>
      <w:r>
        <w:t xml:space="preserve"> </w:t>
      </w:r>
      <w:r>
        <w:t xml:space="preserve">— dolore che nasce da una lesione o una malattia del nervo. Bruciore, scosse, alterazioni della sensibilità.</w:t>
      </w:r>
    </w:p>
    <w:p>
      <w:pPr>
        <w:pStyle w:val="Compact"/>
        <w:numPr>
          <w:ilvl w:val="0"/>
          <w:numId w:val="1046"/>
        </w:numPr>
      </w:pPr>
      <w:r>
        <w:rPr>
          <w:b/>
          <w:bCs/>
        </w:rPr>
        <w:t xml:space="preserve">Nocicettore</w:t>
      </w:r>
      <w:r>
        <w:t xml:space="preserve"> </w:t>
      </w:r>
      <w:r>
        <w:t xml:space="preserve">— terminazione nervosa che segnala uno stimolo potenzialmente dannoso.</w:t>
      </w:r>
    </w:p>
    <w:p>
      <w:pPr>
        <w:pStyle w:val="Compact"/>
        <w:numPr>
          <w:ilvl w:val="0"/>
          <w:numId w:val="1046"/>
        </w:numPr>
      </w:pPr>
      <w:r>
        <w:rPr>
          <w:b/>
          <w:bCs/>
        </w:rPr>
        <w:t xml:space="preserve">Nociplastico</w:t>
      </w:r>
      <w:r>
        <w:t xml:space="preserve"> </w:t>
      </w:r>
      <w:r>
        <w:t xml:space="preserve">— dolore prodotto da un cambiamento nel modo in cui il sistema nervoso elabora il segnale, non da un danno proporzionato.</w:t>
      </w:r>
    </w:p>
    <w:p>
      <w:pPr>
        <w:pStyle w:val="Compact"/>
        <w:numPr>
          <w:ilvl w:val="0"/>
          <w:numId w:val="1046"/>
        </w:numPr>
      </w:pPr>
      <w:r>
        <w:rPr>
          <w:b/>
          <w:bCs/>
        </w:rPr>
        <w:t xml:space="preserve">Osso subcondrale</w:t>
      </w:r>
      <w:r>
        <w:t xml:space="preserve"> </w:t>
      </w:r>
      <w:r>
        <w:t xml:space="preserve">— osso immediatamente sotto la cartilagine, ricco di fibre dolorifiche.</w:t>
      </w:r>
    </w:p>
    <w:p>
      <w:pPr>
        <w:pStyle w:val="Compact"/>
        <w:numPr>
          <w:ilvl w:val="0"/>
          <w:numId w:val="1046"/>
        </w:numPr>
      </w:pPr>
      <w:r>
        <w:rPr>
          <w:b/>
          <w:bCs/>
        </w:rPr>
        <w:t xml:space="preserve">PROBABILE</w:t>
      </w:r>
      <w:r>
        <w:t xml:space="preserve"> </w:t>
      </w:r>
      <w:r>
        <w:t xml:space="preserve">— etichetta di solidità: razionale forte, prove parziali.</w:t>
      </w:r>
    </w:p>
    <w:p>
      <w:pPr>
        <w:pStyle w:val="Compact"/>
        <w:numPr>
          <w:ilvl w:val="0"/>
          <w:numId w:val="1046"/>
        </w:numPr>
      </w:pPr>
      <w:r>
        <w:rPr>
          <w:b/>
          <w:bCs/>
        </w:rPr>
        <w:t xml:space="preserve">RAGIONAMENTO</w:t>
      </w:r>
      <w:r>
        <w:t xml:space="preserve"> </w:t>
      </w:r>
      <w:r>
        <w:t xml:space="preserve">— etichetta di solidità: cornice clinica, non una prova.</w:t>
      </w:r>
    </w:p>
    <w:p>
      <w:pPr>
        <w:pStyle w:val="Compact"/>
        <w:numPr>
          <w:ilvl w:val="0"/>
          <w:numId w:val="1046"/>
        </w:numPr>
      </w:pPr>
      <w:r>
        <w:rPr>
          <w:b/>
          <w:bCs/>
        </w:rPr>
        <w:t xml:space="preserve">Rapporto di probabilità e rischio relativo</w:t>
      </w:r>
      <w:r>
        <w:t xml:space="preserve"> </w:t>
      </w:r>
      <w:r>
        <w:t xml:space="preserve">— quante volte un esito è più probabile in un gruppo rispetto all’altro. Vanno letti con l’intervallo di confidenza accanto: se l’intervallo è larghissimo, la stima è fragile.</w:t>
      </w:r>
    </w:p>
    <w:p>
      <w:pPr>
        <w:pStyle w:val="Compact"/>
        <w:numPr>
          <w:ilvl w:val="0"/>
          <w:numId w:val="1046"/>
        </w:numPr>
      </w:pPr>
      <w:r>
        <w:rPr>
          <w:b/>
          <w:bCs/>
        </w:rPr>
        <w:t xml:space="preserve">Regola di Ottawa per il ginocchio</w:t>
      </w:r>
      <w:r>
        <w:t xml:space="preserve"> </w:t>
      </w:r>
      <w:r>
        <w:t xml:space="preserve">— cinque criteri che decidono chi, dopo un trauma, deve fare una radiografia.</w:t>
      </w:r>
    </w:p>
    <w:p>
      <w:pPr>
        <w:pStyle w:val="Compact"/>
        <w:numPr>
          <w:ilvl w:val="0"/>
          <w:numId w:val="1046"/>
        </w:numPr>
      </w:pPr>
      <w:r>
        <w:rPr>
          <w:b/>
          <w:bCs/>
        </w:rPr>
        <w:t xml:space="preserve">Reperto disfunzionale</w:t>
      </w:r>
      <w:r>
        <w:t xml:space="preserve"> </w:t>
      </w:r>
      <w:r>
        <w:t xml:space="preserve">— quello che trovi tu con le mani e con i test, e che scrivi in cartella: una zona che si muove meno, un tessuto che risponde diversamente, una funzione che non si esprime. Non è la diagnosi del paziente — è il bersaglio del tuo lavoro.</w:t>
      </w:r>
    </w:p>
    <w:p>
      <w:pPr>
        <w:pStyle w:val="Compact"/>
        <w:numPr>
          <w:ilvl w:val="0"/>
          <w:numId w:val="1046"/>
        </w:numPr>
      </w:pPr>
      <w:r>
        <w:rPr>
          <w:b/>
          <w:bCs/>
        </w:rPr>
        <w:t xml:space="preserve">Salto</w:t>
      </w:r>
      <w:r>
        <w:t xml:space="preserve"> </w:t>
      </w:r>
      <w:r>
        <w:t xml:space="preserve">— la distanza fra lo studio e il tuo paziente: di popolazione, di intervento o di erogatore.</w:t>
      </w:r>
    </w:p>
    <w:p>
      <w:pPr>
        <w:pStyle w:val="Compact"/>
        <w:numPr>
          <w:ilvl w:val="0"/>
          <w:numId w:val="1046"/>
        </w:numPr>
      </w:pPr>
      <w:r>
        <w:rPr>
          <w:b/>
          <w:bCs/>
        </w:rPr>
        <w:t xml:space="preserve">Sensibilizzazione centrale</w:t>
      </w:r>
      <w:r>
        <w:t xml:space="preserve"> </w:t>
      </w:r>
      <w:r>
        <w:t xml:space="preserve">— aumento stabile della risposta dei neuroni del midollo spinale a un ingresso ripetuto. È il fenomeno; la sommazione temporale è il modo di misurarlo.</w:t>
      </w:r>
    </w:p>
    <w:p>
      <w:pPr>
        <w:pStyle w:val="Compact"/>
        <w:numPr>
          <w:ilvl w:val="0"/>
          <w:numId w:val="1046"/>
        </w:numPr>
      </w:pPr>
      <w:r>
        <w:rPr>
          <w:b/>
          <w:bCs/>
        </w:rPr>
        <w:t xml:space="preserve">Sinovia</w:t>
      </w:r>
      <w:r>
        <w:t xml:space="preserve"> </w:t>
      </w:r>
      <w:r>
        <w:t xml:space="preserve">— membrana che riveste l’articolazione e produce il liquido articolare. Quando si irrita, abbassa la soglia delle terminazioni vicine.</w:t>
      </w:r>
    </w:p>
    <w:p>
      <w:pPr>
        <w:pStyle w:val="Compact"/>
        <w:numPr>
          <w:ilvl w:val="0"/>
          <w:numId w:val="1046"/>
        </w:numPr>
      </w:pPr>
      <w:r>
        <w:rPr>
          <w:b/>
          <w:bCs/>
        </w:rPr>
        <w:t xml:space="preserve">Sistema dominante</w:t>
      </w:r>
      <w:r>
        <w:t xml:space="preserve"> </w:t>
      </w:r>
      <w:r>
        <w:t xml:space="preserve">— il piano che, in questo paziente, sta consumando più capacità di adattamento degli altri. È l’ipotesi di lavoro che decide su cosa agire per primo, non un fatto misurato: per questo porta sempre l’etichetta RAGIONAMENTO.</w:t>
      </w:r>
    </w:p>
    <w:p>
      <w:pPr>
        <w:pStyle w:val="Compact"/>
        <w:numPr>
          <w:ilvl w:val="0"/>
          <w:numId w:val="1046"/>
        </w:numPr>
      </w:pPr>
      <w:r>
        <w:rPr>
          <w:b/>
          <w:bCs/>
        </w:rPr>
        <w:t xml:space="preserve">Sommazione temporale (facilitata)</w:t>
      </w:r>
      <w:r>
        <w:t xml:space="preserve"> </w:t>
      </w:r>
      <w:r>
        <w:t xml:space="preserve">— aumento della risposta dolorosa a stimoli ripetuti identici. «Facilitata» vuol dire che quell’aumento è più marcato del normale.</w:t>
      </w:r>
    </w:p>
    <w:p>
      <w:pPr>
        <w:pStyle w:val="Compact"/>
        <w:numPr>
          <w:ilvl w:val="0"/>
          <w:numId w:val="1046"/>
        </w:numPr>
      </w:pPr>
      <w:r>
        <w:rPr>
          <w:b/>
          <w:bCs/>
        </w:rPr>
        <w:t xml:space="preserve">Step-down</w:t>
      </w:r>
      <w:r>
        <w:t xml:space="preserve"> </w:t>
      </w:r>
      <w:r>
        <w:t xml:space="preserve">— discesa da un gradino su una gamba sola, usata come test di carico. Si esegue con un appoggio a portata di mano.</w:t>
      </w:r>
    </w:p>
    <w:p>
      <w:pPr>
        <w:pStyle w:val="Compact"/>
        <w:numPr>
          <w:ilvl w:val="0"/>
          <w:numId w:val="1046"/>
        </w:numPr>
      </w:pPr>
      <w:r>
        <w:rPr>
          <w:b/>
          <w:bCs/>
        </w:rPr>
        <w:t xml:space="preserve">TENS</w:t>
      </w:r>
      <w:r>
        <w:t xml:space="preserve"> </w:t>
      </w:r>
      <w:r>
        <w:t xml:space="preserve">— stimolazione elettrica applicata attraverso la pelle. Non è un atto nostro.</w:t>
      </w:r>
    </w:p>
    <w:p>
      <w:pPr>
        <w:pStyle w:val="Compact"/>
        <w:numPr>
          <w:ilvl w:val="0"/>
          <w:numId w:val="1046"/>
        </w:numPr>
      </w:pPr>
      <w:r>
        <w:rPr>
          <w:b/>
          <w:bCs/>
        </w:rPr>
        <w:t xml:space="preserve">Trombosi venosa profonda</w:t>
      </w:r>
      <w:r>
        <w:t xml:space="preserve"> </w:t>
      </w:r>
      <w:r>
        <w:t xml:space="preserve">— coagulo in una vena profonda dell’arto. Gonfiore e dolore da un lato solo, al polpaccio. L’arto non si massaggia.</w:t>
      </w:r>
    </w:p>
    <w:p>
      <w:pPr>
        <w:pStyle w:val="Compact"/>
        <w:numPr>
          <w:ilvl w:val="0"/>
          <w:numId w:val="1046"/>
        </w:numPr>
      </w:pPr>
      <w:r>
        <w:rPr>
          <w:b/>
          <w:bCs/>
        </w:rPr>
        <w:t xml:space="preserve">Versamento</w:t>
      </w:r>
      <w:r>
        <w:t xml:space="preserve"> </w:t>
      </w:r>
      <w:r>
        <w:t xml:space="preserve">— liquido in eccesso dentro l’articolazione. Segno di irritabilità, e causa di inibizione riflessa dell’estensore.</w:t>
      </w:r>
    </w:p>
    <w:p>
      <w:pPr>
        <w:pStyle w:val="Compact"/>
        <w:numPr>
          <w:ilvl w:val="0"/>
          <w:numId w:val="1046"/>
        </w:numPr>
      </w:pPr>
      <w:r>
        <w:rPr>
          <w:b/>
          <w:bCs/>
        </w:rPr>
        <w:t xml:space="preserve">WOMAC</w:t>
      </w:r>
      <w:r>
        <w:t xml:space="preserve"> </w:t>
      </w:r>
      <w:r>
        <w:t xml:space="preserve">— questionario che misura dolore, rigidità e funzione di un ginocchio o di un’anca. Più il punteggio è alto, peggio sta il paziente.</w:t>
      </w:r>
    </w:p>
    <w:p>
      <w:pPr>
        <w:pStyle w:val="Compact"/>
        <w:numPr>
          <w:ilvl w:val="0"/>
          <w:numId w:val="1046"/>
        </w:numPr>
      </w:pPr>
      <w:r>
        <w:rPr>
          <w:b/>
          <w:bCs/>
        </w:rPr>
        <w:t xml:space="preserve">Zampa d’oca</w:t>
      </w:r>
      <w:r>
        <w:t xml:space="preserve"> </w:t>
      </w:r>
      <w:r>
        <w:t xml:space="preserve">— inserzione tendinea comune sulla faccia mediale della tibia, sotto l’interlinea. Falso positivo classico del pattern artrosico mediale.</w:t>
      </w:r>
    </w:p>
    <w:p>
      <w:r>
        <w:pict>
          <v:rect style="width:0;height:1.5pt" o:hralign="center" o:hrstd="t" o:hr="t"/>
        </w:pict>
      </w:r>
    </w:p>
    <w:bookmarkEnd w:id="71"/>
    <w:bookmarkStart w:id="138" w:name="appendice-b-le-fonti"/>
    <w:p>
      <w:pPr>
        <w:pStyle w:val="Heading2"/>
      </w:pPr>
      <w:r>
        <w:t xml:space="preserve">Appendice B — Le fonti</w:t>
      </w:r>
    </w:p>
    <w:p>
      <w:pPr>
        <w:pStyle w:val="FirstParagraph"/>
      </w:pPr>
      <w:r>
        <w:t xml:space="preserve">Nell’ordine in cui compaiono nel testo. Dove non riporto un titolo, la voce è descrittiva: il dato è quello verificato sull’abstract del record indicato.</w:t>
      </w:r>
    </w:p>
    <w:p>
      <w:pPr>
        <w:pStyle w:val="Compact"/>
        <w:numPr>
          <w:ilvl w:val="0"/>
          <w:numId w:val="1047"/>
        </w:numPr>
      </w:pPr>
      <w:r>
        <w:t xml:space="preserve">Deyle GD, Allen CS, Allison SC, et al. </w:t>
      </w:r>
      <w:r>
        <w:rPr>
          <w:i/>
          <w:iCs/>
        </w:rPr>
        <w:t xml:space="preserve">Physical Therapy versus Glucocorticoid Injection for Osteoarthritis of the Knee.</w:t>
      </w:r>
      <w:r>
        <w:t xml:space="preserve"> </w:t>
      </w:r>
      <w:r>
        <w:t xml:space="preserve">N Engl J Med 2020;382:1420-1429.</w:t>
      </w:r>
      <w:r>
        <w:t xml:space="preserve"> </w:t>
      </w:r>
      <w:hyperlink r:id="rId72">
        <w:r>
          <w:rPr>
            <w:rStyle w:val="Hyperlink"/>
          </w:rPr>
          <w:t xml:space="preserve">PMID 32268027</w:t>
        </w:r>
      </w:hyperlink>
    </w:p>
    <w:p>
      <w:pPr>
        <w:pStyle w:val="Compact"/>
        <w:numPr>
          <w:ilvl w:val="0"/>
          <w:numId w:val="1047"/>
        </w:numPr>
      </w:pPr>
      <w:r>
        <w:t xml:space="preserve">Cheng R, et al., 2025. BMJ Open. Sintesi di 68 studi e quasi 600.000 pazienti: circa il 22% ha dolore a tre mesi dalla protesi di ginocchio e il 12-15% a due anni.</w:t>
      </w:r>
      <w:r>
        <w:t xml:space="preserve"> </w:t>
      </w:r>
      <w:hyperlink r:id="rId73">
        <w:r>
          <w:rPr>
            <w:rStyle w:val="Hyperlink"/>
          </w:rPr>
          <w:t xml:space="preserve">PMID 40398950</w:t>
        </w:r>
      </w:hyperlink>
    </w:p>
    <w:p>
      <w:pPr>
        <w:pStyle w:val="Compact"/>
        <w:numPr>
          <w:ilvl w:val="0"/>
          <w:numId w:val="1047"/>
        </w:numPr>
      </w:pPr>
      <w:r>
        <w:t xml:space="preserve">Cornelis B, Van Eetvelde G, Uyttebroek S, et al. </w:t>
      </w:r>
      <w:r>
        <w:rPr>
          <w:i/>
          <w:iCs/>
        </w:rPr>
        <w:t xml:space="preserve">Beyond the knee: Why hip examination matters in patients with knee pain.</w:t>
      </w:r>
      <w:r>
        <w:t xml:space="preserve"> </w:t>
      </w:r>
      <w:r>
        <w:t xml:space="preserve">J Exp Orthop 2025;12(4):e70525.</w:t>
      </w:r>
      <w:r>
        <w:t xml:space="preserve"> </w:t>
      </w:r>
      <w:hyperlink r:id="rId74">
        <w:r>
          <w:rPr>
            <w:rStyle w:val="Hyperlink"/>
          </w:rPr>
          <w:t xml:space="preserve">PMID 41245703</w:t>
        </w:r>
      </w:hyperlink>
    </w:p>
    <w:p>
      <w:pPr>
        <w:pStyle w:val="Compact"/>
        <w:numPr>
          <w:ilvl w:val="0"/>
          <w:numId w:val="1047"/>
        </w:numPr>
      </w:pPr>
      <w:r>
        <w:t xml:space="preserve">Zhang W, Doherty M, Peat G, et al. </w:t>
      </w:r>
      <w:r>
        <w:rPr>
          <w:i/>
          <w:iCs/>
        </w:rPr>
        <w:t xml:space="preserve">EULAR evidence-based recommendations for the diagnosis of knee osteoarthritis.</w:t>
      </w:r>
      <w:r>
        <w:t xml:space="preserve"> </w:t>
      </w:r>
      <w:r>
        <w:t xml:space="preserve">Ann Rheum Dis 2010;69(3):483-489.</w:t>
      </w:r>
      <w:r>
        <w:t xml:space="preserve"> </w:t>
      </w:r>
      <w:hyperlink r:id="rId75">
        <w:r>
          <w:rPr>
            <w:rStyle w:val="Hyperlink"/>
          </w:rPr>
          <w:t xml:space="preserve">PMID 19762361</w:t>
        </w:r>
      </w:hyperlink>
    </w:p>
    <w:p>
      <w:pPr>
        <w:pStyle w:val="Compact"/>
        <w:numPr>
          <w:ilvl w:val="0"/>
          <w:numId w:val="1047"/>
        </w:numPr>
      </w:pPr>
      <w:r>
        <w:t xml:space="preserve">Cui A, Li H, Wang D, et al. </w:t>
      </w:r>
      <w:r>
        <w:rPr>
          <w:i/>
          <w:iCs/>
        </w:rPr>
        <w:t xml:space="preserve">Global, regional prevalence, incidence and risk factors of knee osteoarthritis in population-based studies.</w:t>
      </w:r>
      <w:r>
        <w:t xml:space="preserve"> </w:t>
      </w:r>
      <w:r>
        <w:t xml:space="preserve">EClinicalMedicine 2020;29-30:100587.</w:t>
      </w:r>
      <w:r>
        <w:t xml:space="preserve"> </w:t>
      </w:r>
      <w:hyperlink r:id="rId76">
        <w:r>
          <w:rPr>
            <w:rStyle w:val="Hyperlink"/>
          </w:rPr>
          <w:t xml:space="preserve">PMID 34505846</w:t>
        </w:r>
      </w:hyperlink>
    </w:p>
    <w:p>
      <w:pPr>
        <w:pStyle w:val="Compact"/>
        <w:numPr>
          <w:ilvl w:val="0"/>
          <w:numId w:val="1047"/>
        </w:numPr>
      </w:pPr>
      <w:r>
        <w:t xml:space="preserve">Zou K, Wong J, Abdullah N, Zhang W, et al. </w:t>
      </w:r>
      <w:r>
        <w:rPr>
          <w:i/>
          <w:iCs/>
        </w:rPr>
        <w:t xml:space="preserve">Examination of overall treatment effect and the proportion attributable to contextual effect in osteoarthritis: meta-analysis of randomised controlled trials.</w:t>
      </w:r>
      <w:r>
        <w:t xml:space="preserve"> </w:t>
      </w:r>
      <w:r>
        <w:t xml:space="preserve">Ann Rheum Dis 2016;75(11):1964-1970.</w:t>
      </w:r>
      <w:r>
        <w:t xml:space="preserve"> </w:t>
      </w:r>
      <w:hyperlink r:id="rId77">
        <w:r>
          <w:rPr>
            <w:rStyle w:val="Hyperlink"/>
          </w:rPr>
          <w:t xml:space="preserve">PMID 26882927</w:t>
        </w:r>
      </w:hyperlink>
    </w:p>
    <w:p>
      <w:pPr>
        <w:pStyle w:val="Compact"/>
        <w:numPr>
          <w:ilvl w:val="0"/>
          <w:numId w:val="1047"/>
        </w:numPr>
      </w:pPr>
      <w:r>
        <w:t xml:space="preserve">Lankhorst NE, van Middelkoop M, Crossley KM, et al. </w:t>
      </w:r>
      <w:r>
        <w:rPr>
          <w:i/>
          <w:iCs/>
        </w:rPr>
        <w:t xml:space="preserve">Factors that predict a poor outcome 5-8 years after the diagnosis of patellofemoral pain.</w:t>
      </w:r>
      <w:r>
        <w:t xml:space="preserve"> </w:t>
      </w:r>
      <w:r>
        <w:t xml:space="preserve">Br J Sports Med 2016;50(14):881-886.</w:t>
      </w:r>
      <w:r>
        <w:t xml:space="preserve"> </w:t>
      </w:r>
      <w:hyperlink r:id="rId78">
        <w:r>
          <w:rPr>
            <w:rStyle w:val="Hyperlink"/>
          </w:rPr>
          <w:t xml:space="preserve">PMID 26463119</w:t>
        </w:r>
      </w:hyperlink>
    </w:p>
    <w:p>
      <w:pPr>
        <w:pStyle w:val="Compact"/>
        <w:numPr>
          <w:ilvl w:val="0"/>
          <w:numId w:val="1047"/>
        </w:numPr>
      </w:pPr>
      <w:r>
        <w:t xml:space="preserve">Ochi J, et al. </w:t>
      </w:r>
      <w:r>
        <w:rPr>
          <w:i/>
          <w:iCs/>
        </w:rPr>
        <w:t xml:space="preserve">Subchondral insufficiency fracture of the knee: review of current concepts and radiological differential diagnoses.</w:t>
      </w:r>
      <w:r>
        <w:t xml:space="preserve"> </w:t>
      </w:r>
      <w:r>
        <w:t xml:space="preserve">Jpn J Radiol 2022.</w:t>
      </w:r>
      <w:r>
        <w:t xml:space="preserve"> </w:t>
      </w:r>
      <w:hyperlink r:id="rId79">
        <w:r>
          <w:rPr>
            <w:rStyle w:val="Hyperlink"/>
          </w:rPr>
          <w:t xml:space="preserve">PMID 34843043</w:t>
        </w:r>
      </w:hyperlink>
    </w:p>
    <w:p>
      <w:pPr>
        <w:pStyle w:val="Compact"/>
        <w:numPr>
          <w:ilvl w:val="0"/>
          <w:numId w:val="1047"/>
        </w:numPr>
      </w:pPr>
      <w:r>
        <w:t xml:space="preserve">Bedson J, Croft PR.</w:t>
      </w:r>
      <w:r>
        <w:t xml:space="preserve"> </w:t>
      </w:r>
      <w:r>
        <w:rPr>
          <w:i/>
          <w:iCs/>
        </w:rPr>
        <w:t xml:space="preserve">The discordance between clinical and radiographic knee osteoarthritis: a systematic search and summary of the literature.</w:t>
      </w:r>
      <w:r>
        <w:t xml:space="preserve"> </w:t>
      </w:r>
      <w:r>
        <w:t xml:space="preserve">BMC Musculoskelet Disord 2008;9:116.</w:t>
      </w:r>
      <w:r>
        <w:t xml:space="preserve"> </w:t>
      </w:r>
      <w:hyperlink r:id="rId80">
        <w:r>
          <w:rPr>
            <w:rStyle w:val="Hyperlink"/>
          </w:rPr>
          <w:t xml:space="preserve">PMID 18764949</w:t>
        </w:r>
      </w:hyperlink>
    </w:p>
    <w:p>
      <w:pPr>
        <w:pStyle w:val="Compact"/>
        <w:numPr>
          <w:ilvl w:val="0"/>
          <w:numId w:val="1047"/>
        </w:numPr>
      </w:pPr>
      <w:r>
        <w:t xml:space="preserve">Eitner A, Hofmann GO, Schaible HG.</w:t>
      </w:r>
      <w:r>
        <w:t xml:space="preserve"> </w:t>
      </w:r>
      <w:r>
        <w:rPr>
          <w:i/>
          <w:iCs/>
        </w:rPr>
        <w:t xml:space="preserve">Mechanisms of Osteoarthritic Pain. Studies in Humans and Experimental Models.</w:t>
      </w:r>
      <w:r>
        <w:t xml:space="preserve"> </w:t>
      </w:r>
      <w:r>
        <w:t xml:space="preserve">Front Mol Neurosci 2017;10:349.</w:t>
      </w:r>
      <w:r>
        <w:t xml:space="preserve"> </w:t>
      </w:r>
      <w:hyperlink r:id="rId81">
        <w:r>
          <w:rPr>
            <w:rStyle w:val="Hyperlink"/>
          </w:rPr>
          <w:t xml:space="preserve">PMID 29163027</w:t>
        </w:r>
      </w:hyperlink>
    </w:p>
    <w:p>
      <w:pPr>
        <w:pStyle w:val="Compact"/>
        <w:numPr>
          <w:ilvl w:val="0"/>
          <w:numId w:val="1047"/>
        </w:numPr>
      </w:pPr>
      <w:r>
        <w:t xml:space="preserve">Dye SF, et al., 1998. Palpazione artroscopica del ginocchio sveglio senza anestesia intrarticolare: sinovia anteriore, corpo adiposo e capsula con punteggio massimo di dolore, cartilagine rotulea a zero.</w:t>
      </w:r>
      <w:r>
        <w:t xml:space="preserve"> </w:t>
      </w:r>
      <w:hyperlink r:id="rId82">
        <w:r>
          <w:rPr>
            <w:rStyle w:val="Hyperlink"/>
          </w:rPr>
          <w:t xml:space="preserve">PMID 9850777</w:t>
        </w:r>
      </w:hyperlink>
    </w:p>
    <w:p>
      <w:pPr>
        <w:pStyle w:val="Compact"/>
        <w:numPr>
          <w:ilvl w:val="0"/>
          <w:numId w:val="1047"/>
        </w:numPr>
      </w:pPr>
      <w:r>
        <w:t xml:space="preserve">Kutzner I, Heinlein B, Graichen F, et al. </w:t>
      </w:r>
      <w:r>
        <w:rPr>
          <w:i/>
          <w:iCs/>
        </w:rPr>
        <w:t xml:space="preserve">Loading of the knee joint during activities of daily living measured in vivo in five subjects.</w:t>
      </w:r>
      <w:r>
        <w:t xml:space="preserve"> </w:t>
      </w:r>
      <w:r>
        <w:t xml:space="preserve">J Biomech 2010;43(11):2164-2173.</w:t>
      </w:r>
      <w:r>
        <w:t xml:space="preserve"> </w:t>
      </w:r>
      <w:hyperlink r:id="rId83">
        <w:r>
          <w:rPr>
            <w:rStyle w:val="Hyperlink"/>
          </w:rPr>
          <w:t xml:space="preserve">PMID 20537336</w:t>
        </w:r>
      </w:hyperlink>
    </w:p>
    <w:p>
      <w:pPr>
        <w:pStyle w:val="Compact"/>
        <w:numPr>
          <w:ilvl w:val="0"/>
          <w:numId w:val="1047"/>
        </w:numPr>
      </w:pPr>
      <w:r>
        <w:t xml:space="preserve">Englund M, Guermazi A, Gale D, et al. </w:t>
      </w:r>
      <w:r>
        <w:rPr>
          <w:i/>
          <w:iCs/>
        </w:rPr>
        <w:t xml:space="preserve">Incidental meniscal findings on knee MRI in middle-aged and elderly persons.</w:t>
      </w:r>
      <w:r>
        <w:t xml:space="preserve"> </w:t>
      </w:r>
      <w:r>
        <w:t xml:space="preserve">N Engl J Med 2008;359(11):1108-1115.</w:t>
      </w:r>
      <w:r>
        <w:t xml:space="preserve"> </w:t>
      </w:r>
      <w:hyperlink r:id="rId84">
        <w:r>
          <w:rPr>
            <w:rStyle w:val="Hyperlink"/>
          </w:rPr>
          <w:t xml:space="preserve">PMID 18784100</w:t>
        </w:r>
      </w:hyperlink>
    </w:p>
    <w:p>
      <w:pPr>
        <w:pStyle w:val="Compact"/>
        <w:numPr>
          <w:ilvl w:val="0"/>
          <w:numId w:val="1047"/>
        </w:numPr>
      </w:pPr>
      <w:r>
        <w:t xml:space="preserve">Messier SP, Mihalko SL, Legault C, et al. </w:t>
      </w:r>
      <w:r>
        <w:rPr>
          <w:i/>
          <w:iCs/>
        </w:rPr>
        <w:t xml:space="preserve">Effects of intensive diet and exercise on knee joint loads, inflammation, and clinical outcomes among overweight and obese adults with knee osteoarthritis: the IDEA randomized clinical trial.</w:t>
      </w:r>
      <w:r>
        <w:t xml:space="preserve"> </w:t>
      </w:r>
      <w:r>
        <w:t xml:space="preserve">JAMA 2013;310(12):1263-1273.</w:t>
      </w:r>
      <w:r>
        <w:t xml:space="preserve"> </w:t>
      </w:r>
      <w:hyperlink r:id="rId85">
        <w:r>
          <w:rPr>
            <w:rStyle w:val="Hyperlink"/>
          </w:rPr>
          <w:t xml:space="preserve">PMID 24065013</w:t>
        </w:r>
      </w:hyperlink>
    </w:p>
    <w:p>
      <w:pPr>
        <w:pStyle w:val="Compact"/>
        <w:numPr>
          <w:ilvl w:val="0"/>
          <w:numId w:val="1047"/>
        </w:numPr>
      </w:pPr>
      <w:r>
        <w:t xml:space="preserve">Rice DA, McNair PJ.</w:t>
      </w:r>
      <w:r>
        <w:t xml:space="preserve"> </w:t>
      </w:r>
      <w:r>
        <w:rPr>
          <w:i/>
          <w:iCs/>
        </w:rPr>
        <w:t xml:space="preserve">Quadriceps arthrogenic muscle inhibition: neural mechanisms and treatment perspectives.</w:t>
      </w:r>
      <w:r>
        <w:t xml:space="preserve"> </w:t>
      </w:r>
      <w:r>
        <w:t xml:space="preserve">Semin Arthritis Rheum 2010;40(3):250-266.</w:t>
      </w:r>
      <w:r>
        <w:t xml:space="preserve"> </w:t>
      </w:r>
      <w:hyperlink r:id="rId86">
        <w:r>
          <w:rPr>
            <w:rStyle w:val="Hyperlink"/>
          </w:rPr>
          <w:t xml:space="preserve">PMID 19954822</w:t>
        </w:r>
      </w:hyperlink>
    </w:p>
    <w:p>
      <w:pPr>
        <w:pStyle w:val="Compact"/>
        <w:numPr>
          <w:ilvl w:val="0"/>
          <w:numId w:val="1047"/>
        </w:numPr>
      </w:pPr>
      <w:r>
        <w:t xml:space="preserve">Rice DA, McNair PJ, Lewis GN, Dalbeth N., 2014. Arthritis Res Ther. Nessuna prova di un contributo sopraspinale all’inibizione artrogena.</w:t>
      </w:r>
      <w:r>
        <w:t xml:space="preserve"> </w:t>
      </w:r>
      <w:hyperlink r:id="rId87">
        <w:r>
          <w:rPr>
            <w:rStyle w:val="Hyperlink"/>
          </w:rPr>
          <w:t xml:space="preserve">PMID 25497133</w:t>
        </w:r>
      </w:hyperlink>
    </w:p>
    <w:p>
      <w:pPr>
        <w:pStyle w:val="Compact"/>
        <w:numPr>
          <w:ilvl w:val="0"/>
          <w:numId w:val="1047"/>
        </w:numPr>
      </w:pPr>
      <w:r>
        <w:t xml:space="preserve">Øiestad BE, Juhl CB, Culvenor AG, Thorlund JB, et al. </w:t>
      </w:r>
      <w:r>
        <w:rPr>
          <w:i/>
          <w:iCs/>
        </w:rPr>
        <w:t xml:space="preserve">Knee extensor muscle weakness is a risk factor for the development of knee osteoarthritis: an updated systematic review and meta-analysis including 46 819 men and women.</w:t>
      </w:r>
      <w:r>
        <w:t xml:space="preserve"> </w:t>
      </w:r>
      <w:r>
        <w:t xml:space="preserve">Br J Sports Med 2022;56(6):349-355.</w:t>
      </w:r>
      <w:r>
        <w:t xml:space="preserve"> </w:t>
      </w:r>
      <w:hyperlink r:id="rId88">
        <w:r>
          <w:rPr>
            <w:rStyle w:val="Hyperlink"/>
          </w:rPr>
          <w:t xml:space="preserve">PMID 34916210</w:t>
        </w:r>
      </w:hyperlink>
    </w:p>
    <w:p>
      <w:pPr>
        <w:pStyle w:val="Compact"/>
        <w:numPr>
          <w:ilvl w:val="0"/>
          <w:numId w:val="1047"/>
        </w:numPr>
      </w:pPr>
      <w:r>
        <w:t xml:space="preserve">Harkey MS, Gribble PA, Pietrosimone BG.</w:t>
      </w:r>
      <w:r>
        <w:t xml:space="preserve"> </w:t>
      </w:r>
      <w:r>
        <w:rPr>
          <w:i/>
          <w:iCs/>
        </w:rPr>
        <w:t xml:space="preserve">Disinhibitory interventions and voluntary quadriceps activation: a systematic review.</w:t>
      </w:r>
      <w:r>
        <w:t xml:space="preserve"> </w:t>
      </w:r>
      <w:r>
        <w:t xml:space="preserve">J Athl Train 2014;49(3):411-421. Dieci studi raggruppati per intervento: terapia manuale (4 studi) d immediato 0,38 (IC 95% da -0,35 a 1,09); TENS ad alta frequenza d 1,03 (IC 0,06-1,92).</w:t>
      </w:r>
      <w:r>
        <w:t xml:space="preserve"> </w:t>
      </w:r>
      <w:hyperlink r:id="rId89">
        <w:r>
          <w:rPr>
            <w:rStyle w:val="Hyperlink"/>
          </w:rPr>
          <w:t xml:space="preserve">PMID 24490843</w:t>
        </w:r>
      </w:hyperlink>
    </w:p>
    <w:p>
      <w:pPr>
        <w:pStyle w:val="Compact"/>
        <w:numPr>
          <w:ilvl w:val="0"/>
          <w:numId w:val="1047"/>
        </w:numPr>
      </w:pPr>
      <w:r>
        <w:t xml:space="preserve">Arendt-Nielsen L, et al., 2010. Pain. 48 pazienti con gonartrosi: soglie pressorie ridotte a ginocchio, gamba e avambraccio, sommazione temporale facilitata, controllo discendente ridotto, nessuna correlazione con il reperto radiologico.</w:t>
      </w:r>
      <w:r>
        <w:t xml:space="preserve"> </w:t>
      </w:r>
      <w:hyperlink r:id="rId90">
        <w:r>
          <w:rPr>
            <w:rStyle w:val="Hyperlink"/>
          </w:rPr>
          <w:t xml:space="preserve">PMID 20418016</w:t>
        </w:r>
      </w:hyperlink>
    </w:p>
    <w:p>
      <w:pPr>
        <w:pStyle w:val="Compact"/>
        <w:numPr>
          <w:ilvl w:val="0"/>
          <w:numId w:val="1047"/>
        </w:numPr>
      </w:pPr>
      <w:r>
        <w:t xml:space="preserve">Petersen KK, Arendt-Nielsen L, Simonsen O, Laursen MB, et al. </w:t>
      </w:r>
      <w:r>
        <w:rPr>
          <w:i/>
          <w:iCs/>
        </w:rPr>
        <w:t xml:space="preserve">Presurgical assessment of temporal summation of pain predicts the development of chronic postoperative pain 12 months after total knee replacement.</w:t>
      </w:r>
      <w:r>
        <w:t xml:space="preserve"> </w:t>
      </w:r>
      <w:r>
        <w:t xml:space="preserve">Pain 2015;156(1):55-61.</w:t>
      </w:r>
      <w:r>
        <w:t xml:space="preserve"> </w:t>
      </w:r>
      <w:hyperlink r:id="rId91">
        <w:r>
          <w:rPr>
            <w:rStyle w:val="Hyperlink"/>
          </w:rPr>
          <w:t xml:space="preserve">PMID 25599301</w:t>
        </w:r>
      </w:hyperlink>
    </w:p>
    <w:p>
      <w:pPr>
        <w:pStyle w:val="Compact"/>
        <w:numPr>
          <w:ilvl w:val="0"/>
          <w:numId w:val="1047"/>
        </w:numPr>
      </w:pPr>
      <w:r>
        <w:t xml:space="preserve">Rodgers LJ, Coronado RA, et al. </w:t>
      </w:r>
      <w:r>
        <w:rPr>
          <w:i/>
          <w:iCs/>
        </w:rPr>
        <w:t xml:space="preserve">An overview of systematic reviews examining the quantitative sensory testing-derived hypoalgesic effects of manual therapy for musculoskeletal pain.</w:t>
      </w:r>
      <w:r>
        <w:t xml:space="preserve"> </w:t>
      </w:r>
      <w:r>
        <w:t xml:space="preserve">J Man Manip Ther 2024.</w:t>
      </w:r>
      <w:r>
        <w:t xml:space="preserve"> </w:t>
      </w:r>
      <w:hyperlink r:id="rId92">
        <w:r>
          <w:rPr>
            <w:rStyle w:val="Hyperlink"/>
          </w:rPr>
          <w:t xml:space="preserve">PMID 37908101</w:t>
        </w:r>
      </w:hyperlink>
    </w:p>
    <w:p>
      <w:pPr>
        <w:pStyle w:val="Compact"/>
        <w:numPr>
          <w:ilvl w:val="0"/>
          <w:numId w:val="1047"/>
        </w:numPr>
      </w:pPr>
      <w:r>
        <w:t xml:space="preserve">Bennell KL, Hunt MA, Wrigley TV, Hinman RS, et al. </w:t>
      </w:r>
      <w:r>
        <w:rPr>
          <w:i/>
          <w:iCs/>
        </w:rPr>
        <w:t xml:space="preserve">Hip strengthening reduces symptoms but not knee load in people with medial knee osteoarthritis and varus malalignment: a randomised controlled trial.</w:t>
      </w:r>
      <w:r>
        <w:t xml:space="preserve"> </w:t>
      </w:r>
      <w:r>
        <w:t xml:space="preserve">Osteoarthritis Cartilage 2010;18(5):621-628.</w:t>
      </w:r>
      <w:r>
        <w:t xml:space="preserve"> </w:t>
      </w:r>
      <w:hyperlink r:id="rId93">
        <w:r>
          <w:rPr>
            <w:rStyle w:val="Hyperlink"/>
          </w:rPr>
          <w:t xml:space="preserve">PMID 20175973</w:t>
        </w:r>
      </w:hyperlink>
    </w:p>
    <w:p>
      <w:pPr>
        <w:pStyle w:val="Compact"/>
        <w:numPr>
          <w:ilvl w:val="0"/>
          <w:numId w:val="1047"/>
        </w:numPr>
      </w:pPr>
      <w:r>
        <w:t xml:space="preserve">Backman LJ, Danielson P.</w:t>
      </w:r>
      <w:r>
        <w:t xml:space="preserve"> </w:t>
      </w:r>
      <w:r>
        <w:rPr>
          <w:i/>
          <w:iCs/>
        </w:rPr>
        <w:t xml:space="preserve">Low range of ankle dorsiflexion predisposes for patellar tendinopathy in junior elite basketball players: a 1-year prospective study.</w:t>
      </w:r>
      <w:r>
        <w:t xml:space="preserve"> </w:t>
      </w:r>
      <w:r>
        <w:t xml:space="preserve">Am J Sports Med 2011;39(12):2626-2633.</w:t>
      </w:r>
      <w:r>
        <w:t xml:space="preserve"> </w:t>
      </w:r>
      <w:hyperlink r:id="rId94">
        <w:r>
          <w:rPr>
            <w:rStyle w:val="Hyperlink"/>
          </w:rPr>
          <w:t xml:space="preserve">PMID 21917610</w:t>
        </w:r>
      </w:hyperlink>
    </w:p>
    <w:p>
      <w:pPr>
        <w:pStyle w:val="Compact"/>
        <w:numPr>
          <w:ilvl w:val="0"/>
          <w:numId w:val="1047"/>
        </w:numPr>
      </w:pPr>
      <w:r>
        <w:t xml:space="preserve">Matava MJ, Patton CM, Luhmann S, et al. </w:t>
      </w:r>
      <w:r>
        <w:rPr>
          <w:i/>
          <w:iCs/>
        </w:rPr>
        <w:t xml:space="preserve">Knee pain as the initial symptom of slipped capital femoral epiphysis.</w:t>
      </w:r>
      <w:r>
        <w:t xml:space="preserve"> </w:t>
      </w:r>
      <w:r>
        <w:t xml:space="preserve">J Pediatr Orthop 1999;19(4):455-460.</w:t>
      </w:r>
      <w:r>
        <w:t xml:space="preserve"> </w:t>
      </w:r>
      <w:hyperlink r:id="rId95">
        <w:r>
          <w:rPr>
            <w:rStyle w:val="Hyperlink"/>
          </w:rPr>
          <w:t xml:space="preserve">PMID 10412993</w:t>
        </w:r>
      </w:hyperlink>
    </w:p>
    <w:p>
      <w:pPr>
        <w:pStyle w:val="Compact"/>
        <w:numPr>
          <w:ilvl w:val="0"/>
          <w:numId w:val="1047"/>
        </w:numPr>
      </w:pPr>
      <w:r>
        <w:t xml:space="preserve">Felson DT, Niu J, McClennan C, et al. </w:t>
      </w:r>
      <w:r>
        <w:rPr>
          <w:i/>
          <w:iCs/>
        </w:rPr>
        <w:t xml:space="preserve">Knee buckling: prevalence, risk factors, and associated limitations in function.</w:t>
      </w:r>
      <w:r>
        <w:t xml:space="preserve"> </w:t>
      </w:r>
      <w:r>
        <w:t xml:space="preserve">Ann Intern Med 2007;147(8):534-540.</w:t>
      </w:r>
      <w:r>
        <w:t xml:space="preserve"> </w:t>
      </w:r>
      <w:hyperlink r:id="rId96">
        <w:r>
          <w:rPr>
            <w:rStyle w:val="Hyperlink"/>
          </w:rPr>
          <w:t xml:space="preserve">PMID 17938391</w:t>
        </w:r>
      </w:hyperlink>
    </w:p>
    <w:p>
      <w:pPr>
        <w:pStyle w:val="Compact"/>
        <w:numPr>
          <w:ilvl w:val="0"/>
          <w:numId w:val="1047"/>
        </w:numPr>
      </w:pPr>
      <w:r>
        <w:t xml:space="preserve">Olsen U, et al., 2023. Meta-analisi di 29 studi prospettici e 10.360 pazienti: la catastrofizzazione correla con il dolore a dodici mesi (r = 0,36) più del dolore di partenza (r = 0,13); l’artrosi radiografica più grave correla con meno dolore (r = −0,15).</w:t>
      </w:r>
      <w:r>
        <w:t xml:space="preserve"> </w:t>
      </w:r>
      <w:hyperlink r:id="rId97">
        <w:r>
          <w:rPr>
            <w:rStyle w:val="Hyperlink"/>
          </w:rPr>
          <w:t xml:space="preserve">PMID 36961863</w:t>
        </w:r>
      </w:hyperlink>
    </w:p>
    <w:p>
      <w:pPr>
        <w:pStyle w:val="Compact"/>
        <w:numPr>
          <w:ilvl w:val="0"/>
          <w:numId w:val="1047"/>
        </w:numPr>
      </w:pPr>
      <w:r>
        <w:t xml:space="preserve">Phelps T, Gilby J, Hosking J, Gill J., 2025. Musculoskeletal Care. Meta-analisi di 4 studi randomizzati a basso rischio di bias e 628 pazienti con artrosi di ginocchio: aggiungere alla cura standard terapia cognitivo-comportamentale o addestramento formale alle strategie di gestione del dolore migliora dolore (d = 0,488) e funzione (d = 0,340) fra 3 e 6 mesi.</w:t>
      </w:r>
      <w:r>
        <w:t xml:space="preserve"> </w:t>
      </w:r>
      <w:hyperlink r:id="rId98">
        <w:r>
          <w:rPr>
            <w:rStyle w:val="Hyperlink"/>
          </w:rPr>
          <w:t xml:space="preserve">PMID 40533263</w:t>
        </w:r>
      </w:hyperlink>
    </w:p>
    <w:p>
      <w:pPr>
        <w:pStyle w:val="Compact"/>
        <w:numPr>
          <w:ilvl w:val="0"/>
          <w:numId w:val="1047"/>
        </w:numPr>
      </w:pPr>
      <w:r>
        <w:t xml:space="preserve">Pichonnaz C, et al., 2016. Drenaggio linfatico manuale contro placebo dopo protesi di ginocchio, 60 pazienti, misura in cieco: nessuna differenza a sette giorni né a tre mesi.</w:t>
      </w:r>
      <w:r>
        <w:t xml:space="preserve"> </w:t>
      </w:r>
      <w:hyperlink r:id="rId99">
        <w:r>
          <w:rPr>
            <w:rStyle w:val="Hyperlink"/>
          </w:rPr>
          <w:t xml:space="preserve">PMID 26829760</w:t>
        </w:r>
      </w:hyperlink>
    </w:p>
    <w:p>
      <w:pPr>
        <w:pStyle w:val="Compact"/>
        <w:numPr>
          <w:ilvl w:val="0"/>
          <w:numId w:val="1047"/>
        </w:numPr>
      </w:pPr>
      <w:r>
        <w:t xml:space="preserve">Dobson F, Hinman RS, Bennell KL, et al. </w:t>
      </w:r>
      <w:r>
        <w:rPr>
          <w:i/>
          <w:iCs/>
        </w:rPr>
        <w:t xml:space="preserve">Reliability and measurement error of the OARSI recommended performance-based tests of physical function in people with hip and knee osteoarthritis.</w:t>
      </w:r>
      <w:r>
        <w:t xml:space="preserve"> </w:t>
      </w:r>
      <w:r>
        <w:t xml:space="preserve">Osteoarthritis Cartilage 2017.</w:t>
      </w:r>
      <w:r>
        <w:t xml:space="preserve"> </w:t>
      </w:r>
      <w:hyperlink r:id="rId100">
        <w:r>
          <w:rPr>
            <w:rStyle w:val="Hyperlink"/>
          </w:rPr>
          <w:t xml:space="preserve">PMID 28647467</w:t>
        </w:r>
      </w:hyperlink>
    </w:p>
    <w:p>
      <w:pPr>
        <w:pStyle w:val="Compact"/>
        <w:numPr>
          <w:ilvl w:val="0"/>
          <w:numId w:val="1047"/>
        </w:numPr>
      </w:pPr>
      <w:r>
        <w:t xml:space="preserve">Powden CJ, Hoch JM, Hoch MC.</w:t>
      </w:r>
      <w:r>
        <w:t xml:space="preserve"> </w:t>
      </w:r>
      <w:r>
        <w:rPr>
          <w:i/>
          <w:iCs/>
        </w:rPr>
        <w:t xml:space="preserve">Reliability and minimal detectable change of the weight-bearing lunge test: A systematic review.</w:t>
      </w:r>
      <w:r>
        <w:t xml:space="preserve"> </w:t>
      </w:r>
      <w:r>
        <w:t xml:space="preserve">Man Ther 2015;20(4):524-532.</w:t>
      </w:r>
      <w:r>
        <w:t xml:space="preserve"> </w:t>
      </w:r>
      <w:hyperlink r:id="rId101">
        <w:r>
          <w:rPr>
            <w:rStyle w:val="Hyperlink"/>
          </w:rPr>
          <w:t xml:space="preserve">PMID 25704110</w:t>
        </w:r>
      </w:hyperlink>
    </w:p>
    <w:p>
      <w:pPr>
        <w:pStyle w:val="Compact"/>
        <w:numPr>
          <w:ilvl w:val="0"/>
          <w:numId w:val="1047"/>
        </w:numPr>
      </w:pPr>
      <w:r>
        <w:t xml:space="preserve">de Oliveira FCL, Massé-Alarie H, et al. </w:t>
      </w:r>
      <w:r>
        <w:rPr>
          <w:i/>
          <w:iCs/>
        </w:rPr>
        <w:t xml:space="preserve">Within-Session Test-Retest Reliability of Pressure Pain Threshold and Mechanical Temporal Summation in Chronic Low Back Pain.</w:t>
      </w:r>
      <w:r>
        <w:t xml:space="preserve"> </w:t>
      </w:r>
      <w:r>
        <w:t xml:space="preserve">Clin J Pain 2023;39(4):177-186.</w:t>
      </w:r>
      <w:r>
        <w:t xml:space="preserve"> </w:t>
      </w:r>
      <w:hyperlink r:id="rId102">
        <w:r>
          <w:rPr>
            <w:rStyle w:val="Hyperlink"/>
          </w:rPr>
          <w:t xml:space="preserve">PMID 36917769</w:t>
        </w:r>
      </w:hyperlink>
    </w:p>
    <w:p>
      <w:pPr>
        <w:pStyle w:val="Compact"/>
        <w:numPr>
          <w:ilvl w:val="0"/>
          <w:numId w:val="1047"/>
        </w:numPr>
      </w:pPr>
      <w:r>
        <w:t xml:space="preserve">Skou ST, Roos EM, Laursen MB, et al. </w:t>
      </w:r>
      <w:r>
        <w:rPr>
          <w:i/>
          <w:iCs/>
        </w:rPr>
        <w:t xml:space="preserve">A Randomized, Controlled Trial of Total Knee Replacement.</w:t>
      </w:r>
      <w:r>
        <w:t xml:space="preserve"> </w:t>
      </w:r>
      <w:r>
        <w:t xml:space="preserve">N Engl J Med 2015;373(17):1597-1606.</w:t>
      </w:r>
      <w:r>
        <w:t xml:space="preserve"> </w:t>
      </w:r>
      <w:hyperlink r:id="rId103">
        <w:r>
          <w:rPr>
            <w:rStyle w:val="Hyperlink"/>
          </w:rPr>
          <w:t xml:space="preserve">PMID 26488691</w:t>
        </w:r>
      </w:hyperlink>
    </w:p>
    <w:p>
      <w:pPr>
        <w:pStyle w:val="Compact"/>
        <w:numPr>
          <w:ilvl w:val="0"/>
          <w:numId w:val="1047"/>
        </w:numPr>
      </w:pPr>
      <w:r>
        <w:t xml:space="preserve">Sheldon T, Karas S.</w:t>
      </w:r>
      <w:r>
        <w:t xml:space="preserve"> </w:t>
      </w:r>
      <w:r>
        <w:rPr>
          <w:i/>
          <w:iCs/>
        </w:rPr>
        <w:t xml:space="preserve">Adverse events associated with manual therapy of peripheral joints: a scoping review.</w:t>
      </w:r>
      <w:r>
        <w:t xml:space="preserve"> </w:t>
      </w:r>
      <w:r>
        <w:t xml:space="preserve">J Bodyw Mov Ther 2022.</w:t>
      </w:r>
      <w:r>
        <w:t xml:space="preserve"> </w:t>
      </w:r>
      <w:hyperlink r:id="rId104">
        <w:r>
          <w:rPr>
            <w:rStyle w:val="Hyperlink"/>
          </w:rPr>
          <w:t xml:space="preserve">PMID 35710214</w:t>
        </w:r>
      </w:hyperlink>
    </w:p>
    <w:p>
      <w:pPr>
        <w:pStyle w:val="Compact"/>
        <w:numPr>
          <w:ilvl w:val="0"/>
          <w:numId w:val="1047"/>
        </w:numPr>
      </w:pPr>
      <w:r>
        <w:t xml:space="preserve">Carnes D, Mars TS, Mullinger B, et al. </w:t>
      </w:r>
      <w:r>
        <w:rPr>
          <w:i/>
          <w:iCs/>
        </w:rPr>
        <w:t xml:space="preserve">Adverse events and manual therapy: a systematic review.</w:t>
      </w:r>
      <w:r>
        <w:t xml:space="preserve"> </w:t>
      </w:r>
      <w:r>
        <w:t xml:space="preserve">Man Ther 2010;15(4):355-363.</w:t>
      </w:r>
      <w:r>
        <w:t xml:space="preserve"> </w:t>
      </w:r>
      <w:hyperlink r:id="rId105">
        <w:r>
          <w:rPr>
            <w:rStyle w:val="Hyperlink"/>
          </w:rPr>
          <w:t xml:space="preserve">PMID 20097115</w:t>
        </w:r>
      </w:hyperlink>
    </w:p>
    <w:p>
      <w:pPr>
        <w:pStyle w:val="Compact"/>
        <w:numPr>
          <w:ilvl w:val="0"/>
          <w:numId w:val="1047"/>
        </w:numPr>
      </w:pPr>
      <w:r>
        <w:t xml:space="preserve">Margaretten ME, Kohlwes J, Moore D, Bent S., 2007. JAMA. Revisione su 14 studi e 6.242 pazienti: la febbre ha sensibilità 57% nell’artrite settica dell’adulto.</w:t>
      </w:r>
      <w:r>
        <w:t xml:space="preserve"> </w:t>
      </w:r>
      <w:hyperlink r:id="rId106">
        <w:r>
          <w:rPr>
            <w:rStyle w:val="Hyperlink"/>
          </w:rPr>
          <w:t xml:space="preserve">PMID 17405973</w:t>
        </w:r>
      </w:hyperlink>
    </w:p>
    <w:p>
      <w:pPr>
        <w:pStyle w:val="Compact"/>
        <w:numPr>
          <w:ilvl w:val="0"/>
          <w:numId w:val="1047"/>
        </w:numPr>
      </w:pPr>
      <w:r>
        <w:t xml:space="preserve">Carpenter CR, Schuur JD, Everett WW, Pines JM.</w:t>
      </w:r>
      <w:r>
        <w:t xml:space="preserve"> </w:t>
      </w:r>
      <w:r>
        <w:rPr>
          <w:i/>
          <w:iCs/>
        </w:rPr>
        <w:t xml:space="preserve">Evidence-based diagnostics: adult septic arthritis.</w:t>
      </w:r>
      <w:r>
        <w:t xml:space="preserve"> </w:t>
      </w:r>
      <w:r>
        <w:t xml:space="preserve">Acad Emerg Med 2011;18(8):781-796.</w:t>
      </w:r>
      <w:r>
        <w:t xml:space="preserve"> </w:t>
      </w:r>
      <w:hyperlink r:id="rId107">
        <w:r>
          <w:rPr>
            <w:rStyle w:val="Hyperlink"/>
          </w:rPr>
          <w:t xml:space="preserve">PMID 21843213</w:t>
        </w:r>
      </w:hyperlink>
    </w:p>
    <w:p>
      <w:pPr>
        <w:pStyle w:val="Compact"/>
        <w:numPr>
          <w:ilvl w:val="0"/>
          <w:numId w:val="1047"/>
        </w:numPr>
      </w:pPr>
      <w:r>
        <w:t xml:space="preserve">Bachmann LM, Haberzeth S, Steurer J, ter Riet G.</w:t>
      </w:r>
      <w:r>
        <w:t xml:space="preserve"> </w:t>
      </w:r>
      <w:r>
        <w:rPr>
          <w:i/>
          <w:iCs/>
        </w:rPr>
        <w:t xml:space="preserve">The accuracy of the Ottawa knee rule to rule out knee fractures: a systematic review.</w:t>
      </w:r>
      <w:r>
        <w:t xml:space="preserve"> </w:t>
      </w:r>
      <w:r>
        <w:t xml:space="preserve">Ann Intern Med 2004;140(2):121-124.</w:t>
      </w:r>
      <w:r>
        <w:t xml:space="preserve"> </w:t>
      </w:r>
      <w:hyperlink r:id="rId108">
        <w:r>
          <w:rPr>
            <w:rStyle w:val="Hyperlink"/>
          </w:rPr>
          <w:t xml:space="preserve">PMID 14734335</w:t>
        </w:r>
      </w:hyperlink>
    </w:p>
    <w:p>
      <w:pPr>
        <w:pStyle w:val="Compact"/>
        <w:numPr>
          <w:ilvl w:val="0"/>
          <w:numId w:val="1047"/>
        </w:numPr>
      </w:pPr>
      <w:r>
        <w:t xml:space="preserve">Uvodich M, Schwend R, Stevanovic O, et al. </w:t>
      </w:r>
      <w:r>
        <w:rPr>
          <w:i/>
          <w:iCs/>
        </w:rPr>
        <w:t xml:space="preserve">Patterns of Pain in Adolescents with Slipped Capital Femoral Epiphysis.</w:t>
      </w:r>
      <w:r>
        <w:t xml:space="preserve"> </w:t>
      </w:r>
      <w:r>
        <w:t xml:space="preserve">J Pediatr 2019;206:184-189.</w:t>
      </w:r>
      <w:r>
        <w:t xml:space="preserve"> </w:t>
      </w:r>
      <w:hyperlink r:id="rId109">
        <w:r>
          <w:rPr>
            <w:rStyle w:val="Hyperlink"/>
          </w:rPr>
          <w:t xml:space="preserve">PMID 30454962</w:t>
        </w:r>
      </w:hyperlink>
    </w:p>
    <w:p>
      <w:pPr>
        <w:pStyle w:val="Compact"/>
        <w:numPr>
          <w:ilvl w:val="0"/>
          <w:numId w:val="1047"/>
        </w:numPr>
      </w:pPr>
      <w:r>
        <w:t xml:space="preserve">Ibrahim Y, et al. </w:t>
      </w:r>
      <w:r>
        <w:rPr>
          <w:i/>
          <w:iCs/>
        </w:rPr>
        <w:t xml:space="preserve">Avascular Necrosis and Time to Surgery for Unstable Slipped Capital Femoral Epiphysis.</w:t>
      </w:r>
      <w:r>
        <w:t xml:space="preserve"> </w:t>
      </w:r>
      <w:r>
        <w:t xml:space="preserve">J Pediatr Orthop 2022. 434 scivolamenti instabili, necrosi avascolare aggregata 24% (IC 95% 16-35%), 29% dopo riduzione chiusa.</w:t>
      </w:r>
      <w:r>
        <w:t xml:space="preserve"> </w:t>
      </w:r>
      <w:hyperlink r:id="rId110">
        <w:r>
          <w:rPr>
            <w:rStyle w:val="Hyperlink"/>
          </w:rPr>
          <w:t xml:space="preserve">PMID 35941089</w:t>
        </w:r>
      </w:hyperlink>
    </w:p>
    <w:p>
      <w:pPr>
        <w:pStyle w:val="Compact"/>
        <w:numPr>
          <w:ilvl w:val="0"/>
          <w:numId w:val="1047"/>
        </w:numPr>
      </w:pPr>
      <w:r>
        <w:t xml:space="preserve">Sutham K, et al. </w:t>
      </w:r>
      <w:r>
        <w:rPr>
          <w:i/>
          <w:iCs/>
        </w:rPr>
        <w:t xml:space="preserve">Leg massage during pregnancy with unrecognized deep vein thrombosis could be life threatening.</w:t>
      </w:r>
      <w:r>
        <w:t xml:space="preserve"> </w:t>
      </w:r>
      <w:r>
        <w:t xml:space="preserve">BMC Pregnancy Childbirth 2020.</w:t>
      </w:r>
      <w:r>
        <w:t xml:space="preserve"> </w:t>
      </w:r>
      <w:hyperlink r:id="rId111">
        <w:r>
          <w:rPr>
            <w:rStyle w:val="Hyperlink"/>
          </w:rPr>
          <w:t xml:space="preserve">PMID 32321459</w:t>
        </w:r>
      </w:hyperlink>
    </w:p>
    <w:p>
      <w:pPr>
        <w:pStyle w:val="Compact"/>
        <w:numPr>
          <w:ilvl w:val="0"/>
          <w:numId w:val="1047"/>
        </w:numPr>
      </w:pPr>
      <w:r>
        <w:t xml:space="preserve">Kunitsu Y, et al., 2025. 41.904 pazienti: l’aggiunta di FANS a inibitore del sistema renina-angiotensina più diuretico porta il rischio di danno renale acuto a 2,08 volte quello della doppia terapia.</w:t>
      </w:r>
      <w:r>
        <w:t xml:space="preserve"> </w:t>
      </w:r>
      <w:hyperlink r:id="rId112">
        <w:r>
          <w:rPr>
            <w:rStyle w:val="Hyperlink"/>
          </w:rPr>
          <w:t xml:space="preserve">PMID 40826437</w:t>
        </w:r>
      </w:hyperlink>
    </w:p>
    <w:p>
      <w:pPr>
        <w:pStyle w:val="Compact"/>
        <w:numPr>
          <w:ilvl w:val="0"/>
          <w:numId w:val="1047"/>
        </w:numPr>
      </w:pPr>
      <w:r>
        <w:t xml:space="preserve">Abram SGF, Alvand A, Judge A, Beard DJ, Price AJ.</w:t>
      </w:r>
      <w:r>
        <w:t xml:space="preserve"> </w:t>
      </w:r>
      <w:r>
        <w:rPr>
          <w:i/>
          <w:iCs/>
        </w:rPr>
        <w:t xml:space="preserve">Mortality and adverse joint outcomes following septic arthritis of the native knee: a longitudinal cohort study of patients receiving arthroscopic washout.</w:t>
      </w:r>
      <w:r>
        <w:t xml:space="preserve"> </w:t>
      </w:r>
      <w:r>
        <w:t xml:space="preserve">Lancet Infect Dis 2020;20(3):341-349.</w:t>
      </w:r>
      <w:r>
        <w:t xml:space="preserve"> </w:t>
      </w:r>
      <w:hyperlink r:id="rId113">
        <w:r>
          <w:rPr>
            <w:rStyle w:val="Hyperlink"/>
          </w:rPr>
          <w:t xml:space="preserve">PMID 31862240</w:t>
        </w:r>
      </w:hyperlink>
    </w:p>
    <w:p>
      <w:pPr>
        <w:pStyle w:val="Compact"/>
        <w:numPr>
          <w:ilvl w:val="0"/>
          <w:numId w:val="1047"/>
        </w:numPr>
      </w:pPr>
      <w:r>
        <w:t xml:space="preserve">Roos EM, Roos HP, Lohmander LS, et al. </w:t>
      </w:r>
      <w:r>
        <w:rPr>
          <w:i/>
          <w:iCs/>
        </w:rPr>
        <w:t xml:space="preserve">Knee Injury and Osteoarthritis Outcome Score (KOOS) — development of a self-administered outcome measure.</w:t>
      </w:r>
      <w:r>
        <w:t xml:space="preserve"> </w:t>
      </w:r>
      <w:r>
        <w:t xml:space="preserve">J Orthop Sports Phys Ther 1998;28(2):88-96.</w:t>
      </w:r>
      <w:r>
        <w:t xml:space="preserve"> </w:t>
      </w:r>
      <w:hyperlink r:id="rId114">
        <w:r>
          <w:rPr>
            <w:rStyle w:val="Hyperlink"/>
          </w:rPr>
          <w:t xml:space="preserve">PMID 9699158</w:t>
        </w:r>
      </w:hyperlink>
    </w:p>
    <w:p>
      <w:pPr>
        <w:pStyle w:val="Compact"/>
        <w:numPr>
          <w:ilvl w:val="0"/>
          <w:numId w:val="1047"/>
        </w:numPr>
      </w:pPr>
      <w:r>
        <w:t xml:space="preserve">Schaible HG, Schmidt RF.</w:t>
      </w:r>
      <w:r>
        <w:t xml:space="preserve"> </w:t>
      </w:r>
      <w:r>
        <w:rPr>
          <w:i/>
          <w:iCs/>
        </w:rPr>
        <w:t xml:space="preserve">Effects of an experimental arthritis on the sensory properties of fine articular afferent units.</w:t>
      </w:r>
      <w:r>
        <w:t xml:space="preserve"> </w:t>
      </w:r>
      <w:r>
        <w:t xml:space="preserve">J Neurophysiol 1985;54(5):1109-1122.</w:t>
      </w:r>
      <w:r>
        <w:t xml:space="preserve"> </w:t>
      </w:r>
      <w:hyperlink r:id="rId115">
        <w:r>
          <w:rPr>
            <w:rStyle w:val="Hyperlink"/>
          </w:rPr>
          <w:t xml:space="preserve">PMID 4078610</w:t>
        </w:r>
      </w:hyperlink>
    </w:p>
    <w:p>
      <w:pPr>
        <w:pStyle w:val="Compact"/>
        <w:numPr>
          <w:ilvl w:val="0"/>
          <w:numId w:val="1047"/>
        </w:numPr>
      </w:pPr>
      <w:r>
        <w:t xml:space="preserve">Lawford BJ, Hall M, Hinman RS, Van der Esch M, Harmer AR, Spiers L, Kimp A, Dell’Isola A, Bennell KL.</w:t>
      </w:r>
      <w:r>
        <w:t xml:space="preserve"> </w:t>
      </w:r>
      <w:r>
        <w:rPr>
          <w:i/>
          <w:iCs/>
        </w:rPr>
        <w:t xml:space="preserve">Exercise for osteoarthritis of the knee.</w:t>
      </w:r>
      <w:r>
        <w:t xml:space="preserve"> </w:t>
      </w:r>
      <w:r>
        <w:t xml:space="preserve">Cochrane Database Syst Rev 2024;12:CD004376.pub4.</w:t>
      </w:r>
      <w:r>
        <w:t xml:space="preserve"> </w:t>
      </w:r>
      <w:hyperlink r:id="rId116">
        <w:r>
          <w:rPr>
            <w:rStyle w:val="Hyperlink"/>
          </w:rPr>
          <w:t xml:space="preserve">PMID 39625083</w:t>
        </w:r>
      </w:hyperlink>
    </w:p>
    <w:p>
      <w:pPr>
        <w:pStyle w:val="Compact"/>
        <w:numPr>
          <w:ilvl w:val="0"/>
          <w:numId w:val="1047"/>
        </w:numPr>
      </w:pPr>
      <w:r>
        <w:t xml:space="preserve">Fransen M, McConnell S, Harmer AR, et al. </w:t>
      </w:r>
      <w:r>
        <w:rPr>
          <w:i/>
          <w:iCs/>
        </w:rPr>
        <w:t xml:space="preserve">Exercise for osteoarthritis of the knee.</w:t>
      </w:r>
      <w:r>
        <w:t xml:space="preserve"> </w:t>
      </w:r>
      <w:r>
        <w:t xml:space="preserve">Cochrane Database Syst Rev 2015;1:CD004376. (versione superata dalla precedente; qui usata solo per il dato di decadimento a 2-6 mesi)</w:t>
      </w:r>
      <w:r>
        <w:t xml:space="preserve"> </w:t>
      </w:r>
      <w:hyperlink r:id="rId117">
        <w:r>
          <w:rPr>
            <w:rStyle w:val="Hyperlink"/>
          </w:rPr>
          <w:t xml:space="preserve">PMID 25569281</w:t>
        </w:r>
      </w:hyperlink>
    </w:p>
    <w:p>
      <w:pPr>
        <w:pStyle w:val="Compact"/>
        <w:numPr>
          <w:ilvl w:val="0"/>
          <w:numId w:val="1047"/>
        </w:numPr>
      </w:pPr>
      <w:r>
        <w:t xml:space="preserve">Deyle GD, Henderson NE, Matekel RL, et al. </w:t>
      </w:r>
      <w:r>
        <w:rPr>
          <w:i/>
          <w:iCs/>
        </w:rPr>
        <w:t xml:space="preserve">Effectiveness of manual physical therapy and exercise in osteoarthritis of the knee. A randomized, controlled trial.</w:t>
      </w:r>
      <w:r>
        <w:t xml:space="preserve"> </w:t>
      </w:r>
      <w:r>
        <w:t xml:space="preserve">Ann Intern Med 2000;132(3):173-181.</w:t>
      </w:r>
      <w:r>
        <w:t xml:space="preserve"> </w:t>
      </w:r>
      <w:hyperlink r:id="rId118">
        <w:r>
          <w:rPr>
            <w:rStyle w:val="Hyperlink"/>
          </w:rPr>
          <w:t xml:space="preserve">PMID 10651597</w:t>
        </w:r>
      </w:hyperlink>
    </w:p>
    <w:p>
      <w:pPr>
        <w:pStyle w:val="Compact"/>
        <w:numPr>
          <w:ilvl w:val="0"/>
          <w:numId w:val="1047"/>
        </w:numPr>
      </w:pPr>
      <w:r>
        <w:t xml:space="preserve">Abbott JH, Robertson MC, Chapple C, et al. </w:t>
      </w:r>
      <w:r>
        <w:rPr>
          <w:i/>
          <w:iCs/>
        </w:rPr>
        <w:t xml:space="preserve">Manual therapy, exercise therapy, or both, in addition to usual care, for osteoarthritis of the hip or knee: a randomized controlled trial. 1: clinical effectiveness.</w:t>
      </w:r>
      <w:r>
        <w:t xml:space="preserve"> </w:t>
      </w:r>
      <w:r>
        <w:t xml:space="preserve">Osteoarthritis Cartilage 2013;21(4):525-534.</w:t>
      </w:r>
      <w:r>
        <w:t xml:space="preserve"> </w:t>
      </w:r>
      <w:hyperlink r:id="rId119">
        <w:r>
          <w:rPr>
            <w:rStyle w:val="Hyperlink"/>
          </w:rPr>
          <w:t xml:space="preserve">PMID 23313532</w:t>
        </w:r>
      </w:hyperlink>
    </w:p>
    <w:p>
      <w:pPr>
        <w:pStyle w:val="Compact"/>
        <w:numPr>
          <w:ilvl w:val="0"/>
          <w:numId w:val="1047"/>
        </w:numPr>
      </w:pPr>
      <w:r>
        <w:t xml:space="preserve">Ribeiro DC, Lamb SE, Abbott JH, 2024. Analisi di mediazione sui 206 partecipanti del MOA trial: la credenza sul dolore media l’effetto della terapia manuale (b −10,7; IC 95% −22,3, −0,9) e dell’esercizio (b −14,5); la forza funzionale non media nulla.</w:t>
      </w:r>
      <w:r>
        <w:t xml:space="preserve"> </w:t>
      </w:r>
      <w:hyperlink r:id="rId120">
        <w:r>
          <w:rPr>
            <w:rStyle w:val="Hyperlink"/>
          </w:rPr>
          <w:t xml:space="preserve">PMID 38304412</w:t>
        </w:r>
      </w:hyperlink>
    </w:p>
    <w:p>
      <w:pPr>
        <w:pStyle w:val="Compact"/>
        <w:numPr>
          <w:ilvl w:val="0"/>
          <w:numId w:val="1047"/>
        </w:numPr>
      </w:pPr>
      <w:r>
        <w:t xml:space="preserve">Runge N, Aina A, May S.</w:t>
      </w:r>
      <w:r>
        <w:t xml:space="preserve"> </w:t>
      </w:r>
      <w:r>
        <w:rPr>
          <w:i/>
          <w:iCs/>
        </w:rPr>
        <w:t xml:space="preserve">The Benefits of Adding Manual Therapy to Exercise Therapy for Improving Pain and Function in Patients With Knee or Hip Osteoarthritis: A Systematic Review With Meta-analysis.</w:t>
      </w:r>
      <w:r>
        <w:t xml:space="preserve"> </w:t>
      </w:r>
      <w:r>
        <w:t xml:space="preserve">J Orthop Sports Phys Ther 2022;52(10):675-684.</w:t>
      </w:r>
      <w:r>
        <w:t xml:space="preserve"> </w:t>
      </w:r>
      <w:hyperlink r:id="rId121">
        <w:r>
          <w:rPr>
            <w:rStyle w:val="Hyperlink"/>
          </w:rPr>
          <w:t xml:space="preserve">PMID 35881705</w:t>
        </w:r>
      </w:hyperlink>
    </w:p>
    <w:p>
      <w:pPr>
        <w:pStyle w:val="Compact"/>
        <w:numPr>
          <w:ilvl w:val="0"/>
          <w:numId w:val="1047"/>
        </w:numPr>
      </w:pPr>
      <w:r>
        <w:t xml:space="preserve">Kise NJ, Risberg MA, Stensrud S, et al. </w:t>
      </w:r>
      <w:r>
        <w:rPr>
          <w:i/>
          <w:iCs/>
        </w:rPr>
        <w:t xml:space="preserve">Exercise therapy versus arthroscopic partial meniscectomy for degenerative meniscal tear in middle aged patients: randomised controlled trial with two year follow-up.</w:t>
      </w:r>
      <w:r>
        <w:t xml:space="preserve"> </w:t>
      </w:r>
      <w:r>
        <w:t xml:space="preserve">BMJ 2016;354:i3740.</w:t>
      </w:r>
      <w:r>
        <w:t xml:space="preserve"> </w:t>
      </w:r>
      <w:hyperlink r:id="rId122">
        <w:r>
          <w:rPr>
            <w:rStyle w:val="Hyperlink"/>
          </w:rPr>
          <w:t xml:space="preserve">PMID 27440192</w:t>
        </w:r>
      </w:hyperlink>
    </w:p>
    <w:p>
      <w:pPr>
        <w:pStyle w:val="Compact"/>
        <w:numPr>
          <w:ilvl w:val="0"/>
          <w:numId w:val="1047"/>
        </w:numPr>
      </w:pPr>
      <w:r>
        <w:t xml:space="preserve">Sihvonen R, Paavola M, Malmivaara A, et al. </w:t>
      </w:r>
      <w:r>
        <w:rPr>
          <w:i/>
          <w:iCs/>
        </w:rPr>
        <w:t xml:space="preserve">Arthroscopic partial meniscectomy versus sham surgery for a degenerative meniscal tear.</w:t>
      </w:r>
      <w:r>
        <w:t xml:space="preserve"> </w:t>
      </w:r>
      <w:r>
        <w:t xml:space="preserve">N Engl J Med 2013;369(26):2515-2524.</w:t>
      </w:r>
      <w:r>
        <w:t xml:space="preserve"> </w:t>
      </w:r>
      <w:hyperlink r:id="rId123">
        <w:r>
          <w:rPr>
            <w:rStyle w:val="Hyperlink"/>
          </w:rPr>
          <w:t xml:space="preserve">PMID 24369076</w:t>
        </w:r>
      </w:hyperlink>
    </w:p>
    <w:p>
      <w:pPr>
        <w:pStyle w:val="Compact"/>
        <w:numPr>
          <w:ilvl w:val="0"/>
          <w:numId w:val="1047"/>
        </w:numPr>
      </w:pPr>
      <w:r>
        <w:t xml:space="preserve">Parkes MJ, Maricar N, Lunt M, Felson DT, et al. </w:t>
      </w:r>
      <w:r>
        <w:rPr>
          <w:i/>
          <w:iCs/>
        </w:rPr>
        <w:t xml:space="preserve">Lateral wedge insoles as a conservative treatment for pain in patients with medial knee osteoarthritis: a meta-analysis.</w:t>
      </w:r>
      <w:r>
        <w:t xml:space="preserve"> </w:t>
      </w:r>
      <w:r>
        <w:t xml:space="preserve">JAMA 2013;310(7):722-730.</w:t>
      </w:r>
      <w:r>
        <w:t xml:space="preserve"> </w:t>
      </w:r>
      <w:hyperlink r:id="rId124">
        <w:r>
          <w:rPr>
            <w:rStyle w:val="Hyperlink"/>
          </w:rPr>
          <w:t xml:space="preserve">PMID 23989797</w:t>
        </w:r>
      </w:hyperlink>
    </w:p>
    <w:p>
      <w:pPr>
        <w:pStyle w:val="Compact"/>
        <w:numPr>
          <w:ilvl w:val="0"/>
          <w:numId w:val="1047"/>
        </w:numPr>
      </w:pPr>
      <w:r>
        <w:t xml:space="preserve">Collins NJ, Barton CJ, van Middelkoop M, et al. </w:t>
      </w:r>
      <w:r>
        <w:rPr>
          <w:i/>
          <w:iCs/>
        </w:rPr>
        <w:t xml:space="preserve">2018 Consensus statement on exercise therapy and physical interventions (orthoses, taping and manual therapy) to treat patellofemoral pain.</w:t>
      </w:r>
      <w:r>
        <w:t xml:space="preserve"> </w:t>
      </w:r>
      <w:r>
        <w:t xml:space="preserve">Br J Sports Med 2018;52(18):1170-1178.</w:t>
      </w:r>
      <w:r>
        <w:t xml:space="preserve"> </w:t>
      </w:r>
      <w:hyperlink r:id="rId125">
        <w:r>
          <w:rPr>
            <w:rStyle w:val="Hyperlink"/>
          </w:rPr>
          <w:t xml:space="preserve">PMID 29925502</w:t>
        </w:r>
      </w:hyperlink>
    </w:p>
    <w:p>
      <w:pPr>
        <w:pStyle w:val="Compact"/>
        <w:numPr>
          <w:ilvl w:val="0"/>
          <w:numId w:val="1047"/>
        </w:numPr>
      </w:pPr>
      <w:r>
        <w:t xml:space="preserve">Abdo N, Youssef EF, Ibrahim MM., 2025. Sci Rep. 53 adulti con dolore femoro-rotuleo, doppio cieco, 12 sedute in 4 settimane: aggiungere mobilizzazione rotulea, rilascio della bandelletta ileo-tibiale e massaggio del retinacolo laterale agli esercizi di anca e ginocchio non produce differenza fra i gruppi su nessuna variabile.</w:t>
      </w:r>
      <w:r>
        <w:t xml:space="preserve"> </w:t>
      </w:r>
      <w:hyperlink r:id="rId126">
        <w:r>
          <w:rPr>
            <w:rStyle w:val="Hyperlink"/>
          </w:rPr>
          <w:t xml:space="preserve">PMID 40987761</w:t>
        </w:r>
      </w:hyperlink>
    </w:p>
    <w:p>
      <w:pPr>
        <w:pStyle w:val="Compact"/>
        <w:numPr>
          <w:ilvl w:val="0"/>
          <w:numId w:val="1047"/>
        </w:numPr>
      </w:pPr>
      <w:r>
        <w:t xml:space="preserve">Weppler CH, Magnusson SP., 2010. Phys Ther. I guadagni di escursione dopo una seduta e dopo programmi di 3-8 settimane sono attribuibili a modifica della sensazione, non ad allungamento del tessuto.</w:t>
      </w:r>
      <w:r>
        <w:t xml:space="preserve"> </w:t>
      </w:r>
      <w:hyperlink r:id="rId127">
        <w:r>
          <w:rPr>
            <w:rStyle w:val="Hyperlink"/>
          </w:rPr>
          <w:t xml:space="preserve">PMID 20075147</w:t>
        </w:r>
      </w:hyperlink>
    </w:p>
    <w:p>
      <w:pPr>
        <w:pStyle w:val="Compact"/>
        <w:numPr>
          <w:ilvl w:val="0"/>
          <w:numId w:val="1047"/>
        </w:numPr>
      </w:pPr>
      <w:r>
        <w:t xml:space="preserve">Spencer JD, Hayes KC, Alexander IJ., 1984. Arch Phys Med Rehabil. L’ampiezza del riflesso H cala linearmente con il volume infuso nel ginocchio, con soglia fra 20 e 30 ml; l’anestetico intrarticolare non riproduce l’inibizione.</w:t>
      </w:r>
      <w:r>
        <w:t xml:space="preserve"> </w:t>
      </w:r>
      <w:hyperlink r:id="rId128">
        <w:r>
          <w:rPr>
            <w:rStyle w:val="Hyperlink"/>
          </w:rPr>
          <w:t xml:space="preserve">PMID 6712434</w:t>
        </w:r>
      </w:hyperlink>
    </w:p>
    <w:p>
      <w:pPr>
        <w:pStyle w:val="Compact"/>
        <w:numPr>
          <w:ilvl w:val="0"/>
          <w:numId w:val="1047"/>
        </w:numPr>
      </w:pPr>
      <w:r>
        <w:t xml:space="preserve">Liljencrantz J, Strigo I, Ellingsen DM, et al., 2017. Eur J Pain. 44 volontari sani: lo sfioramento lento, alla velocità ottimale per le fibre C-tattili, riduce il dolore da calore cutaneo; sfioramento veloce e vibrazione no. Gli autori dichiarano ignoto il meccanismo preciso.</w:t>
      </w:r>
      <w:r>
        <w:t xml:space="preserve"> </w:t>
      </w:r>
      <w:hyperlink r:id="rId129">
        <w:r>
          <w:rPr>
            <w:rStyle w:val="Hyperlink"/>
          </w:rPr>
          <w:t xml:space="preserve">PMID 28263013</w:t>
        </w:r>
      </w:hyperlink>
    </w:p>
    <w:p>
      <w:pPr>
        <w:pStyle w:val="Compact"/>
        <w:numPr>
          <w:ilvl w:val="0"/>
          <w:numId w:val="1047"/>
        </w:numPr>
      </w:pPr>
      <w:r>
        <w:t xml:space="preserve">Fingleton C, Smart KM, Doody CM., 2017. Clin J Pain. 40 pazienti con artrosi di ginocchio divisi per efficienza della modulazione condizionata del dolore e 20 controlli sani: una singola seduta di esercizio aerobico o isometrico alza le soglie pressorie in chi ha modulazione normale (p = 0,011 e p = 0,013) e le abbassa in chi l’ha inefficiente.</w:t>
      </w:r>
      <w:r>
        <w:t xml:space="preserve"> </w:t>
      </w:r>
      <w:hyperlink r:id="rId130">
        <w:r>
          <w:rPr>
            <w:rStyle w:val="Hyperlink"/>
          </w:rPr>
          <w:t xml:space="preserve">PMID 27518487</w:t>
        </w:r>
      </w:hyperlink>
    </w:p>
    <w:p>
      <w:pPr>
        <w:pStyle w:val="Compact"/>
        <w:numPr>
          <w:ilvl w:val="0"/>
          <w:numId w:val="1047"/>
        </w:numPr>
      </w:pPr>
      <w:r>
        <w:t xml:space="preserve">van der Heijden RA, Lankhorst NE, van Linschoten R, et al. </w:t>
      </w:r>
      <w:r>
        <w:rPr>
          <w:i/>
          <w:iCs/>
        </w:rPr>
        <w:t xml:space="preserve">Exercise for treating patellofemoral pain syndrome.</w:t>
      </w:r>
      <w:r>
        <w:t xml:space="preserve"> </w:t>
      </w:r>
      <w:r>
        <w:t xml:space="preserve">Cochrane Database Syst Rev 2015;1:CD010387.</w:t>
      </w:r>
      <w:r>
        <w:t xml:space="preserve"> </w:t>
      </w:r>
      <w:hyperlink r:id="rId131">
        <w:r>
          <w:rPr>
            <w:rStyle w:val="Hyperlink"/>
          </w:rPr>
          <w:t xml:space="preserve">PMID 25603546</w:t>
        </w:r>
      </w:hyperlink>
    </w:p>
    <w:p>
      <w:pPr>
        <w:pStyle w:val="Compact"/>
        <w:numPr>
          <w:ilvl w:val="0"/>
          <w:numId w:val="1047"/>
        </w:numPr>
      </w:pPr>
      <w:r>
        <w:t xml:space="preserve">Lo GH, Vinod S, Richard MJ, et al. </w:t>
      </w:r>
      <w:r>
        <w:rPr>
          <w:i/>
          <w:iCs/>
        </w:rPr>
        <w:t xml:space="preserve">Association Between Walking for Exercise and Symptomatic and Structural Progression in Individuals With Knee Osteoarthritis: Data From the Osteoarthritis Initiative Cohort.</w:t>
      </w:r>
      <w:r>
        <w:t xml:space="preserve"> </w:t>
      </w:r>
      <w:r>
        <w:t xml:space="preserve">Arthritis Rheumatol 2022.</w:t>
      </w:r>
      <w:r>
        <w:t xml:space="preserve"> </w:t>
      </w:r>
      <w:hyperlink r:id="rId132">
        <w:r>
          <w:rPr>
            <w:rStyle w:val="Hyperlink"/>
          </w:rPr>
          <w:t xml:space="preserve">PMID 35673832</w:t>
        </w:r>
      </w:hyperlink>
    </w:p>
    <w:p>
      <w:pPr>
        <w:pStyle w:val="Compact"/>
        <w:numPr>
          <w:ilvl w:val="0"/>
          <w:numId w:val="1047"/>
        </w:numPr>
      </w:pPr>
      <w:r>
        <w:t xml:space="preserve">Messier SP, Mihalko SL, Beavers DP, et al. </w:t>
      </w:r>
      <w:r>
        <w:rPr>
          <w:i/>
          <w:iCs/>
        </w:rPr>
        <w:t xml:space="preserve">Effect of High-Intensity Strength Training on Knee Pain and Knee Joint Compressive Forces Among Adults With Knee Osteoarthritis: The START Randomized Clinical Trial.</w:t>
      </w:r>
      <w:r>
        <w:t xml:space="preserve"> </w:t>
      </w:r>
      <w:r>
        <w:t xml:space="preserve">JAMA 2021;325(7):646-657.</w:t>
      </w:r>
      <w:r>
        <w:t xml:space="preserve"> </w:t>
      </w:r>
      <w:hyperlink r:id="rId133">
        <w:r>
          <w:rPr>
            <w:rStyle w:val="Hyperlink"/>
          </w:rPr>
          <w:t xml:space="preserve">PMID 33591346</w:t>
        </w:r>
      </w:hyperlink>
    </w:p>
    <w:p>
      <w:pPr>
        <w:pStyle w:val="Compact"/>
        <w:numPr>
          <w:ilvl w:val="0"/>
          <w:numId w:val="1047"/>
        </w:numPr>
      </w:pPr>
      <w:r>
        <w:t xml:space="preserve">Roos EM, Barton CJ, Davis AM, et al. </w:t>
      </w:r>
      <w:r>
        <w:rPr>
          <w:i/>
          <w:iCs/>
        </w:rPr>
        <w:t xml:space="preserve">Immediate outcomes following the GLA:D program in Denmark, Canada and Australia. A longitudinal analysis including 28,370 patients with symptomatic knee or hip osteoarthritis.</w:t>
      </w:r>
      <w:r>
        <w:t xml:space="preserve"> </w:t>
      </w:r>
      <w:r>
        <w:t xml:space="preserve">Osteoarthritis Cartilage 2021;29(4):502-506.</w:t>
      </w:r>
      <w:r>
        <w:t xml:space="preserve"> </w:t>
      </w:r>
      <w:hyperlink r:id="rId134">
        <w:r>
          <w:rPr>
            <w:rStyle w:val="Hyperlink"/>
          </w:rPr>
          <w:t xml:space="preserve">PMID 33561542</w:t>
        </w:r>
      </w:hyperlink>
    </w:p>
    <w:p>
      <w:pPr>
        <w:pStyle w:val="Compact"/>
        <w:numPr>
          <w:ilvl w:val="0"/>
          <w:numId w:val="1047"/>
        </w:numPr>
      </w:pPr>
      <w:r>
        <w:t xml:space="preserve">Smith KM, Massey BJ, Young JL, Rhon DI.</w:t>
      </w:r>
      <w:r>
        <w:t xml:space="preserve"> </w:t>
      </w:r>
      <w:r>
        <w:rPr>
          <w:i/>
          <w:iCs/>
        </w:rPr>
        <w:t xml:space="preserve">What are the unsupervised exercise adherence rates in clinical trials for knee osteoarthritis? A systematic review.</w:t>
      </w:r>
      <w:r>
        <w:t xml:space="preserve"> </w:t>
      </w:r>
      <w:r>
        <w:t xml:space="preserve">Braz J Phys Ther 2023.</w:t>
      </w:r>
      <w:r>
        <w:t xml:space="preserve"> </w:t>
      </w:r>
      <w:hyperlink r:id="rId135">
        <w:r>
          <w:rPr>
            <w:rStyle w:val="Hyperlink"/>
          </w:rPr>
          <w:t xml:space="preserve">PMID 37597491</w:t>
        </w:r>
      </w:hyperlink>
    </w:p>
    <w:p>
      <w:pPr>
        <w:pStyle w:val="Compact"/>
        <w:numPr>
          <w:ilvl w:val="0"/>
          <w:numId w:val="1047"/>
        </w:numPr>
      </w:pPr>
      <w:r>
        <w:t xml:space="preserve">Nicolson PJA, Bennell KL, Dobson FL, Van Ginckel A, Holden MA, Hinman RS.</w:t>
      </w:r>
      <w:r>
        <w:t xml:space="preserve"> </w:t>
      </w:r>
      <w:r>
        <w:rPr>
          <w:i/>
          <w:iCs/>
        </w:rPr>
        <w:t xml:space="preserve">Interventions to increase adherence to therapeutic exercise in older adults with low back pain and/or hip/knee osteoarthritis: a systematic review and meta-analysis.</w:t>
      </w:r>
      <w:r>
        <w:t xml:space="preserve"> </w:t>
      </w:r>
      <w:r>
        <w:t xml:space="preserve">Br J Sports Med 2017;51(10):791-799.</w:t>
      </w:r>
      <w:r>
        <w:t xml:space="preserve"> </w:t>
      </w:r>
      <w:hyperlink r:id="rId136">
        <w:r>
          <w:rPr>
            <w:rStyle w:val="Hyperlink"/>
          </w:rPr>
          <w:t xml:space="preserve">PMID 28087567</w:t>
        </w:r>
      </w:hyperlink>
    </w:p>
    <w:p>
      <w:pPr>
        <w:pStyle w:val="Compact"/>
        <w:numPr>
          <w:ilvl w:val="0"/>
          <w:numId w:val="1047"/>
        </w:numPr>
      </w:pPr>
      <w:r>
        <w:t xml:space="preserve">Bunzli S, O’Brien P, Ayton D, Dowsey M, Gunn J, Choong P, Manski-Nankervis JA.</w:t>
      </w:r>
      <w:r>
        <w:t xml:space="preserve"> </w:t>
      </w:r>
      <w:r>
        <w:rPr>
          <w:i/>
          <w:iCs/>
        </w:rPr>
        <w:t xml:space="preserve">Misconceptions and the Acceptance of Evidence-based Nonsurgical Interventions for Knee Osteoarthritis. A Qualitative Study.</w:t>
      </w:r>
      <w:r>
        <w:t xml:space="preserve"> </w:t>
      </w:r>
      <w:r>
        <w:t xml:space="preserve">Clin Orthop Relat Res 2019;477(9):1975-1983.</w:t>
      </w:r>
      <w:r>
        <w:t xml:space="preserve"> </w:t>
      </w:r>
      <w:hyperlink r:id="rId137">
        <w:r>
          <w:rPr>
            <w:rStyle w:val="Hyperlink"/>
          </w:rPr>
          <w:t xml:space="preserve">PMID 31192807</w:t>
        </w:r>
      </w:hyperlink>
    </w:p>
    <w:bookmarkEnd w:id="138"/>
    <w:bookmarkEnd w:id="1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it-IT"/>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5" Target="https://pubmed.ncbi.nlm.nih.gov/10412993/" TargetMode="External" /><Relationship Type="http://schemas.openxmlformats.org/officeDocument/2006/relationships/hyperlink" Id="rId118" Target="https://pubmed.ncbi.nlm.nih.gov/10651597/" TargetMode="External" /><Relationship Type="http://schemas.openxmlformats.org/officeDocument/2006/relationships/hyperlink" Id="rId108" Target="https://pubmed.ncbi.nlm.nih.gov/14734335/" TargetMode="External" /><Relationship Type="http://schemas.openxmlformats.org/officeDocument/2006/relationships/hyperlink" Id="rId106" Target="https://pubmed.ncbi.nlm.nih.gov/17405973/" TargetMode="External" /><Relationship Type="http://schemas.openxmlformats.org/officeDocument/2006/relationships/hyperlink" Id="rId96" Target="https://pubmed.ncbi.nlm.nih.gov/17938391/" TargetMode="External" /><Relationship Type="http://schemas.openxmlformats.org/officeDocument/2006/relationships/hyperlink" Id="rId80" Target="https://pubmed.ncbi.nlm.nih.gov/18764949/" TargetMode="External" /><Relationship Type="http://schemas.openxmlformats.org/officeDocument/2006/relationships/hyperlink" Id="rId84" Target="https://pubmed.ncbi.nlm.nih.gov/18784100/" TargetMode="External" /><Relationship Type="http://schemas.openxmlformats.org/officeDocument/2006/relationships/hyperlink" Id="rId75" Target="https://pubmed.ncbi.nlm.nih.gov/19762361/" TargetMode="External" /><Relationship Type="http://schemas.openxmlformats.org/officeDocument/2006/relationships/hyperlink" Id="rId86" Target="https://pubmed.ncbi.nlm.nih.gov/19954822/" TargetMode="External" /><Relationship Type="http://schemas.openxmlformats.org/officeDocument/2006/relationships/hyperlink" Id="rId127" Target="https://pubmed.ncbi.nlm.nih.gov/20075147/" TargetMode="External" /><Relationship Type="http://schemas.openxmlformats.org/officeDocument/2006/relationships/hyperlink" Id="rId105" Target="https://pubmed.ncbi.nlm.nih.gov/20097115/" TargetMode="External" /><Relationship Type="http://schemas.openxmlformats.org/officeDocument/2006/relationships/hyperlink" Id="rId93" Target="https://pubmed.ncbi.nlm.nih.gov/20175973/" TargetMode="External" /><Relationship Type="http://schemas.openxmlformats.org/officeDocument/2006/relationships/hyperlink" Id="rId90" Target="https://pubmed.ncbi.nlm.nih.gov/20418016/" TargetMode="External" /><Relationship Type="http://schemas.openxmlformats.org/officeDocument/2006/relationships/hyperlink" Id="rId83" Target="https://pubmed.ncbi.nlm.nih.gov/20537336/" TargetMode="External" /><Relationship Type="http://schemas.openxmlformats.org/officeDocument/2006/relationships/hyperlink" Id="rId107" Target="https://pubmed.ncbi.nlm.nih.gov/21843213/" TargetMode="External" /><Relationship Type="http://schemas.openxmlformats.org/officeDocument/2006/relationships/hyperlink" Id="rId94" Target="https://pubmed.ncbi.nlm.nih.gov/21917610/" TargetMode="External" /><Relationship Type="http://schemas.openxmlformats.org/officeDocument/2006/relationships/hyperlink" Id="rId119" Target="https://pubmed.ncbi.nlm.nih.gov/23313532/" TargetMode="External" /><Relationship Type="http://schemas.openxmlformats.org/officeDocument/2006/relationships/hyperlink" Id="rId124" Target="https://pubmed.ncbi.nlm.nih.gov/23989797/" TargetMode="External" /><Relationship Type="http://schemas.openxmlformats.org/officeDocument/2006/relationships/hyperlink" Id="rId85" Target="https://pubmed.ncbi.nlm.nih.gov/24065013/" TargetMode="External" /><Relationship Type="http://schemas.openxmlformats.org/officeDocument/2006/relationships/hyperlink" Id="rId123" Target="https://pubmed.ncbi.nlm.nih.gov/24369076/" TargetMode="External" /><Relationship Type="http://schemas.openxmlformats.org/officeDocument/2006/relationships/hyperlink" Id="rId89" Target="https://pubmed.ncbi.nlm.nih.gov/24490843/" TargetMode="External" /><Relationship Type="http://schemas.openxmlformats.org/officeDocument/2006/relationships/hyperlink" Id="rId87" Target="https://pubmed.ncbi.nlm.nih.gov/25497133/" TargetMode="External" /><Relationship Type="http://schemas.openxmlformats.org/officeDocument/2006/relationships/hyperlink" Id="rId117" Target="https://pubmed.ncbi.nlm.nih.gov/25569281/" TargetMode="External" /><Relationship Type="http://schemas.openxmlformats.org/officeDocument/2006/relationships/hyperlink" Id="rId91" Target="https://pubmed.ncbi.nlm.nih.gov/25599301/" TargetMode="External" /><Relationship Type="http://schemas.openxmlformats.org/officeDocument/2006/relationships/hyperlink" Id="rId131" Target="https://pubmed.ncbi.nlm.nih.gov/25603546/" TargetMode="External" /><Relationship Type="http://schemas.openxmlformats.org/officeDocument/2006/relationships/hyperlink" Id="rId101" Target="https://pubmed.ncbi.nlm.nih.gov/25704110/" TargetMode="External" /><Relationship Type="http://schemas.openxmlformats.org/officeDocument/2006/relationships/hyperlink" Id="rId78" Target="https://pubmed.ncbi.nlm.nih.gov/26463119/" TargetMode="External" /><Relationship Type="http://schemas.openxmlformats.org/officeDocument/2006/relationships/hyperlink" Id="rId103" Target="https://pubmed.ncbi.nlm.nih.gov/26488691/" TargetMode="External" /><Relationship Type="http://schemas.openxmlformats.org/officeDocument/2006/relationships/hyperlink" Id="rId99" Target="https://pubmed.ncbi.nlm.nih.gov/26829760/" TargetMode="External" /><Relationship Type="http://schemas.openxmlformats.org/officeDocument/2006/relationships/hyperlink" Id="rId77" Target="https://pubmed.ncbi.nlm.nih.gov/26882927/" TargetMode="External" /><Relationship Type="http://schemas.openxmlformats.org/officeDocument/2006/relationships/hyperlink" Id="rId122" Target="https://pubmed.ncbi.nlm.nih.gov/27440192/" TargetMode="External" /><Relationship Type="http://schemas.openxmlformats.org/officeDocument/2006/relationships/hyperlink" Id="rId130" Target="https://pubmed.ncbi.nlm.nih.gov/27518487/" TargetMode="External" /><Relationship Type="http://schemas.openxmlformats.org/officeDocument/2006/relationships/hyperlink" Id="rId136" Target="https://pubmed.ncbi.nlm.nih.gov/28087567/" TargetMode="External" /><Relationship Type="http://schemas.openxmlformats.org/officeDocument/2006/relationships/hyperlink" Id="rId129" Target="https://pubmed.ncbi.nlm.nih.gov/28263013/" TargetMode="External" /><Relationship Type="http://schemas.openxmlformats.org/officeDocument/2006/relationships/hyperlink" Id="rId100" Target="https://pubmed.ncbi.nlm.nih.gov/28647467/" TargetMode="External" /><Relationship Type="http://schemas.openxmlformats.org/officeDocument/2006/relationships/hyperlink" Id="rId81" Target="https://pubmed.ncbi.nlm.nih.gov/29163027/" TargetMode="External" /><Relationship Type="http://schemas.openxmlformats.org/officeDocument/2006/relationships/hyperlink" Id="rId125" Target="https://pubmed.ncbi.nlm.nih.gov/29925502/" TargetMode="External" /><Relationship Type="http://schemas.openxmlformats.org/officeDocument/2006/relationships/hyperlink" Id="rId109" Target="https://pubmed.ncbi.nlm.nih.gov/30454962/" TargetMode="External" /><Relationship Type="http://schemas.openxmlformats.org/officeDocument/2006/relationships/hyperlink" Id="rId137" Target="https://pubmed.ncbi.nlm.nih.gov/31192807/" TargetMode="External" /><Relationship Type="http://schemas.openxmlformats.org/officeDocument/2006/relationships/hyperlink" Id="rId113" Target="https://pubmed.ncbi.nlm.nih.gov/31862240/" TargetMode="External" /><Relationship Type="http://schemas.openxmlformats.org/officeDocument/2006/relationships/hyperlink" Id="rId72" Target="https://pubmed.ncbi.nlm.nih.gov/32268027/" TargetMode="External" /><Relationship Type="http://schemas.openxmlformats.org/officeDocument/2006/relationships/hyperlink" Id="rId111" Target="https://pubmed.ncbi.nlm.nih.gov/32321459/" TargetMode="External" /><Relationship Type="http://schemas.openxmlformats.org/officeDocument/2006/relationships/hyperlink" Id="rId134" Target="https://pubmed.ncbi.nlm.nih.gov/33561542/" TargetMode="External" /><Relationship Type="http://schemas.openxmlformats.org/officeDocument/2006/relationships/hyperlink" Id="rId133" Target="https://pubmed.ncbi.nlm.nih.gov/33591346/" TargetMode="External" /><Relationship Type="http://schemas.openxmlformats.org/officeDocument/2006/relationships/hyperlink" Id="rId76" Target="https://pubmed.ncbi.nlm.nih.gov/34505846/" TargetMode="External" /><Relationship Type="http://schemas.openxmlformats.org/officeDocument/2006/relationships/hyperlink" Id="rId79" Target="https://pubmed.ncbi.nlm.nih.gov/34843043/" TargetMode="External" /><Relationship Type="http://schemas.openxmlformats.org/officeDocument/2006/relationships/hyperlink" Id="rId88" Target="https://pubmed.ncbi.nlm.nih.gov/34916210/" TargetMode="External" /><Relationship Type="http://schemas.openxmlformats.org/officeDocument/2006/relationships/hyperlink" Id="rId132" Target="https://pubmed.ncbi.nlm.nih.gov/35673832/" TargetMode="External" /><Relationship Type="http://schemas.openxmlformats.org/officeDocument/2006/relationships/hyperlink" Id="rId104" Target="https://pubmed.ncbi.nlm.nih.gov/35710214/" TargetMode="External" /><Relationship Type="http://schemas.openxmlformats.org/officeDocument/2006/relationships/hyperlink" Id="rId121" Target="https://pubmed.ncbi.nlm.nih.gov/35881705/" TargetMode="External" /><Relationship Type="http://schemas.openxmlformats.org/officeDocument/2006/relationships/hyperlink" Id="rId110" Target="https://pubmed.ncbi.nlm.nih.gov/35941089/" TargetMode="External" /><Relationship Type="http://schemas.openxmlformats.org/officeDocument/2006/relationships/hyperlink" Id="rId102" Target="https://pubmed.ncbi.nlm.nih.gov/36917769/" TargetMode="External" /><Relationship Type="http://schemas.openxmlformats.org/officeDocument/2006/relationships/hyperlink" Id="rId97" Target="https://pubmed.ncbi.nlm.nih.gov/36961863/" TargetMode="External" /><Relationship Type="http://schemas.openxmlformats.org/officeDocument/2006/relationships/hyperlink" Id="rId135" Target="https://pubmed.ncbi.nlm.nih.gov/37597491/" TargetMode="External" /><Relationship Type="http://schemas.openxmlformats.org/officeDocument/2006/relationships/hyperlink" Id="rId92" Target="https://pubmed.ncbi.nlm.nih.gov/37908101/" TargetMode="External" /><Relationship Type="http://schemas.openxmlformats.org/officeDocument/2006/relationships/hyperlink" Id="rId120" Target="https://pubmed.ncbi.nlm.nih.gov/38304412/" TargetMode="External" /><Relationship Type="http://schemas.openxmlformats.org/officeDocument/2006/relationships/hyperlink" Id="rId116" Target="https://pubmed.ncbi.nlm.nih.gov/39625083/" TargetMode="External" /><Relationship Type="http://schemas.openxmlformats.org/officeDocument/2006/relationships/hyperlink" Id="rId73" Target="https://pubmed.ncbi.nlm.nih.gov/40398950/" TargetMode="External" /><Relationship Type="http://schemas.openxmlformats.org/officeDocument/2006/relationships/hyperlink" Id="rId98" Target="https://pubmed.ncbi.nlm.nih.gov/40533263/" TargetMode="External" /><Relationship Type="http://schemas.openxmlformats.org/officeDocument/2006/relationships/hyperlink" Id="rId115" Target="https://pubmed.ncbi.nlm.nih.gov/4078610/" TargetMode="External" /><Relationship Type="http://schemas.openxmlformats.org/officeDocument/2006/relationships/hyperlink" Id="rId112" Target="https://pubmed.ncbi.nlm.nih.gov/40826437/" TargetMode="External" /><Relationship Type="http://schemas.openxmlformats.org/officeDocument/2006/relationships/hyperlink" Id="rId126" Target="https://pubmed.ncbi.nlm.nih.gov/40987761/" TargetMode="External" /><Relationship Type="http://schemas.openxmlformats.org/officeDocument/2006/relationships/hyperlink" Id="rId74" Target="https://pubmed.ncbi.nlm.nih.gov/41245703/" TargetMode="External" /><Relationship Type="http://schemas.openxmlformats.org/officeDocument/2006/relationships/hyperlink" Id="rId128" Target="https://pubmed.ncbi.nlm.nih.gov/6712434/" TargetMode="External" /><Relationship Type="http://schemas.openxmlformats.org/officeDocument/2006/relationships/hyperlink" Id="rId114" Target="https://pubmed.ncbi.nlm.nih.gov/9699158/" TargetMode="External" /><Relationship Type="http://schemas.openxmlformats.org/officeDocument/2006/relationships/hyperlink" Id="rId82" Target="https://pubmed.ncbi.nlm.nih.gov/9850777/" TargetMode="External" /></Relationships>
</file>

<file path=word/_rels/footnotes.xml.rels><?xml version="1.0" encoding="UTF-8"?><Relationships xmlns="http://schemas.openxmlformats.org/package/2006/relationships"><Relationship Type="http://schemas.openxmlformats.org/officeDocument/2006/relationships/hyperlink" Id="rId95" Target="https://pubmed.ncbi.nlm.nih.gov/10412993/" TargetMode="External" /><Relationship Type="http://schemas.openxmlformats.org/officeDocument/2006/relationships/hyperlink" Id="rId118" Target="https://pubmed.ncbi.nlm.nih.gov/10651597/" TargetMode="External" /><Relationship Type="http://schemas.openxmlformats.org/officeDocument/2006/relationships/hyperlink" Id="rId108" Target="https://pubmed.ncbi.nlm.nih.gov/14734335/" TargetMode="External" /><Relationship Type="http://schemas.openxmlformats.org/officeDocument/2006/relationships/hyperlink" Id="rId106" Target="https://pubmed.ncbi.nlm.nih.gov/17405973/" TargetMode="External" /><Relationship Type="http://schemas.openxmlformats.org/officeDocument/2006/relationships/hyperlink" Id="rId96" Target="https://pubmed.ncbi.nlm.nih.gov/17938391/" TargetMode="External" /><Relationship Type="http://schemas.openxmlformats.org/officeDocument/2006/relationships/hyperlink" Id="rId80" Target="https://pubmed.ncbi.nlm.nih.gov/18764949/" TargetMode="External" /><Relationship Type="http://schemas.openxmlformats.org/officeDocument/2006/relationships/hyperlink" Id="rId84" Target="https://pubmed.ncbi.nlm.nih.gov/18784100/" TargetMode="External" /><Relationship Type="http://schemas.openxmlformats.org/officeDocument/2006/relationships/hyperlink" Id="rId75" Target="https://pubmed.ncbi.nlm.nih.gov/19762361/" TargetMode="External" /><Relationship Type="http://schemas.openxmlformats.org/officeDocument/2006/relationships/hyperlink" Id="rId86" Target="https://pubmed.ncbi.nlm.nih.gov/19954822/" TargetMode="External" /><Relationship Type="http://schemas.openxmlformats.org/officeDocument/2006/relationships/hyperlink" Id="rId127" Target="https://pubmed.ncbi.nlm.nih.gov/20075147/" TargetMode="External" /><Relationship Type="http://schemas.openxmlformats.org/officeDocument/2006/relationships/hyperlink" Id="rId105" Target="https://pubmed.ncbi.nlm.nih.gov/20097115/" TargetMode="External" /><Relationship Type="http://schemas.openxmlformats.org/officeDocument/2006/relationships/hyperlink" Id="rId93" Target="https://pubmed.ncbi.nlm.nih.gov/20175973/" TargetMode="External" /><Relationship Type="http://schemas.openxmlformats.org/officeDocument/2006/relationships/hyperlink" Id="rId90" Target="https://pubmed.ncbi.nlm.nih.gov/20418016/" TargetMode="External" /><Relationship Type="http://schemas.openxmlformats.org/officeDocument/2006/relationships/hyperlink" Id="rId83" Target="https://pubmed.ncbi.nlm.nih.gov/20537336/" TargetMode="External" /><Relationship Type="http://schemas.openxmlformats.org/officeDocument/2006/relationships/hyperlink" Id="rId107" Target="https://pubmed.ncbi.nlm.nih.gov/21843213/" TargetMode="External" /><Relationship Type="http://schemas.openxmlformats.org/officeDocument/2006/relationships/hyperlink" Id="rId94" Target="https://pubmed.ncbi.nlm.nih.gov/21917610/" TargetMode="External" /><Relationship Type="http://schemas.openxmlformats.org/officeDocument/2006/relationships/hyperlink" Id="rId119" Target="https://pubmed.ncbi.nlm.nih.gov/23313532/" TargetMode="External" /><Relationship Type="http://schemas.openxmlformats.org/officeDocument/2006/relationships/hyperlink" Id="rId124" Target="https://pubmed.ncbi.nlm.nih.gov/23989797/" TargetMode="External" /><Relationship Type="http://schemas.openxmlformats.org/officeDocument/2006/relationships/hyperlink" Id="rId85" Target="https://pubmed.ncbi.nlm.nih.gov/24065013/" TargetMode="External" /><Relationship Type="http://schemas.openxmlformats.org/officeDocument/2006/relationships/hyperlink" Id="rId123" Target="https://pubmed.ncbi.nlm.nih.gov/24369076/" TargetMode="External" /><Relationship Type="http://schemas.openxmlformats.org/officeDocument/2006/relationships/hyperlink" Id="rId89" Target="https://pubmed.ncbi.nlm.nih.gov/24490843/" TargetMode="External" /><Relationship Type="http://schemas.openxmlformats.org/officeDocument/2006/relationships/hyperlink" Id="rId87" Target="https://pubmed.ncbi.nlm.nih.gov/25497133/" TargetMode="External" /><Relationship Type="http://schemas.openxmlformats.org/officeDocument/2006/relationships/hyperlink" Id="rId117" Target="https://pubmed.ncbi.nlm.nih.gov/25569281/" TargetMode="External" /><Relationship Type="http://schemas.openxmlformats.org/officeDocument/2006/relationships/hyperlink" Id="rId91" Target="https://pubmed.ncbi.nlm.nih.gov/25599301/" TargetMode="External" /><Relationship Type="http://schemas.openxmlformats.org/officeDocument/2006/relationships/hyperlink" Id="rId131" Target="https://pubmed.ncbi.nlm.nih.gov/25603546/" TargetMode="External" /><Relationship Type="http://schemas.openxmlformats.org/officeDocument/2006/relationships/hyperlink" Id="rId101" Target="https://pubmed.ncbi.nlm.nih.gov/25704110/" TargetMode="External" /><Relationship Type="http://schemas.openxmlformats.org/officeDocument/2006/relationships/hyperlink" Id="rId78" Target="https://pubmed.ncbi.nlm.nih.gov/26463119/" TargetMode="External" /><Relationship Type="http://schemas.openxmlformats.org/officeDocument/2006/relationships/hyperlink" Id="rId103" Target="https://pubmed.ncbi.nlm.nih.gov/26488691/" TargetMode="External" /><Relationship Type="http://schemas.openxmlformats.org/officeDocument/2006/relationships/hyperlink" Id="rId99" Target="https://pubmed.ncbi.nlm.nih.gov/26829760/" TargetMode="External" /><Relationship Type="http://schemas.openxmlformats.org/officeDocument/2006/relationships/hyperlink" Id="rId77" Target="https://pubmed.ncbi.nlm.nih.gov/26882927/" TargetMode="External" /><Relationship Type="http://schemas.openxmlformats.org/officeDocument/2006/relationships/hyperlink" Id="rId122" Target="https://pubmed.ncbi.nlm.nih.gov/27440192/" TargetMode="External" /><Relationship Type="http://schemas.openxmlformats.org/officeDocument/2006/relationships/hyperlink" Id="rId130" Target="https://pubmed.ncbi.nlm.nih.gov/27518487/" TargetMode="External" /><Relationship Type="http://schemas.openxmlformats.org/officeDocument/2006/relationships/hyperlink" Id="rId136" Target="https://pubmed.ncbi.nlm.nih.gov/28087567/" TargetMode="External" /><Relationship Type="http://schemas.openxmlformats.org/officeDocument/2006/relationships/hyperlink" Id="rId129" Target="https://pubmed.ncbi.nlm.nih.gov/28263013/" TargetMode="External" /><Relationship Type="http://schemas.openxmlformats.org/officeDocument/2006/relationships/hyperlink" Id="rId100" Target="https://pubmed.ncbi.nlm.nih.gov/28647467/" TargetMode="External" /><Relationship Type="http://schemas.openxmlformats.org/officeDocument/2006/relationships/hyperlink" Id="rId81" Target="https://pubmed.ncbi.nlm.nih.gov/29163027/" TargetMode="External" /><Relationship Type="http://schemas.openxmlformats.org/officeDocument/2006/relationships/hyperlink" Id="rId125" Target="https://pubmed.ncbi.nlm.nih.gov/29925502/" TargetMode="External" /><Relationship Type="http://schemas.openxmlformats.org/officeDocument/2006/relationships/hyperlink" Id="rId109" Target="https://pubmed.ncbi.nlm.nih.gov/30454962/" TargetMode="External" /><Relationship Type="http://schemas.openxmlformats.org/officeDocument/2006/relationships/hyperlink" Id="rId137" Target="https://pubmed.ncbi.nlm.nih.gov/31192807/" TargetMode="External" /><Relationship Type="http://schemas.openxmlformats.org/officeDocument/2006/relationships/hyperlink" Id="rId113" Target="https://pubmed.ncbi.nlm.nih.gov/31862240/" TargetMode="External" /><Relationship Type="http://schemas.openxmlformats.org/officeDocument/2006/relationships/hyperlink" Id="rId72" Target="https://pubmed.ncbi.nlm.nih.gov/32268027/" TargetMode="External" /><Relationship Type="http://schemas.openxmlformats.org/officeDocument/2006/relationships/hyperlink" Id="rId111" Target="https://pubmed.ncbi.nlm.nih.gov/32321459/" TargetMode="External" /><Relationship Type="http://schemas.openxmlformats.org/officeDocument/2006/relationships/hyperlink" Id="rId134" Target="https://pubmed.ncbi.nlm.nih.gov/33561542/" TargetMode="External" /><Relationship Type="http://schemas.openxmlformats.org/officeDocument/2006/relationships/hyperlink" Id="rId133" Target="https://pubmed.ncbi.nlm.nih.gov/33591346/" TargetMode="External" /><Relationship Type="http://schemas.openxmlformats.org/officeDocument/2006/relationships/hyperlink" Id="rId76" Target="https://pubmed.ncbi.nlm.nih.gov/34505846/" TargetMode="External" /><Relationship Type="http://schemas.openxmlformats.org/officeDocument/2006/relationships/hyperlink" Id="rId79" Target="https://pubmed.ncbi.nlm.nih.gov/34843043/" TargetMode="External" /><Relationship Type="http://schemas.openxmlformats.org/officeDocument/2006/relationships/hyperlink" Id="rId88" Target="https://pubmed.ncbi.nlm.nih.gov/34916210/" TargetMode="External" /><Relationship Type="http://schemas.openxmlformats.org/officeDocument/2006/relationships/hyperlink" Id="rId132" Target="https://pubmed.ncbi.nlm.nih.gov/35673832/" TargetMode="External" /><Relationship Type="http://schemas.openxmlformats.org/officeDocument/2006/relationships/hyperlink" Id="rId104" Target="https://pubmed.ncbi.nlm.nih.gov/35710214/" TargetMode="External" /><Relationship Type="http://schemas.openxmlformats.org/officeDocument/2006/relationships/hyperlink" Id="rId121" Target="https://pubmed.ncbi.nlm.nih.gov/35881705/" TargetMode="External" /><Relationship Type="http://schemas.openxmlformats.org/officeDocument/2006/relationships/hyperlink" Id="rId110" Target="https://pubmed.ncbi.nlm.nih.gov/35941089/" TargetMode="External" /><Relationship Type="http://schemas.openxmlformats.org/officeDocument/2006/relationships/hyperlink" Id="rId102" Target="https://pubmed.ncbi.nlm.nih.gov/36917769/" TargetMode="External" /><Relationship Type="http://schemas.openxmlformats.org/officeDocument/2006/relationships/hyperlink" Id="rId97" Target="https://pubmed.ncbi.nlm.nih.gov/36961863/" TargetMode="External" /><Relationship Type="http://schemas.openxmlformats.org/officeDocument/2006/relationships/hyperlink" Id="rId135" Target="https://pubmed.ncbi.nlm.nih.gov/37597491/" TargetMode="External" /><Relationship Type="http://schemas.openxmlformats.org/officeDocument/2006/relationships/hyperlink" Id="rId92" Target="https://pubmed.ncbi.nlm.nih.gov/37908101/" TargetMode="External" /><Relationship Type="http://schemas.openxmlformats.org/officeDocument/2006/relationships/hyperlink" Id="rId120" Target="https://pubmed.ncbi.nlm.nih.gov/38304412/" TargetMode="External" /><Relationship Type="http://schemas.openxmlformats.org/officeDocument/2006/relationships/hyperlink" Id="rId116" Target="https://pubmed.ncbi.nlm.nih.gov/39625083/" TargetMode="External" /><Relationship Type="http://schemas.openxmlformats.org/officeDocument/2006/relationships/hyperlink" Id="rId73" Target="https://pubmed.ncbi.nlm.nih.gov/40398950/" TargetMode="External" /><Relationship Type="http://schemas.openxmlformats.org/officeDocument/2006/relationships/hyperlink" Id="rId98" Target="https://pubmed.ncbi.nlm.nih.gov/40533263/" TargetMode="External" /><Relationship Type="http://schemas.openxmlformats.org/officeDocument/2006/relationships/hyperlink" Id="rId115" Target="https://pubmed.ncbi.nlm.nih.gov/4078610/" TargetMode="External" /><Relationship Type="http://schemas.openxmlformats.org/officeDocument/2006/relationships/hyperlink" Id="rId112" Target="https://pubmed.ncbi.nlm.nih.gov/40826437/" TargetMode="External" /><Relationship Type="http://schemas.openxmlformats.org/officeDocument/2006/relationships/hyperlink" Id="rId126" Target="https://pubmed.ncbi.nlm.nih.gov/40987761/" TargetMode="External" /><Relationship Type="http://schemas.openxmlformats.org/officeDocument/2006/relationships/hyperlink" Id="rId74" Target="https://pubmed.ncbi.nlm.nih.gov/41245703/" TargetMode="External" /><Relationship Type="http://schemas.openxmlformats.org/officeDocument/2006/relationships/hyperlink" Id="rId128" Target="https://pubmed.ncbi.nlm.nih.gov/6712434/" TargetMode="External" /><Relationship Type="http://schemas.openxmlformats.org/officeDocument/2006/relationships/hyperlink" Id="rId114" Target="https://pubmed.ncbi.nlm.nih.gov/9699158/" TargetMode="External" /><Relationship Type="http://schemas.openxmlformats.org/officeDocument/2006/relationships/hyperlink" Id="rId82" Target="https://pubmed.ncbi.nlm.nih.gov/985077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Bibbia Teorica — Gonalgia</dc:title>
  <dc:creator>Mobilitas — Direzione Osteopatica</dc:creator>
  <dc:language>it-IT</dc:language>
  <cp:keywords/>
  <dcterms:created xsi:type="dcterms:W3CDTF">2026-08-31T10:56:23Z</dcterms:created>
  <dcterms:modified xsi:type="dcterms:W3CDTF">2026-08-31T10:56:23Z</dcterms:modified>
</cp:coreProperties>
</file>

<file path=docProps/custom.xml><?xml version="1.0" encoding="utf-8"?>
<Properties xmlns="http://schemas.openxmlformats.org/officeDocument/2006/custom-properties" xmlns:vt="http://schemas.openxmlformats.org/officeDocument/2006/docPropsVTypes"/>
</file>