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gonalgia"/>
    <w:p>
      <w:pPr>
        <w:pStyle w:val="Heading1"/>
      </w:pPr>
      <w:r>
        <w:t xml:space="preserve">Mappa concettuale — Gonalgia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Ewa M. Roos (University of Southern Denmark)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Hans-Georg Schaible (Universität Jena)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31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Gonalgia è il dolore al ginocchio: una sede, non una diagnosi.</w:t>
      </w:r>
      <w:r>
        <w:t xml:space="preserve"> </w:t>
      </w:r>
      <w:r>
        <w:t xml:space="preserve">La causa più frequente è l’artrosi, che riguarda circa 23 persone su cento sopra i quarant’anni.</w:t>
      </w:r>
      <w:r>
        <w:t xml:space="preserve"> </w:t>
      </w:r>
      <w:r>
        <w:t xml:space="preserve">Da sola fluttua: oscilla nel tempo senza che la struttura cambi. Questo è RAGIONAMENTO, non un numero misurato.</w:t>
      </w:r>
    </w:p>
    <w:bookmarkEnd w:id="9"/>
    <w:bookmarkStart w:id="10" w:name="la-sequenza-causale"/>
    <w:p>
      <w:pPr>
        <w:pStyle w:val="Heading2"/>
      </w:pPr>
      <w:r>
        <w:t xml:space="preserve">2. La sequenza causale</w:t>
      </w:r>
    </w:p>
    <w:p>
      <w:pPr>
        <w:pStyle w:val="FirstParagraph"/>
      </w:pPr>
      <w:r>
        <w:rPr>
          <w:rStyle w:val="VerbatimChar"/>
        </w:rPr>
        <w:t xml:space="preserve">carico che si concentra → osso subcondrale, sinovia e grasso anteriore segnalano → dolore → il paziente risparmia la gamba → il quadricipite smette di frenare → il carico si concentra di più</w:t>
      </w:r>
    </w:p>
    <w:p>
      <w:pPr>
        <w:pStyle w:val="BodyText"/>
      </w:pPr>
      <w:r>
        <w:t xml:space="preserve">Il giro si chiude su se stesso. Ogni anello è un punto d’ingresso.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carico che si concentra</w:t>
            </w:r>
          </w:p>
        </w:tc>
        <w:tc>
          <w:tcPr/>
          <w:p>
            <w:pPr>
              <w:pStyle w:val="Compact"/>
            </w:pPr>
            <w:r>
              <w:t xml:space="preserve">Dolore dopo un tempo di cammino</w:t>
            </w:r>
          </w:p>
        </w:tc>
        <w:tc>
          <w:tcPr/>
          <w:p>
            <w:pPr>
              <w:pStyle w:val="Compact"/>
            </w:pPr>
            <w:r>
              <w:t xml:space="preserve">DIMOSTRATO il carico · IPOTESI la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freno che si scarica</w:t>
            </w:r>
          </w:p>
        </w:tc>
        <w:tc>
          <w:tcPr/>
          <w:p>
            <w:pPr>
              <w:pStyle w:val="Compact"/>
            </w:pPr>
            <w:r>
              <w:t xml:space="preserve">Coscia più sottile, non si alza</w:t>
            </w:r>
          </w:p>
        </w:tc>
        <w:tc>
          <w:tcPr/>
          <w:p>
            <w:pPr>
              <w:pStyle w:val="Compact"/>
            </w:pPr>
            <w:r>
              <w:t xml:space="preserve">PROBABILE la debolezza · IPOTESI sciogliere l’inibizione, e qui con prove contrarie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soglia che si abbassa</w:t>
            </w:r>
          </w:p>
        </w:tc>
        <w:tc>
          <w:tcPr/>
          <w:p>
            <w:pPr>
              <w:pStyle w:val="Compact"/>
            </w:pPr>
            <w:r>
              <w:t xml:space="preserve">Dolore allargato, notturno, sproporzionato</w:t>
            </w:r>
          </w:p>
        </w:tc>
        <w:tc>
          <w:tcPr/>
          <w:p>
            <w:pPr>
              <w:pStyle w:val="Compact"/>
            </w:pPr>
            <w:r>
              <w:t xml:space="preserve">PROBABILE il fenomeno · IPOTESI la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ginocchio paga per i vicini</w:t>
            </w:r>
          </w:p>
        </w:tc>
        <w:tc>
          <w:tcPr/>
          <w:p>
            <w:pPr>
              <w:pStyle w:val="Compact"/>
            </w:pPr>
            <w:r>
              <w:t xml:space="preserve">Anca rigida, caviglia corta</w:t>
            </w:r>
          </w:p>
        </w:tc>
        <w:tc>
          <w:tcPr/>
          <w:p>
            <w:pPr>
              <w:pStyle w:val="Compact"/>
            </w:pPr>
            <w:r>
              <w:t xml:space="preserve">PROBABILE sul sintomo, con rinforzo attivo · IPOTESI la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dolore non è del ginocchio</w:t>
            </w:r>
          </w:p>
        </w:tc>
        <w:tc>
          <w:tcPr/>
          <w:p>
            <w:pPr>
              <w:pStyle w:val="Compact"/>
            </w:pPr>
            <w:r>
              <w:t xml:space="preserve">Esame locale muto, anca o rachide dolenti</w:t>
            </w:r>
          </w:p>
        </w:tc>
        <w:tc>
          <w:tcPr/>
          <w:p>
            <w:pPr>
              <w:pStyle w:val="Compact"/>
            </w:pPr>
            <w:r>
              <w:t xml:space="preserve">PROBABILE la frequenza · DIMOSTRATO nell’adolescente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mano non agisce sul versamento.</w:t>
      </w:r>
      <w:r>
        <w:t xml:space="preserve"> </w:t>
      </w:r>
      <w:r>
        <w:t xml:space="preserve">Quella parte dell’inibizione dipende dal volume dentro l’articolazione, non dal dolore.</w:t>
      </w:r>
    </w:p>
    <w:p>
      <w:pPr>
        <w:pStyle w:val="BodyText"/>
      </w:pPr>
      <w:r>
        <w:rPr>
          <w:b/>
          <w:bCs/>
        </w:rPr>
        <w:t xml:space="preserve">Quattro studi hanno provato a sciogliere l’inibizione riflessa con la terapia manuale, e l’intervallo contiene lo zero</w:t>
      </w:r>
      <w:r>
        <w:t xml:space="preserve"> </w:t>
      </w:r>
      <w:r>
        <w:t xml:space="preserve">(Harkey, 2014).</w:t>
      </w:r>
      <w:r>
        <w:t xml:space="preserve"> </w:t>
      </w:r>
      <w:r>
        <w:rPr>
          <w:b/>
          <w:bCs/>
        </w:rPr>
        <w:t xml:space="preserve">La caviglia corta precede una patologia da carico del ginocchio</w:t>
      </w:r>
      <w:r>
        <w:t xml:space="preserve">, misurato però su cestisti juniores e sulla tendinopatia rotulea (Backman, 2011).</w:t>
      </w:r>
    </w:p>
    <w:bookmarkEnd w:id="11"/>
    <w:bookmarkStart w:id="12" w:name="i-pattern-e-chi-comanda"/>
    <w:p>
      <w:pPr>
        <w:pStyle w:val="Heading2"/>
      </w:pPr>
      <w:r>
        <w:t xml:space="preserve">4.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Femoro-rotuleo</w:t>
            </w:r>
          </w:p>
        </w:tc>
        <w:tc>
          <w:tcPr/>
          <w:p>
            <w:pPr>
              <w:pStyle w:val="Compact"/>
            </w:pPr>
            <w:r>
              <w:t xml:space="preserve">Dolore anteriore, scale, seduta lunga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Artrosico da carico</w:t>
            </w:r>
          </w:p>
        </w:tc>
        <w:tc>
          <w:tcPr/>
          <w:p>
            <w:pPr>
              <w:pStyle w:val="Compact"/>
            </w:pPr>
            <w:r>
              <w:t xml:space="preserve">Rigidità breve, crepitio, over 45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Meniscale degenerativo</w:t>
            </w:r>
          </w:p>
        </w:tc>
        <w:tc>
          <w:tcPr/>
          <w:p>
            <w:pPr>
              <w:pStyle w:val="Compact"/>
            </w:pPr>
            <w:r>
              <w:t xml:space="preserve">Dolore mediale, scatto che non blocca, mezza età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Extra-articolare, tendineo</w:t>
            </w:r>
          </w:p>
        </w:tc>
        <w:tc>
          <w:tcPr/>
          <w:p>
            <w:pPr>
              <w:pStyle w:val="Compact"/>
            </w:pPr>
            <w:r>
              <w:t xml:space="preserve">Dolorabilità focale fuori dall’articolazione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Vicini che comandano</w:t>
            </w:r>
          </w:p>
        </w:tc>
        <w:tc>
          <w:tcPr/>
          <w:p>
            <w:pPr>
              <w:pStyle w:val="Compact"/>
            </w:pPr>
            <w:r>
              <w:t xml:space="preserve">Anca o caviglia limitate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Ginocchio sensibilizzato</w:t>
            </w:r>
          </w:p>
        </w:tc>
        <w:tc>
          <w:tcPr/>
          <w:p>
            <w:pPr>
              <w:pStyle w:val="Compact"/>
            </w:pPr>
            <w:r>
              <w:t xml:space="preserve">Dolore allargato, notturno, sproporzionato</w:t>
            </w:r>
          </w:p>
        </w:tc>
        <w:tc>
          <w:tcPr/>
          <w:p>
            <w:pPr>
              <w:pStyle w:val="Compact"/>
            </w:pPr>
            <w:r>
              <w:t xml:space="preserve">Abbastanza, ma altrove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Ginocchio irritabile</w:t>
            </w:r>
          </w:p>
        </w:tc>
        <w:tc>
          <w:tcPr/>
          <w:p>
            <w:pPr>
              <w:pStyle w:val="Compact"/>
            </w:pPr>
            <w:r>
              <w:t xml:space="preserve">Gonfiore ricorrente, calore, escursione persa</w:t>
            </w:r>
          </w:p>
        </w:tc>
        <w:tc>
          <w:tcPr/>
          <w:p>
            <w:pPr>
              <w:pStyle w:val="Compact"/>
            </w:pPr>
            <w:r>
              <w:t xml:space="preserve">Poco sul ginocchio, molto attorno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Ginocchio protesizzato</w:t>
            </w:r>
          </w:p>
        </w:tc>
        <w:tc>
          <w:tcPr/>
          <w:p>
            <w:pPr>
              <w:pStyle w:val="Compact"/>
            </w:pPr>
            <w:r>
              <w:t xml:space="preserve">Dolore dopo una protesi</w:t>
            </w:r>
          </w:p>
        </w:tc>
        <w:tc>
          <w:tcPr/>
          <w:p>
            <w:pPr>
              <w:pStyle w:val="Compact"/>
            </w:pPr>
            <w:r>
              <w:t xml:space="preserve">Niente: si rinvia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riferito</w:t>
            </w:r>
          </w:p>
        </w:tc>
        <w:tc>
          <w:tcPr/>
          <w:p>
            <w:pPr>
              <w:pStyle w:val="Compact"/>
            </w:pPr>
            <w:r>
              <w:t xml:space="preserve">Esame del ginocchio muto</w:t>
            </w:r>
          </w:p>
        </w:tc>
        <w:tc>
          <w:tcPr/>
          <w:p>
            <w:pPr>
              <w:pStyle w:val="Compact"/>
            </w:pPr>
            <w:r>
              <w:t xml:space="preserve">Niente: si manda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Quanto è solido:</w:t>
      </w:r>
      <w:r>
        <w:t xml:space="preserve"> </w:t>
      </w:r>
      <w:r>
        <w:t xml:space="preserve">RAGIONAMENTO</w:t>
      </w:r>
      <w:r>
        <w:t xml:space="preserve"> </w:t>
      </w:r>
      <w:r>
        <w:rPr>
          <w:i/>
          <w:iCs/>
        </w:rPr>
        <w:t xml:space="preserve">(cornice clinica, non una prova)</w:t>
      </w:r>
      <w:r>
        <w:t xml:space="preserve"> </w:t>
      </w:r>
      <w:r>
        <w:t xml:space="preserve">per l’attribuzione del meccanismo che comanda a ciascun pattern. «Vicini che comandano» e «meniscale degenerativo» sono trasversali: non sono caselle esclusive.</w:t>
      </w:r>
    </w:p>
    <w:bookmarkEnd w:id="12"/>
    <w:bookmarkStart w:id="13" w:name="il-ragionamento-in-cinque-passi"/>
    <w:p>
      <w:pPr>
        <w:pStyle w:val="Heading2"/>
      </w:pPr>
      <w:r>
        <w:t xml:space="preserve">5. Il ragionamento, in cinque passi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È un ginocchio?</w:t>
      </w:r>
      <w:r>
        <w:t xml:space="preserve"> </w:t>
      </w:r>
      <w:r>
        <w:t xml:space="preserve">Bandiere rosse, età, risposta all’esame locale, anca e rachide, protesi in sede.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 è lo stato oggi?</w:t>
      </w:r>
      <w:r>
        <w:t xml:space="preserve"> </w:t>
      </w:r>
      <w:r>
        <w:t xml:space="preserve">Un ginocchio irritabile cambia l’uscita del triage: poco sul ginocchio, molto attorno. Il segno di stato è l’escursione che tiene fra le sedute.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L’attivazione è il vincolo?</w:t>
      </w:r>
      <w:r>
        <w:t xml:space="preserve"> </w:t>
      </w:r>
      <w:r>
        <w:t xml:space="preserve">Se sì, si comincia da lì.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carico assoluto è il vincolo?</w:t>
      </w:r>
      <w:r>
        <w:t xml:space="preserve"> </w:t>
      </w:r>
      <w:r>
        <w:t xml:space="preserve">Si nomina e si rinvia.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Quale piano meccanico concede meno?</w:t>
      </w:r>
      <w:r>
        <w:t xml:space="preserve"> </w:t>
      </w:r>
      <w:r>
        <w:t xml:space="preserve">Anca, caviglia o ginocchio. E «concede meno» è escursione, non dominanza.</w:t>
      </w:r>
    </w:p>
    <w:p>
      <w:pPr>
        <w:pStyle w:val="FirstParagraph"/>
      </w:pPr>
      <w:r>
        <w:rPr>
          <w:b/>
          <w:bCs/>
        </w:rPr>
        <w:t xml:space="preserve">I marker, con la soglia:</w:t>
      </w:r>
      <w:r>
        <w:t xml:space="preserve"> </w:t>
      </w:r>
      <w:r>
        <w:t xml:space="preserve">alzate dalla sedia in 30 secondi (2 ripetizioni) · dorsiflessione in carico (5 gradi) · gradini prima del sintomo (3 gradini) · soglia dolorosa su sito remoto (20%).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Piano trattato</w:t>
            </w:r>
          </w:p>
        </w:tc>
        <w:tc>
          <w:tcPr/>
          <w:p>
            <w:pPr>
              <w:pStyle w:val="Compact"/>
            </w:pPr>
            <w:r>
              <w:t xml:space="preserve">Marker che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Ginocchio</w:t>
            </w:r>
          </w:p>
        </w:tc>
        <w:tc>
          <w:tcPr/>
          <w:p>
            <w:pPr>
              <w:pStyle w:val="Compact"/>
            </w:pPr>
            <w:r>
              <w:t xml:space="preserve">Dorsiflessione in carico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Anca e caviglia</w:t>
            </w:r>
          </w:p>
        </w:tc>
        <w:tc>
          <w:tcPr/>
          <w:p>
            <w:pPr>
              <w:pStyle w:val="Compact"/>
            </w:pPr>
            <w:r>
              <w:t xml:space="preserve">Soglia dolorosa remota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Livello di attivazione</w:t>
            </w:r>
          </w:p>
        </w:tc>
        <w:tc>
          <w:tcPr/>
          <w:p>
            <w:pPr>
              <w:pStyle w:val="Compact"/>
            </w:pPr>
            <w:r>
              <w:t xml:space="preserve">Alzate in 30 secondi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che decide sta fuori dal piano che hai trattato, e se non può smentirti non sta decidendo niente.</w:t>
      </w:r>
      <w:r>
        <w:t xml:space="preserve"> </w:t>
      </w:r>
      <w:r>
        <w:t xml:space="preserve">L’escursione che tiene fra le sedute non è un marker: è un segno di stato, e non ha soglia pubblicata.</w:t>
      </w:r>
    </w:p>
    <w:bookmarkEnd w:id="13"/>
    <w:bookmarkStart w:id="14" w:name="le-bandiere-rosse"/>
    <w:p>
      <w:pPr>
        <w:pStyle w:val="Heading2"/>
      </w:pPr>
      <w:r>
        <w:t xml:space="preserve">6. Le bandiere rosse</w:t>
      </w:r>
    </w:p>
    <w:p>
      <w:pPr>
        <w:pStyle w:val="Compact"/>
        <w:numPr>
          <w:ilvl w:val="0"/>
          <w:numId w:val="1002"/>
        </w:numPr>
      </w:pPr>
      <w:r>
        <w:t xml:space="preserve">Ginocchio caldo e gonfio che non muove,</w:t>
      </w:r>
      <w:r>
        <w:t xml:space="preserve"> </w:t>
      </w:r>
      <w:r>
        <w:rPr>
          <w:b/>
          <w:bCs/>
        </w:rPr>
        <w:t xml:space="preserve">con o senza febbre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  <w:r>
        <w:t xml:space="preserve">. Peggio con protesi in sede, chirurgia o infiltrazione recenti, diabete, immunodepressione.</w:t>
      </w:r>
    </w:p>
    <w:p>
      <w:pPr>
        <w:pStyle w:val="Compact"/>
        <w:numPr>
          <w:ilvl w:val="0"/>
          <w:numId w:val="1002"/>
        </w:numPr>
      </w:pPr>
      <w:r>
        <w:t xml:space="preserve">Non carica dopo trauma, Ottawa positivo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 estende attivamente, estensione passiva conservata</w:t>
      </w:r>
      <w:r>
        <w:t xml:space="preserve"> </w:t>
      </w:r>
      <w:r>
        <w:t xml:space="preserve">→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Blocco vero, non estende né flette →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Polpaccio dolente e gonfio da un lato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. L’arto non si massaggia.</w:t>
      </w:r>
    </w:p>
    <w:p>
      <w:pPr>
        <w:pStyle w:val="Compact"/>
        <w:numPr>
          <w:ilvl w:val="0"/>
          <w:numId w:val="1002"/>
        </w:numPr>
      </w:pPr>
      <w:r>
        <w:t xml:space="preserve">Dolore notturno a riposo non spiegato dal carico → curante, poi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 60, dolore mediale improvviso, non carica, lastra normale</w:t>
      </w:r>
      <w:r>
        <w:t xml:space="preserve"> </w:t>
      </w:r>
      <w:r>
        <w:t xml:space="preserve">→ curante, poi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Adolescente, dolore al ginocchio, nessun trauma → ortopedico pediatrico →</w:t>
      </w:r>
      <w:r>
        <w:t xml:space="preserve"> </w:t>
      </w:r>
      <w:r>
        <w:rPr>
          <w:b/>
          <w:bCs/>
        </w:rPr>
        <w:t xml:space="preserve">Urgente, in scarico, e l’anca non si forza</w:t>
      </w:r>
    </w:p>
    <w:p>
      <w:pPr>
        <w:pStyle w:val="Compact"/>
        <w:numPr>
          <w:ilvl w:val="0"/>
          <w:numId w:val="1002"/>
        </w:numPr>
      </w:pPr>
      <w:r>
        <w:t xml:space="preserve">Esame del ginocchio muto, anca o rachide dolenti → curante, poi ortopedico →</w:t>
      </w:r>
      <w:r>
        <w:t xml:space="preserve"> </w:t>
      </w:r>
      <w:r>
        <w:rPr>
          <w:b/>
          <w:bCs/>
        </w:rPr>
        <w:t xml:space="preserve">Invio, non attendere. Il ginocchio non si tratta.</w:t>
      </w:r>
    </w:p>
    <w:p>
      <w:pPr>
        <w:pStyle w:val="Compact"/>
        <w:numPr>
          <w:ilvl w:val="0"/>
          <w:numId w:val="1002"/>
        </w:numPr>
      </w:pPr>
      <w:r>
        <w:t xml:space="preserve">Più articolazioni gonfie, rigidità mattutina lunga → curante, poi reumatologo →</w:t>
      </w:r>
      <w:r>
        <w:t xml:space="preserve"> </w:t>
      </w:r>
      <w:r>
        <w:rPr>
          <w:b/>
          <w:bCs/>
        </w:rPr>
        <w:t xml:space="preserve">Invio</w:t>
      </w:r>
    </w:p>
    <w:bookmarkEnd w:id="14"/>
    <w:bookmarkStart w:id="15" w:name="cosa-fa-il-paziente-da-solo"/>
    <w:p>
      <w:pPr>
        <w:pStyle w:val="Heading2"/>
      </w:pPr>
      <w:r>
        <w:t xml:space="preserve">7.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a carico progressivo e cammino</w:t>
            </w:r>
          </w:p>
        </w:tc>
        <w:tc>
          <w:tcPr/>
          <w:p>
            <w:pPr>
              <w:pStyle w:val="Compact"/>
            </w:pPr>
            <w:r>
              <w:t xml:space="preserve">Il freno, il carico, la soglia, i vicini</w:t>
            </w:r>
          </w:p>
        </w:tc>
        <w:tc>
          <w:tcPr/>
          <w:p>
            <w:pPr>
              <w:pStyle w:val="Compact"/>
            </w:pPr>
            <w:r>
              <w:t xml:space="preserve">PROBABILE sul dolore, certezza bassa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sul carico</w:t>
            </w:r>
          </w:p>
        </w:tc>
        <w:tc>
          <w:tcPr/>
          <w:p>
            <w:pPr>
              <w:pStyle w:val="Compact"/>
            </w:pPr>
            <w:r>
              <w:t xml:space="preserve">La soglia che si abbassa</w:t>
            </w:r>
          </w:p>
        </w:tc>
        <w:tc>
          <w:tcPr/>
          <w:p>
            <w:pPr>
              <w:pStyle w:val="Compact"/>
            </w:pPr>
            <w:r>
              <w:t xml:space="preserve">IPOTESI presa da sola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Gestione del peso</w:t>
            </w:r>
          </w:p>
        </w:tc>
        <w:tc>
          <w:tcPr/>
          <w:p>
            <w:pPr>
              <w:pStyle w:val="Compact"/>
            </w:pPr>
            <w:r>
              <w:t xml:space="preserve">Il carico che si concentra</w:t>
            </w:r>
          </w:p>
        </w:tc>
        <w:tc>
          <w:tcPr/>
          <w:p>
            <w:pPr>
              <w:pStyle w:val="Compact"/>
            </w:pPr>
            <w:r>
              <w:t xml:space="preserve">DIMOSTRATO, non erogato da 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contatto periodico che tiene in piedi il programma</w:t>
            </w:r>
          </w:p>
        </w:tc>
        <w:tc>
          <w:tcPr/>
          <w:p>
            <w:pPr>
              <w:pStyle w:val="Compact"/>
            </w:pPr>
            <w:r>
              <w:t xml:space="preserve">Il freno che si scarica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L’effetto dell’esercizio si dimezza nei sei mesi dopo la fine del programma. E in chi ha il controllo discendente inefficiente le prime sedute possono peggiorare il sintomo: si annuncia prima, non si spiega dopo (Fingleton, 2017).</w:t>
      </w:r>
    </w:p>
    <w:bookmarkEnd w:id="15"/>
    <w:bookmarkStart w:id="16" w:name="la-frase-per-il-paziente"/>
    <w:p>
      <w:pPr>
        <w:pStyle w:val="Heading2"/>
      </w:pPr>
      <w:r>
        <w:t xml:space="preserve">8. La frase per il paziente</w:t>
      </w:r>
    </w:p>
    <w:p>
      <w:pPr>
        <w:pStyle w:val="FirstParagraph"/>
      </w:pPr>
      <w:r>
        <w:rPr>
          <w:i/>
          <w:iCs/>
        </w:rPr>
        <w:t xml:space="preserve">«Il suo ginocchio fa male, e la lastra è vera. Ma le due cose non vanno sempre insieme: ci sono ginocchia messe peggio della sua che non fanno male, e ginocchia pulite che fanno malissimo. Quello che cambia da un giorno all’altro non è la lastra: è quanto carico arriva lì e quanto il muscolo riesce a frenarlo. Su quello si può lavorare. Poi misuriamo una cosa oggi, e la rimisuriamo fra tre settimane. Il dolore al ginocchio va comunque inquadrato dal suo medico, e nel frattempo io non aspetto.»</w:t>
      </w:r>
    </w:p>
    <w:p>
      <w:pPr>
        <w:pStyle w:val="BodyText"/>
      </w:pPr>
      <w:r>
        <w:rPr>
          <w:b/>
          <w:bCs/>
        </w:rPr>
        <w:t xml:space="preserve">E prima che esca:</w:t>
      </w:r>
      <w:r>
        <w:t xml:space="preserve"> </w:t>
      </w:r>
      <w:r>
        <w:t xml:space="preserve">ginocchio caldo e gonfio, polpaccio gonfio da un lato, gamba che non regge il peso → pronto soccorso, non la prossima seduta.</w: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Sui 206 partecipanti dello studio che confronta mani, esercizio e combinazione, l’analisi di mediazione ha trovato una cosa sola. L’effetto della terapia manuale è passato attraverso il cambiamento delle</w:t>
      </w:r>
      <w:r>
        <w:t xml:space="preserve"> </w:t>
      </w:r>
      <w:r>
        <w:rPr>
          <w:b/>
          <w:bCs/>
        </w:rPr>
        <w:t xml:space="preserve">credenze del paziente sul dolore</w:t>
      </w:r>
      <w:r>
        <w:t xml:space="preserve">; la forza funzionale non ha mediato niente, in nessuno dei bracci (Ribeiro, Lamb e Abbott, 2024, PMID 38304412). Questo ti autorizza a curare la spiegazione con lo stesso scrupolo con cui curi la tecnica. Non ti autorizza a raccontare il tuo lavoro come uno scarico meccanico, né a venderlo come trattamento di lungo periodo: su quello la prova è di alta certezza, e dice che la terapia manuale aggiunta all’esercizio non aggiunge niente (Runge, 2022, PMID 35881705).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2026-08-31T10:54:41Z</dcterms:created>
  <dcterms:modified xsi:type="dcterms:W3CDTF">2026-08-31T10:54:41Z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