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postura-antalgica-cronica"/>
    <w:p>
      <w:pPr>
        <w:pStyle w:val="Heading1"/>
      </w:pPr>
      <w:r>
        <w:t xml:space="preserve">Mappa — Postura antalgica cronica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postura antalgica cronica</w:t>
      </w:r>
      <w: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“il dolore è passato e io sono rimasto storto”</w:t>
      </w:r>
      <w:r>
        <w:rPr>
          <w:i/>
          <w:iCs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Peter O’Sullivan, Curtin University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Paul Hodges, University of Queensland, con G. Lorimer Moseley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finale (revisione di lingua, 6º livello)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26 agosto 2026 ·</w:t>
      </w:r>
      <w:r>
        <w:t xml:space="preserve"> </w:t>
      </w:r>
      <w:r>
        <w:rPr>
          <w:b/>
          <w:bCs/>
        </w:rPr>
        <w:t xml:space="preserve">Perimetro:</w:t>
      </w:r>
      <w:r>
        <w:t xml:space="preserve"> </w:t>
      </w:r>
      <w:r>
        <w:t xml:space="preserve">tronco e cingolo pelvico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— La condizione in tre righe</w:t>
      </w:r>
    </w:p>
    <w:p>
      <w:pPr>
        <w:pStyle w:val="FirstParagraph"/>
      </w:pPr>
      <w:r>
        <w:t xml:space="preserve">È un comportamento motorio protettivo, non una lesione: il corpo si è spostato per difendersi da un dolore, e non è tornato indietro quando il dolore è finito.</w:t>
      </w:r>
      <w:r>
        <w:t xml:space="preserve"> </w:t>
      </w:r>
      <w:r>
        <w:t xml:space="preserve">Lo spegnimento non risponde alla fine del dolore, ma alla fine della previsione di pericolo: è la ragione per cui questo paziente esiste.</w:t>
      </w:r>
      <w:r>
        <w:t xml:space="preserve"> </w:t>
      </w:r>
      <w:r>
        <w:t xml:space="preserve">Da sola non si risolve in modo affidabile. Dopo la rimozione chirurgica della causa, poco più della metà dei tronchi deviati rientra entro sei mesi — e in una popolazione giovane e operata, cioè nello scenario migliore. Lo stesso si misura dopo protesi d’anca: attivazione non fisiologica fino a dodici mesi,</w:t>
      </w:r>
      <w:r>
        <w:t xml:space="preserve"> </w:t>
      </w:r>
      <w:r>
        <w:rPr>
          <w:i/>
          <w:iCs/>
        </w:rPr>
        <w:t xml:space="preserve">«despite clinical improvement»</w:t>
      </w:r>
      <w:r>
        <w:t xml:space="preserve"> </w:t>
      </w:r>
      <w:r>
        <w:t xml:space="preserve">(May 2026).</w:t>
      </w:r>
    </w:p>
    <w:bookmarkEnd w:id="9"/>
    <w:bookmarkStart w:id="10" w:name="la-catena-causale"/>
    <w:p>
      <w:pPr>
        <w:pStyle w:val="Heading2"/>
      </w:pPr>
      <w:r>
        <w:t xml:space="preserve">2 — La catena causale</w:t>
      </w:r>
    </w:p>
    <w:p>
      <w:pPr>
        <w:pStyle w:val="FirstParagraph"/>
      </w:pPr>
      <w:r>
        <w:rPr>
          <w:rStyle w:val="VerbatimChar"/>
        </w:rPr>
        <w:t xml:space="preserve">dolore acuto → risposta protettiva del tronco → perdita di variabilità della strategia posturale → il dolore finisce, la previsione di pericolo no → la strategia non torna → tessuto che si adatta + vincolo periferico → dolore nuovo nel distretto sovraccaricato</w:t>
      </w:r>
    </w:p>
    <w:bookmarkEnd w:id="10"/>
    <w:bookmarkStart w:id="11" w:name="i-sei-meccanismi-e-quanto-sono-solidi"/>
    <w:p>
      <w:pPr>
        <w:pStyle w:val="Heading2"/>
      </w:pPr>
      <w:r>
        <w:t xml:space="preserve">3 — I sei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Variabilità persa, tenuta su dalla previsione</w:t>
            </w:r>
          </w:p>
        </w:tc>
        <w:tc>
          <w:tcPr/>
          <w:p>
            <w:pPr>
              <w:pStyle w:val="Compact"/>
            </w:pPr>
            <w:r>
              <w:t xml:space="preserve">Cambia sotto distrazione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Controllo profondo in ritardo</w:t>
            </w:r>
          </w:p>
        </w:tc>
        <w:tc>
          <w:tcPr/>
          <w:p>
            <w:pPr>
              <w:pStyle w:val="Compact"/>
            </w:pPr>
            <w:r>
              <w:t xml:space="preserve">Asimmetria nell’avvio, non nella forza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Rigidità agganciata alla previsione di pericolo</w:t>
            </w:r>
          </w:p>
        </w:tc>
        <w:tc>
          <w:tcPr/>
          <w:p>
            <w:pPr>
              <w:pStyle w:val="Compact"/>
            </w:pPr>
            <w:r>
              <w:t xml:space="preserve">Co-contrazione su spinta imprevista</w:t>
            </w:r>
          </w:p>
        </w:tc>
        <w:tc>
          <w:tcPr/>
          <w:p>
            <w:pPr>
              <w:pStyle w:val="Compact"/>
            </w:pPr>
            <w:r>
              <w:t xml:space="preserve">PROBABILE / 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Tessuto adattato alla posizione</w:t>
            </w:r>
          </w:p>
        </w:tc>
        <w:tc>
          <w:tcPr/>
          <w:p>
            <w:pPr>
              <w:pStyle w:val="Compact"/>
            </w:pPr>
            <w:r>
              <w:t xml:space="preserve">Non cambia con lo stato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punto d’arresto ripetibile</w:t>
            </w:r>
          </w:p>
        </w:tc>
        <w:tc>
          <w:tcPr/>
          <w:p>
            <w:pPr>
              <w:pStyle w:val="Compact"/>
            </w:pPr>
            <w:r>
              <w:t xml:space="preserve">DIMOSTRATO nell’animale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spostato</w:t>
            </w:r>
            <w:r>
              <w:t xml:space="preserve"> </w:t>
            </w: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sensibilizzazione diffusa</w:t>
            </w:r>
          </w:p>
        </w:tc>
        <w:tc>
          <w:tcPr/>
          <w:p>
            <w:pPr>
              <w:pStyle w:val="Compact"/>
            </w:pPr>
            <w:r>
              <w:t xml:space="preserve">Con la durata e con confini / diffuso e senza confini</w:t>
            </w:r>
          </w:p>
        </w:tc>
        <w:tc>
          <w:tcPr/>
          <w:p>
            <w:pPr>
              <w:pStyle w:val="Compact"/>
            </w:pPr>
            <w:r>
              <w:t xml:space="preserve">IPOTESI /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Perché la correzione non tiene</w:t>
            </w:r>
          </w:p>
        </w:tc>
        <w:tc>
          <w:tcPr/>
          <w:p>
            <w:pPr>
              <w:pStyle w:val="Compact"/>
            </w:pPr>
            <w:r>
              <w:t xml:space="preserve">Guadagno che c’è a fine seduta e non al controllo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</w:tbl>
    <w:p>
      <w:pPr>
        <w:pStyle w:val="BodyText"/>
      </w:pPr>
      <w:r>
        <w:rPr>
          <w:i/>
          <w:iCs/>
        </w:rPr>
        <w:t xml:space="preserve">Prima dei meccanismi si classifica il dolore: nocicettivo, neuropatico periferico, nociplastico (criteri IASP, Kosek 2021).</w:t>
      </w:r>
      <w:r>
        <w:t xml:space="preserve"> </w:t>
      </w:r>
      <w:r>
        <w:rPr>
          <w:i/>
          <w:iCs/>
        </w:rPr>
        <w:t xml:space="preserve">Dove ci sono due etichette, l’etichetta si spezza: la prima vale sul reperto misurato, la seconda sul passaggio clinico.</w:t>
      </w:r>
      <w:r>
        <w:t xml:space="preserve"> </w:t>
      </w:r>
      <w:r>
        <w:rPr>
          <w:i/>
          <w:iCs/>
        </w:rPr>
        <w:t xml:space="preserve">Sul quarto meccanismo: quello che si guadagna in settimane 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tolleranza misurata come escursione</w:t>
      </w:r>
      <w:r>
        <w:rPr>
          <w:i/>
          <w:iCs/>
        </w:rPr>
        <w:t xml:space="preserve">, non lunghezza stabile del tessuto (Weppler 2010). «Recupero di escursione» non vuol dire «tessuto allungato».</w:t>
      </w:r>
    </w:p>
    <w:bookmarkEnd w:id="11"/>
    <w:bookmarkStart w:id="12" w:name="Xe72fc26b3c620a54b494584f3d69a7264b17878"/>
    <w:p>
      <w:pPr>
        <w:pStyle w:val="Heading2"/>
      </w:pPr>
      <w:r>
        <w:t xml:space="preserve">4 — I pattern, i cancelli, e la dimensione che decide la resa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Difesa laterale post-radicolare</w:t>
            </w:r>
          </w:p>
        </w:tc>
        <w:tc>
          <w:tcPr/>
          <w:p>
            <w:pPr>
              <w:pStyle w:val="Compact"/>
            </w:pPr>
            <w:r>
              <w:t xml:space="preserve">Tronco di lato, storia di sciatica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Difesa in flessione</w:t>
            </w:r>
          </w:p>
        </w:tc>
        <w:tc>
          <w:tcPr/>
          <w:p>
            <w:pPr>
              <w:pStyle w:val="Compact"/>
            </w:pPr>
            <w:r>
              <w:t xml:space="preserve">Non si raddrizza, tira davanti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Zoppia rimasta</w:t>
            </w:r>
          </w:p>
        </w:tc>
        <w:tc>
          <w:tcPr/>
          <w:p>
            <w:pPr>
              <w:pStyle w:val="Compact"/>
            </w:pPr>
            <w:r>
              <w:t xml:space="preserve">Passo cambiato dopo trauma d’arto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Difesa in flessione con osso fragile</w:t>
            </w:r>
          </w:p>
        </w:tc>
        <w:tc>
          <w:tcPr/>
          <w:p>
            <w:pPr>
              <w:pStyle w:val="Compact"/>
            </w:pPr>
            <w:r>
              <w:t xml:space="preserve">Crisi dorsale oltre i 70 anni, osteoporosi, cortisone</w:t>
            </w:r>
          </w:p>
        </w:tc>
        <w:tc>
          <w:tcPr/>
          <w:p>
            <w:pPr>
              <w:pStyle w:val="Compact"/>
            </w:pPr>
            <w:r>
              <w:t xml:space="preserve">Poco, e non prima dell’osso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Quadro nociplastico sovrapposto</w:t>
            </w:r>
          </w:p>
        </w:tc>
        <w:tc>
          <w:tcPr/>
          <w:p>
            <w:pPr>
              <w:pStyle w:val="Compact"/>
            </w:pPr>
            <w:r>
              <w:t xml:space="preserve">Dolore diffuso, tocco leggero fastidioso, sonno rotto</w:t>
            </w:r>
          </w:p>
        </w:tc>
        <w:tc>
          <w:tcPr/>
          <w:p>
            <w:pPr>
              <w:pStyle w:val="Compact"/>
            </w:pPr>
            <w:r>
              <w:t xml:space="preserve">Poco sul carico locale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resa non la decide il pattern: la decide quanto pesa l’evitamento</w:t>
      </w:r>
      <w:r>
        <w:t xml:space="preserve">, che si segna basso o alto su ogni riga. La scala è questa.</w:t>
      </w:r>
      <w:r>
        <w:t xml:space="preserve"> </w:t>
      </w:r>
      <w:r>
        <w:rPr>
          <w:i/>
          <w:iCs/>
        </w:rPr>
        <w:t xml:space="preserve">Molto</w:t>
      </w:r>
      <w:r>
        <w:t xml:space="preserve"> </w:t>
      </w:r>
      <w:r>
        <w:t xml:space="preserve">= leva almeno PROBABILE</w:t>
      </w:r>
      <w:r>
        <w:t xml:space="preserve"> </w:t>
      </w:r>
      <w:r>
        <w:rPr>
          <w:b/>
          <w:bCs/>
        </w:rPr>
        <w:t xml:space="preserve">misurata qui</w:t>
      </w:r>
      <w:r>
        <w:t xml:space="preserve">, e</w:t>
      </w:r>
      <w:r>
        <w:t xml:space="preserve"> </w:t>
      </w:r>
      <w:r>
        <w:rPr>
          <w:b/>
          <w:bCs/>
        </w:rPr>
        <w:t xml:space="preserve">nessuna riga ci arriva</w:t>
      </w:r>
      <w:r>
        <w:t xml:space="preserve">, perché il cerchio 1 contiene un solo studio e quello studio non è una leva.</w:t>
      </w:r>
      <w:r>
        <w:t xml:space="preserve"> </w:t>
      </w:r>
      <w:r>
        <w:rPr>
          <w:i/>
          <w:iCs/>
        </w:rPr>
        <w:t xml:space="preserve">Abbastanza</w:t>
      </w:r>
      <w:r>
        <w:t xml:space="preserve"> </w:t>
      </w:r>
      <w:r>
        <w:t xml:space="preserve">= PROBABILE per estensione da una popolazione vicina.</w:t>
      </w:r>
      <w:r>
        <w:t xml:space="preserve"> </w:t>
      </w:r>
      <w:r>
        <w:rPr>
          <w:i/>
          <w:iCs/>
        </w:rPr>
        <w:t xml:space="preserve">Poco</w:t>
      </w:r>
      <w:r>
        <w:t xml:space="preserve"> </w:t>
      </w:r>
      <w:r>
        <w:t xml:space="preserve">= solo IPOTESI, oppure un vincolo che viene prima.</w:t>
      </w:r>
    </w:p>
    <w:p>
      <w:pPr>
        <w:pStyle w:val="BodyText"/>
      </w:pPr>
      <w:r>
        <w:rPr>
          <w:b/>
          <w:bCs/>
        </w:rPr>
        <w:t xml:space="preserve">Il limite, e va tenuto in bocca.</w:t>
      </w:r>
      <w:r>
        <w:t xml:space="preserve"> </w:t>
      </w:r>
      <w:r>
        <w:t xml:space="preserve">Come</w:t>
      </w:r>
      <w:r>
        <w:t xml:space="preserve"> </w:t>
      </w:r>
      <w:r>
        <w:rPr>
          <w:b/>
          <w:bCs/>
        </w:rPr>
        <w:t xml:space="preserve">fattore prognostico</w:t>
      </w:r>
      <w:r>
        <w:t xml:space="preserve"> </w:t>
      </w:r>
      <w:r>
        <w:t xml:space="preserve">l’evitamento predice nella lombalgia subacuta, fra le 4 settimane e i 3 mesi. E</w:t>
      </w:r>
      <w:r>
        <w:t xml:space="preserve"> </w:t>
      </w:r>
      <w:r>
        <w:rPr>
          <w:b/>
          <w:bCs/>
        </w:rPr>
        <w:t xml:space="preserve">in larga parte non predice</w:t>
      </w:r>
      <w:r>
        <w:t xml:space="preserve"> </w:t>
      </w:r>
      <w:r>
        <w:t xml:space="preserve">oltre i tre mesi, cioè nella fascia in cui questo paziente arriva (Wertli,</w:t>
      </w:r>
      <w:r>
        <w:t xml:space="preserve"> </w:t>
      </w:r>
      <w:r>
        <w:rPr>
          <w:i/>
          <w:iCs/>
        </w:rPr>
        <w:t xml:space="preserve">Spine J</w:t>
      </w:r>
      <w:r>
        <w:t xml:space="preserve"> </w:t>
      </w:r>
      <w:r>
        <w:t xml:space="preserve">2014, PMID 24412032, 21 studi). Resta quindi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: dice dove lavorare, non come andrà. È altra cosa dall’evitamento come</w:t>
      </w:r>
      <w:r>
        <w:t xml:space="preserve"> </w:t>
      </w:r>
      <w:r>
        <w:rPr>
          <w:b/>
          <w:bCs/>
        </w:rPr>
        <w:t xml:space="preserve">moderatore di efficacia</w:t>
      </w:r>
      <w:r>
        <w:t xml:space="preserve"> </w:t>
      </w:r>
      <w:r>
        <w:t xml:space="preserve">(Wertli 24614254), e le due possono essere vere insieme.</w:t>
      </w:r>
    </w:p>
    <w:p>
      <w:pPr>
        <w:pStyle w:val="BodyText"/>
      </w:pPr>
      <w:r>
        <w:rPr>
          <w:b/>
          <w:bCs/>
        </w:rPr>
        <w:t xml:space="preserve">I due cancelli</w:t>
      </w:r>
      <w:r>
        <w:t xml:space="preserve">, che non sono pattern.</w:t>
      </w:r>
      <w:r>
        <w:t xml:space="preserve"> </w:t>
      </w:r>
      <w:r>
        <w:rPr>
          <w:b/>
          <w:bCs/>
        </w:rPr>
        <w:t xml:space="preserve">A — postura fissa neurologica:</w:t>
      </w:r>
      <w:r>
        <w:t xml:space="preserve"> </w:t>
      </w:r>
      <w:r>
        <w:t xml:space="preserve">nessuna crisi dolorosa all’origine, e il sollievo da sdraiato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discrimina.</w:t>
      </w:r>
      <w:r>
        <w:t xml:space="preserve"> </w:t>
      </w:r>
      <w:r>
        <w:rPr>
          <w:b/>
          <w:bCs/>
        </w:rPr>
        <w:t xml:space="preserve">B — deformità strutturale nuova:</w:t>
      </w:r>
      <w:r>
        <w:t xml:space="preserve"> </w:t>
      </w:r>
      <w:r>
        <w:t xml:space="preserve">osso fragile, trauma, deviazione comparsa in settimane. Uscita: niente sulla postura, invio.</w:t>
      </w:r>
    </w:p>
    <w:bookmarkEnd w:id="12"/>
    <w:bookmarkStart w:id="13" w:name="le-bandiere-rosse"/>
    <w:p>
      <w:pPr>
        <w:pStyle w:val="Heading2"/>
      </w:pPr>
      <w:r>
        <w:t xml:space="preserve">5 — Le bandiere rosse</w:t>
      </w:r>
    </w:p>
    <w:p>
      <w:pPr>
        <w:pStyle w:val="FirstParagraph"/>
      </w:pPr>
      <w:r>
        <w:rPr>
          <w:b/>
          <w:bCs/>
        </w:rPr>
        <w:t xml:space="preserve">Rete, non filtro:</w:t>
      </w:r>
      <w:r>
        <w:t xml:space="preserve"> </w:t>
      </w:r>
      <w:r>
        <w:t xml:space="preserve">una riga presente ti ferma, tutte assenti non escludono niente.</w:t>
      </w:r>
      <w:r>
        <w:t xml:space="preserve"> </w:t>
      </w:r>
      <w:r>
        <w:rPr>
          <w:b/>
          <w:bCs/>
        </w:rPr>
        <w:t xml:space="preserve">Passo zero: leggi la lista dei farmaci</w:t>
      </w:r>
      <w:r>
        <w:t xml:space="preserve"> </w:t>
      </w:r>
      <w:r>
        <w:t xml:space="preserve">— antidopaminergici, inibitori delle colinesterasi, cortisone prolungato.</w:t>
      </w:r>
    </w:p>
    <w:p>
      <w:pPr>
        <w:pStyle w:val="Compact"/>
        <w:numPr>
          <w:ilvl w:val="0"/>
          <w:numId w:val="1001"/>
        </w:numPr>
      </w:pPr>
      <w:r>
        <w:t xml:space="preserve">Ritenzione, incontinenza, anestesia a sella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Deficit motorio che peggiora nei giorni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Febbre o infezione recente col dolore →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Testa che cade, deglutizione, fatica serale → neurologo, o PS se fiato corto a riposo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Dolore che nessuna posizione modifica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Storia oncologica, calo di peso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Deviazione o dolore</w:t>
      </w:r>
      <w:r>
        <w:t xml:space="preserve"> </w:t>
      </w:r>
      <w:r>
        <w:rPr>
          <w:b/>
          <w:bCs/>
        </w:rPr>
        <w:t xml:space="preserve">nuovi</w:t>
      </w:r>
      <w:r>
        <w:t xml:space="preserve"> </w:t>
      </w:r>
      <w:r>
        <w:t xml:space="preserve">su osso fragile (o cortisone, o trauma)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Piega nuova con segni parkinsoniani, a qualunque età → neurologo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Deviazione dopo farmaco antidopaminergico → prescrittore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Adolescente in crescita, curva e dolore → ortopedico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Quadro infiammatorio: esordio &lt; 45 anni, oltre 3 mesi, rigidità mattutina &gt; 30 min, risveglio nella seconda metà della notte, meglio col movimento e coi FANS → reumatologo →</w:t>
      </w:r>
      <w:r>
        <w:t xml:space="preserve"> </w:t>
      </w:r>
      <w:r>
        <w:rPr>
          <w:b/>
          <w:bCs/>
        </w:rPr>
        <w:t xml:space="preserve">Invio</w:t>
      </w:r>
      <w:r>
        <w:t xml:space="preserve"> </w:t>
      </w:r>
      <w:r>
        <w:t xml:space="preserve">(GIALLO prioritario)</w:t>
      </w:r>
    </w:p>
    <w:p>
      <w:pPr>
        <w:pStyle w:val="Compact"/>
        <w:numPr>
          <w:ilvl w:val="0"/>
          <w:numId w:val="1001"/>
        </w:numPr>
      </w:pPr>
      <w:r>
        <w:t xml:space="preserve">Osteoporosi nota senza deviazione nuova · storia oncologica remota stabile → curante →</w:t>
      </w:r>
      <w:r>
        <w:t xml:space="preserve"> </w:t>
      </w:r>
      <w:r>
        <w:rPr>
          <w:b/>
          <w:bCs/>
        </w:rPr>
        <w:t xml:space="preserve">Invio programmato</w:t>
      </w:r>
      <w:r>
        <w:t xml:space="preserve"> </w:t>
      </w:r>
      <w:r>
        <w:t xml:space="preserve">(GIALLO prioritario)</w:t>
      </w:r>
    </w:p>
    <w:p>
      <w:pPr>
        <w:pStyle w:val="FirstParagraph"/>
      </w:pPr>
      <w:r>
        <w:rPr>
          <w:b/>
          <w:bCs/>
        </w:rPr>
        <w:t xml:space="preserve">Le quattro uscite.</w:t>
      </w:r>
      <w:r>
        <w:t xml:space="preserve"> </w:t>
      </w:r>
      <w:r>
        <w:rPr>
          <w:b/>
          <w:bCs/>
        </w:rPr>
        <w:t xml:space="preserve">ROSSO</w:t>
      </w:r>
      <w:r>
        <w:t xml:space="preserve"> </w:t>
      </w:r>
      <w:r>
        <w:t xml:space="preserve">— basta una riga: stop, indicazione medica scritta, e nessun reperto la scavalca.</w:t>
      </w:r>
      <w:r>
        <w:t xml:space="preserve"> </w:t>
      </w:r>
      <w:r>
        <w:rPr>
          <w:b/>
          <w:bCs/>
        </w:rPr>
        <w:t xml:space="preserve">GIALLO</w:t>
      </w:r>
      <w:r>
        <w:t xml:space="preserve"> </w:t>
      </w:r>
      <w:r>
        <w:t xml:space="preserve">— inquadramento assente o incompleto, ed è il caso più frequente: si lavora in parallelo, a quattro condizioni scritte — reperto in cartella, paziente informato, canale medico attivo, revisione entro</w:t>
      </w:r>
      <w:r>
        <w:t xml:space="preserve"> </w:t>
      </w:r>
      <w:r>
        <w:rPr>
          <w:b/>
          <w:bCs/>
        </w:rPr>
        <w:t xml:space="preserve">sei settimane di calendario</w:t>
      </w:r>
      <w:r>
        <w:t xml:space="preserve">.</w:t>
      </w:r>
      <w:r>
        <w:t xml:space="preserve"> </w:t>
      </w:r>
      <w:r>
        <w:rPr>
          <w:b/>
          <w:bCs/>
        </w:rPr>
        <w:t xml:space="preserve">GIALLO prioritario:</w:t>
      </w:r>
      <w:r>
        <w:t xml:space="preserve"> </w:t>
      </w:r>
      <w:r>
        <w:t xml:space="preserve">comunicazione al curante</w:t>
      </w:r>
      <w:r>
        <w:t xml:space="preserve"> </w:t>
      </w:r>
      <w:r>
        <w:rPr>
          <w:i/>
          <w:iCs/>
        </w:rPr>
        <w:t xml:space="preserve">prima</w:t>
      </w:r>
      <w:r>
        <w:t xml:space="preserve"> </w:t>
      </w:r>
      <w:r>
        <w:t xml:space="preserve">della prima seduta, condizione nominata in cartella, tetto a</w:t>
      </w:r>
      <w:r>
        <w:t xml:space="preserve"> </w:t>
      </w:r>
      <w:r>
        <w:rPr>
          <w:b/>
          <w:bCs/>
        </w:rPr>
        <w:t xml:space="preserve">tre settimane</w:t>
      </w:r>
      <w:r>
        <w:t xml:space="preserve">.</w:t>
      </w:r>
      <w:r>
        <w:t xml:space="preserve"> </w:t>
      </w:r>
      <w:r>
        <w:rPr>
          <w:b/>
          <w:bCs/>
        </w:rPr>
        <w:t xml:space="preserve">VERDE:</w:t>
      </w:r>
      <w:r>
        <w:t xml:space="preserve"> </w:t>
      </w:r>
      <w:r>
        <w:t xml:space="preserve">nessuna riga rossa, e una fra piega già valutata dal medico dopo la crisi, accertamenti coerenti, ciclo sull’origine concluso.</w:t>
      </w:r>
      <w:r>
        <w:t xml:space="preserve"> </w:t>
      </w:r>
      <w:r>
        <w:rPr>
          <w:i/>
          <w:iCs/>
        </w:rPr>
        <w:t xml:space="preserve">Il triage non allenta un controllo: mette quattro condizioni dove non ce n’era nessuna — e una regola scritta e disattesa vale meno di nessuna regola.</w:t>
      </w:r>
    </w:p>
    <w:bookmarkEnd w:id="13"/>
    <w:bookmarkStart w:id="14" w:name="la-sicurezza-del-gesto-in-tre-righe"/>
    <w:p>
      <w:pPr>
        <w:pStyle w:val="Heading2"/>
      </w:pPr>
      <w:r>
        <w:t xml:space="preserve">6 — La sicurezza del gesto, in tre righe</w:t>
      </w:r>
    </w:p>
    <w:p>
      <w:pPr>
        <w:pStyle w:val="FirstParagraph"/>
      </w:pPr>
      <w:r>
        <w:t xml:space="preserve">Il profilo di rischio è</w:t>
      </w:r>
      <w:r>
        <w:t xml:space="preserve"> </w:t>
      </w:r>
      <w:r>
        <w:rPr>
          <w:b/>
          <w:bCs/>
        </w:rPr>
        <w:t xml:space="preserve">specifico della regione</w:t>
      </w:r>
      <w:r>
        <w:t xml:space="preserve">, non una funzione della sola forza.</w:t>
      </w:r>
      <w:r>
        <w:t xml:space="preserve"> </w:t>
      </w:r>
      <w:r>
        <w:t xml:space="preserve">Nel rachide lombare la classe di evento grave è</w:t>
      </w:r>
      <w:r>
        <w:t xml:space="preserve"> </w:t>
      </w:r>
      <w:r>
        <w:rPr>
          <w:b/>
          <w:bCs/>
        </w:rPr>
        <w:t xml:space="preserve">radicolare e discale</w:t>
      </w:r>
      <w:r>
        <w:t xml:space="preserve"> </w:t>
      </w:r>
      <w:r>
        <w:t xml:space="preserve">— cauda equina 38%, ernia peggiorata 30% su 77 casi pubblicati (Hebert 2013). È rarissima (Oliphant 2004) e senza eccesso rispetto alla fisioterapia (Trager 2024). Il segno da riconoscere è un deficit radicolare nuovo nelle ore dopo.</w:t>
      </w:r>
      <w:r>
        <w:t xml:space="preserve"> </w:t>
      </w:r>
      <w:r>
        <w:t xml:space="preserve">La seconda classe è ossea e toracica: i 2 eventi gravi su 960.140 sedute erano fratture costali in donne oltre i 60 anni con osteoporosi (Chu 2023, sorveglianza passiva, sottostima).</w:t>
      </w:r>
      <w:r>
        <w:t xml:space="preserve"> </w:t>
      </w:r>
      <w:r>
        <w:rPr>
          <w:b/>
          <w:bCs/>
        </w:rPr>
        <w:t xml:space="preserve">In osso fragile la flessione completa del tronco non si usa, né come marker né come osservazione</w:t>
      </w:r>
      <w:r>
        <w:t xml:space="preserve"> </w:t>
      </w:r>
      <w:r>
        <w:t xml:space="preserve">(Sinaki 1984).</w:t>
      </w:r>
    </w:p>
    <w:bookmarkEnd w:id="14"/>
    <w:bookmarkStart w:id="15" w:name="come-decidi-e-su-cosa-verifichi"/>
    <w:p>
      <w:pPr>
        <w:pStyle w:val="Heading2"/>
      </w:pPr>
      <w:r>
        <w:t xml:space="preserve">7 — Come decidi, e su cosa verifichi</w:t>
      </w:r>
    </w:p>
    <w:p>
      <w:pPr>
        <w:pStyle w:val="FirstParagraph"/>
      </w:pPr>
      <w:r>
        <w:rPr>
          <w:b/>
          <w:bCs/>
        </w:rPr>
        <w:t xml:space="preserve">Road map.</w:t>
      </w:r>
      <w:r>
        <w:t xml:space="preserve"> </w:t>
      </w:r>
      <w:r>
        <w:t xml:space="preserve">Il passo 0 non è ragionamento, è un</w:t>
      </w:r>
      <w:r>
        <w:t xml:space="preserve"> </w:t>
      </w:r>
      <w:r>
        <w:rPr>
          <w:b/>
          <w:bCs/>
        </w:rPr>
        <w:t xml:space="preserve">filtro di sicurezza</w:t>
      </w:r>
      <w:r>
        <w:t xml:space="preserve">: la sindrome di Pisa da farmaci fa lo stesso quadro e regredisce alla sospensione. Poi si procede così: cosa prende → cosa sta ancora proteggendo</w:t>
      </w:r>
      <w:r>
        <w:t xml:space="preserve"> </w:t>
      </w:r>
      <w:r>
        <w:rPr>
          <w:b/>
          <w:bCs/>
        </w:rPr>
        <w:t xml:space="preserve">e di che dolore si tratta</w:t>
      </w:r>
      <w:r>
        <w:t xml:space="preserve"> </w:t>
      </w:r>
      <w:r>
        <w:t xml:space="preserve">(i tre tipi, prima di aprire il ciclo) → livello di attivazione → cosa evita e quanto pesa l’evitamento → la restrizione cambia con lo stato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il punto d’arresto si ripete? → il tronco può stare dritto senza il vincolo periferico? → dov’è il tempismo → dove paga il carico spostato.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Da dove viene la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Dita-suolo in flessione</w:t>
            </w:r>
          </w:p>
        </w:tc>
        <w:tc>
          <w:tcPr/>
          <w:p>
            <w:pPr>
              <w:pStyle w:val="Compact"/>
            </w:pPr>
            <w:r>
              <w:t xml:space="preserve">5 cm</w:t>
            </w:r>
          </w:p>
        </w:tc>
        <w:tc>
          <w:tcPr/>
          <w:p>
            <w:pPr>
              <w:pStyle w:val="Compact"/>
            </w:pPr>
            <w:r>
              <w:t xml:space="preserve">Errore strumento raddoppiato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Differenza fra i lati, inclinazione</w:t>
            </w:r>
          </w:p>
        </w:tc>
        <w:tc>
          <w:tcPr/>
          <w:p>
            <w:pPr>
              <w:pStyle w:val="Compact"/>
            </w:pPr>
            <w:r>
              <w:t xml:space="preserve">2 cm</w:t>
            </w:r>
          </w:p>
        </w:tc>
        <w:tc>
          <w:tcPr/>
          <w:p>
            <w:pPr>
              <w:pStyle w:val="Compact"/>
            </w:pPr>
            <w:r>
              <w:t xml:space="preserve">Errore strumento raddoppiato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Silenzio degli erettori in flessione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Nessuna: si spegne o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su sito remoto (erettori controlaterali)</w:t>
            </w:r>
          </w:p>
        </w:tc>
        <w:tc>
          <w:tcPr/>
          <w:p>
            <w:pPr>
              <w:pStyle w:val="Compact"/>
            </w:pPr>
            <w:r>
              <w:t xml:space="preserve">0,54 kg/cm²</w:t>
            </w:r>
          </w:p>
        </w:tc>
        <w:tc>
          <w:tcPr/>
          <w:p>
            <w:pPr>
              <w:pStyle w:val="Compact"/>
            </w:pPr>
            <w:r>
              <w:t xml:space="preserve">MDC pubblicato, algometria manuale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sul gesto evitato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Convenzione dichiarata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Solo il silenzio degli erettori serve alla prova della chiave di volta</w:t>
      </w:r>
      <w:r>
        <w:t xml:space="preserve">, perché appartiene alla risposta motoria protettiva e non al piano su cui metti le mani. «Fuori piano» vuol dire fuori dal piano trattato, non fuori dal dominante. Tutti gli altri sono</w:t>
      </w:r>
      <w:r>
        <w:t xml:space="preserve"> </w:t>
      </w:r>
      <w:r>
        <w:rPr>
          <w:b/>
          <w:bCs/>
        </w:rPr>
        <w:t xml:space="preserve">misure di effetto immediato</w:t>
      </w:r>
      <w:r>
        <w:t xml:space="preserve">. La soglia algometrica remota ha cambiato titolo: sale dopo qualunque terapia manuale efficace, per modulazione discendente (Coronado 2012). Quindi misura che l’inibizione discendente ha risposto, non che avevi ragione.</w:t>
      </w:r>
    </w:p>
    <w:bookmarkEnd w:id="15"/>
    <w:bookmarkStart w:id="16" w:name="cosa-fa-il-paziente-da-solo"/>
    <w:p>
      <w:pPr>
        <w:pStyle w:val="Heading2"/>
      </w:pPr>
      <w:r>
        <w:t xml:space="preserve">8 — Cosa fa il paziente da solo</w:t>
      </w:r>
    </w:p>
    <w:p>
      <w:pPr>
        <w:pStyle w:val="FirstParagraph"/>
      </w:pPr>
      <w:r>
        <w:rPr>
          <w:b/>
          <w:bCs/>
        </w:rPr>
        <w:t xml:space="preserve">Riesposizione graduata al gesto evitato, con la spiegazione</w:t>
      </w:r>
      <w:r>
        <w:t xml:space="preserve"> </w:t>
      </w:r>
      <w:r>
        <w:t xml:space="preserve">— PROBABILE qui, DIMOSTRATO sulla lombalgia cronica disabilitante. È la sola leva con un dato</w:t>
      </w:r>
      <w:r>
        <w:t xml:space="preserve"> </w:t>
      </w:r>
      <w:r>
        <w:rPr>
          <w:b/>
          <w:bCs/>
        </w:rPr>
        <w:t xml:space="preserve">contro sham a contatto equivalente</w:t>
      </w:r>
      <w:r>
        <w:t xml:space="preserve">: 1,0 punto su 11 a 18 settimane, su 276 pazienti, con effetto dichiarato piccolo dagli autori (Bagg 2022).</w:t>
      </w:r>
      <w:r>
        <w:t xml:space="preserve"> </w:t>
      </w:r>
      <w:r>
        <w:rPr>
          <w:b/>
          <w:bCs/>
        </w:rPr>
        <w:t xml:space="preserve">Allenamento continuato del controllo del tronco</w:t>
      </w:r>
      <w:r>
        <w:t xml:space="preserve"> </w:t>
      </w:r>
      <w:r>
        <w:t xml:space="preserve">— PROBABILE qui, DIMOSTRATO sulla popolazione vicina: il multifido non recupera da solo, e le recidive scendono dall’84% al 30% a un anno (Hides 1996, 2001).</w:t>
      </w:r>
      <w:r>
        <w:t xml:space="preserve"> </w:t>
      </w:r>
      <w:r>
        <w:rPr>
          <w:b/>
          <w:bCs/>
        </w:rPr>
        <w:t xml:space="preserve">Respiro lento</w:t>
      </w:r>
      <w:r>
        <w:t xml:space="preserve"> </w:t>
      </w:r>
      <w:r>
        <w:t xml:space="preserve">— DIMOSTRATO sul meccanismo autonomico, IPOTESI sulla leva qui. Il ponte al tronco passa dalla minaccia percepita e dal diaframma posturale, non dal vago.</w:t>
      </w:r>
      <w:r>
        <w:t xml:space="preserve"> </w:t>
      </w:r>
      <w:r>
        <w:rPr>
          <w:b/>
          <w:bCs/>
        </w:rPr>
        <w:t xml:space="preserve">Il denominatore:</w:t>
      </w:r>
      <w:r>
        <w:t xml:space="preserve"> </w:t>
      </w:r>
      <w:r>
        <w:t xml:space="preserve">fino al 70% non esegue l’esercizio a casa (Beinart 2013). Un marker fermo a sei settimane si legge prima come aderenza mancata.</w:t>
      </w:r>
    </w:p>
    <w:bookmarkEnd w:id="16"/>
    <w:bookmarkStart w:id="17" w:name="la-frase-per-il-paziente"/>
    <w:p>
      <w:pPr>
        <w:pStyle w:val="Heading2"/>
      </w:pPr>
      <w:r>
        <w:t xml:space="preserve">9 — La frase per il paziente</w:t>
      </w:r>
    </w:p>
    <w:p>
      <w:pPr>
        <w:pStyle w:val="FirstParagraph"/>
      </w:pPr>
      <w:r>
        <w:rPr>
          <w:i/>
          <w:iCs/>
        </w:rPr>
        <w:t xml:space="preserve">“Quando facevi male davvero, il corpo si è messo in difesa: era la cosa giusta. Nessuno gli ha detto che l’emergenza era finita, ed è rimasto lì — come un ponteggio lasciato su a lavori finiti. Proviamo a toglierlo un pezzo alla volta, controllando ogni volta che regga.”</w:t>
      </w:r>
    </w:p>
    <w:p>
      <w:pPr>
        <w:pStyle w:val="BodyText"/>
      </w:pPr>
      <w:r>
        <w:t xml:space="preserve">E, prima della prima riesposizione: il fastidio previsto è locale e rientra da solo;</w:t>
      </w:r>
      <w:r>
        <w:t xml:space="preserve"> </w:t>
      </w:r>
      <w:r>
        <w:rPr>
          <w:b/>
          <w:bCs/>
        </w:rPr>
        <w:t xml:space="preserve">debolezza a una gamba, formicolio o perdita di sensibilità alla sella, difficoltà a urinare</w:t>
      </w:r>
      <w:r>
        <w:t xml:space="preserve"> </w:t>
      </w:r>
      <w:r>
        <w:t xml:space="preserve">sono un’altra cosa, e si va in pronto soccorso.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Fra i tronchi deviati di pazienti operati per ernia lombare, poco più della metà è rientrato entro sei mesi dalla rimozione chirurgica della causa (Kim, 2015, PMID 26606007). Quasi metà di quei corpi è rimasto storto anche dopo che il generatore era stato tolto. Ti autorizza a prendere in carico lo schema come un problema a sé. Non ti autorizza a promettere di raddrizzarlo: nemmeno la chirurgia ci è riuscita in metà dei casi.</w:t>
      </w:r>
    </w:p>
    <w:p>
      <w:pPr>
        <w:pStyle w:val="BlockText"/>
      </w:pPr>
      <w:r>
        <w:rPr>
          <w:b/>
          <w:bCs/>
        </w:rPr>
        <w:t xml:space="preserve">Il limite da tenere in bocca.</w:t>
      </w:r>
      <w:r>
        <w:t xml:space="preserve"> </w:t>
      </w:r>
      <w:r>
        <w:t xml:space="preserve">Le mani agiscono su</w:t>
      </w:r>
      <w:r>
        <w:t xml:space="preserve"> </w:t>
      </w:r>
      <w:r>
        <w:rPr>
          <w:b/>
          <w:bCs/>
        </w:rPr>
        <w:t xml:space="preserve">tutti e sei</w:t>
      </w:r>
      <w:r>
        <w:t xml:space="preserve"> </w:t>
      </w:r>
      <w:r>
        <w:t xml:space="preserve">i meccanismi, con forza molto diversa — PROBABILE su tre, IPOTESI sugli altri tre — e non sono la leva principale del ciclo. Il trattamento manuale osteopatico batte le cure abituali nella lombalgia aspecifica (Franke 2014), ma</w:t>
      </w:r>
      <w:r>
        <w:t xml:space="preserve"> </w:t>
      </w:r>
      <w:r>
        <w:rPr>
          <w:b/>
          <w:bCs/>
        </w:rPr>
        <w:t xml:space="preserve">non è dimostrato superiore a un finto trattamento</w:t>
      </w:r>
      <w:r>
        <w:t xml:space="preserve"> </w:t>
      </w:r>
      <w:r>
        <w:t xml:space="preserve">(Nguyen 2021; Ceballos-Laita 2024). E la posizione non si scrive come esito, per due ragioni: fra due colleghi non significa la stessa cosa (Werneke 2014), e su 41 revisioni sistematiche non esiste consenso sulla causalità fra assetto e lombalgia (Swain 2020).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 ·</w:t>
      </w:r>
      <w:r>
        <w:t xml:space="preserve"> </w:t>
      </w:r>
      <w:r>
        <w:rPr>
          <w:b/>
          <w:bCs/>
        </w:rPr>
        <w:t xml:space="preserve">DIMOSTRATO nell’animale</w:t>
      </w:r>
      <w:r>
        <w:t xml:space="preserve"> </w:t>
      </w:r>
      <w:r>
        <w:t xml:space="preserve">studi solidi, ma su animale</w:t>
      </w:r>
    </w:p>
    <w:p>
      <w:pPr>
        <w:pStyle w:val="BlockText"/>
      </w:pPr>
      <w:r>
        <w:rPr>
          <w:b/>
          <w:bCs/>
        </w:rPr>
        <w:t xml:space="preserve">Sei autonomo quando fai tre cose senza esitare:</w:t>
      </w:r>
      <w:r>
        <w:t xml:space="preserve"> </w:t>
      </w:r>
      <w:r>
        <w:t xml:space="preserve">separi un tessuto adattato da una guardia automatica (il punto d’arresto si ripete uguale?); riconosci la piega che non ha una crisi dolorosa all’origine, e la mandi; dici a un medico che cosa possiamo e che cosa non possiamo affermare.</w:t>
      </w:r>
    </w:p>
    <w:p>
      <w:pPr>
        <w:pStyle w:val="FirstParagraph"/>
      </w:pPr>
      <w:r>
        <w:rPr>
          <w:i/>
          <w:iCs/>
        </w:rPr>
        <w:t xml:space="preserve">Blocchi 6, 7 e 8 sono deviazioni dichiarate dallo standard a sei blocchi (registro delle deviazioni, D-011, D-018, D-042).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2026-08-26T21:59:29Z</dcterms:created>
  <dcterms:modified xsi:type="dcterms:W3CDTF">2026-08-26T21:59:29Z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