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Bibbia Teorica — Dolori Articolari</w:t>
      </w:r>
    </w:p>
    <w:p>
      <w:pPr>
        <w:pStyle w:val="Author"/>
      </w:pPr>
      <w:r>
        <w:t xml:space="preserve">Mobilitas — Direzione Osteopatica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26" w:name="bibbia-dolori-articolari"/>
    <w:p>
      <w:pPr>
        <w:pStyle w:val="Heading1"/>
      </w:pPr>
      <w:r>
        <w:t xml:space="preserve">Bibbia — Dolori articolari</w:t>
      </w:r>
    </w:p>
    <w:p>
      <w:pPr>
        <w:pStyle w:val="FirstParagraph"/>
      </w:pPr>
      <w:r>
        <w:rPr>
          <w:b/>
          <w:bCs/>
        </w:rPr>
        <w:t xml:space="preserve">Mobilitas · OsteoTouch</w:t>
      </w:r>
      <w:r>
        <w:t xml:space="preserve"> </w:t>
      </w:r>
      <w:r>
        <w:rPr>
          <w:b/>
          <w:bCs/>
        </w:rPr>
        <w:t xml:space="preserve">Ancora clinica:</w:t>
      </w:r>
      <w:r>
        <w:t xml:space="preserve"> </w:t>
      </w:r>
      <w:r>
        <w:t xml:space="preserve">Krysia Dziedzic, Keele University ·</w:t>
      </w:r>
      <w:r>
        <w:t xml:space="preserve"> </w:t>
      </w:r>
      <w:r>
        <w:rPr>
          <w:b/>
          <w:bCs/>
        </w:rPr>
        <w:t xml:space="preserve">Ancora fisiologica:</w:t>
      </w:r>
      <w:r>
        <w:t xml:space="preserve"> </w:t>
      </w:r>
      <w:r>
        <w:t xml:space="preserve">Lars Arendt-Nielsen, Aalborg University</w:t>
      </w:r>
      <w:r>
        <w:t xml:space="preserve"> </w:t>
      </w:r>
      <w:r>
        <w:rPr>
          <w:b/>
          <w:bCs/>
        </w:rPr>
        <w:t xml:space="preserve">v7.0 — agosto 2026 (revisione di lingua, 6º livello applicato)</w:t>
      </w:r>
    </w:p>
    <w:p>
      <w:r>
        <w:pict>
          <v:rect style="width:0;height:1.5pt" o:hralign="center" o:hrstd="t" o:hr="t"/>
        </w:pict>
      </w:r>
    </w:p>
    <w:bookmarkStart w:id="9" w:name="capitolo-0-come-si-usa-questa-bibbia"/>
    <w:p>
      <w:pPr>
        <w:pStyle w:val="Heading2"/>
      </w:pPr>
      <w:r>
        <w:t xml:space="preserve">Capitolo 0 — Come si usa questa Bibbia</w:t>
      </w:r>
    </w:p>
    <w:p>
      <w:pPr>
        <w:pStyle w:val="BlockText"/>
      </w:pPr>
      <w:r>
        <w:rPr>
          <w:b/>
          <w:bCs/>
        </w:rPr>
        <w:t xml:space="preserve">In una riga:</w:t>
      </w:r>
      <w:r>
        <w:t xml:space="preserve"> </w:t>
      </w:r>
      <w:r>
        <w:t xml:space="preserve">questo documento non parla di un’articolazione che fa male, parla di un paziente che ne ha diverse, e la differenza fra le due cose è l’intero contenuto delle pagine che seguono.</w:t>
      </w:r>
    </w:p>
    <w:p>
      <w:pPr>
        <w:pStyle w:val="FirstParagraph"/>
      </w:pPr>
      <w:r>
        <w:rPr>
          <w:b/>
          <w:bCs/>
        </w:rPr>
        <w:t xml:space="preserve">A chi parla, e cosa contiene.</w:t>
      </w:r>
      <w:r>
        <w:t xml:space="preserve"> </w:t>
      </w:r>
      <w:r>
        <w:t xml:space="preserve">Parla all’osteopata del team e presuppone la laurea. Spiega cosa cambia quando le articolazioni dolenti sono quattro invece di una.</w:t>
      </w:r>
    </w:p>
    <w:p>
      <w:pPr>
        <w:pStyle w:val="BodyText"/>
      </w:pPr>
      <w:r>
        <w:rPr>
          <w:b/>
          <w:bCs/>
        </w:rPr>
        <w:t xml:space="preserve">È l’ombrello</w:t>
      </w:r>
      <w:r>
        <w:t xml:space="preserve"> </w:t>
      </w:r>
      <w:r>
        <w:t xml:space="preserve">delle Bibbie di sede: artrosi, cervicalgia, lombalgia, sciatalgia, dorsalgia, dolori mandibolari. Porta il ragionamento che decide una domanda sola:</w:t>
      </w:r>
      <w:r>
        <w:t xml:space="preserve"> </w:t>
      </w:r>
      <w:r>
        <w:rPr>
          <w:b/>
          <w:bCs/>
        </w:rPr>
        <w:t xml:space="preserve">questo paziente ha un problema articolare meccanico, oppure un’altra cosa che si manifesta con dolore alle articolazioni?</w:t>
      </w:r>
    </w:p>
    <w:p>
      <w:pPr>
        <w:pStyle w:val="BodyText"/>
      </w:pPr>
      <w:r>
        <w:t xml:space="preserve">Qui c’è la conoscenza: cos’è, perché succede, quali meccanismi la tengono in piedi, quanto è solido ciascuno, perché le mani possono agire e fin dove. Il piano della seduta sta nella</w:t>
      </w:r>
      <w:r>
        <w:t xml:space="preserve"> </w:t>
      </w:r>
      <w:r>
        <w:rPr>
          <w:b/>
          <w:bCs/>
        </w:rPr>
        <w:t xml:space="preserve">Procedura</w:t>
      </w:r>
      <w:r>
        <w:t xml:space="preserve"> </w:t>
      </w:r>
      <w:r>
        <w:t xml:space="preserve">— tecniche, ordine, minuti, quale esercizio consegni e quando.</w:t>
      </w:r>
    </w:p>
    <w:p>
      <w:pPr>
        <w:pStyle w:val="BodyText"/>
      </w:pPr>
      <w:r>
        <w:rPr>
          <w:b/>
          <w:bCs/>
        </w:rPr>
        <w:t xml:space="preserve">Come si leggono le etichette.</w:t>
      </w:r>
      <w:r>
        <w:t xml:space="preserve"> </w:t>
      </w:r>
      <w:r>
        <w:t xml:space="preserve">Ogni affermazione importante porta un box che dichiara quanto è solida. Le etichette sono quattro, mai una quinta, e ognuna ha la sua glossa fissa:</w:t>
      </w:r>
    </w:p>
    <w:p>
      <w:pPr>
        <w:pStyle w:val="Compact"/>
        <w:numPr>
          <w:ilvl w:val="0"/>
          <w:numId w:val="1001"/>
        </w:numPr>
      </w:pPr>
      <w:r>
        <w:rPr>
          <w:b/>
          <w:bCs/>
        </w:rPr>
        <w:t xml:space="preserve">DIMOSTRATO</w:t>
      </w:r>
      <w:r>
        <w:t xml:space="preserve"> </w:t>
      </w:r>
      <w:r>
        <w:rPr>
          <w:i/>
          <w:iCs/>
        </w:rPr>
        <w:t xml:space="preserve">(studi sull’uomo, solidi)</w:t>
      </w:r>
    </w:p>
    <w:p>
      <w:pPr>
        <w:pStyle w:val="Compact"/>
        <w:numPr>
          <w:ilvl w:val="0"/>
          <w:numId w:val="1001"/>
        </w:numPr>
      </w:pPr>
      <w:r>
        <w:rPr>
          <w:b/>
          <w:bCs/>
        </w:rPr>
        <w:t xml:space="preserve">PROBABILE</w:t>
      </w:r>
      <w:r>
        <w:t xml:space="preserve"> </w:t>
      </w:r>
      <w:r>
        <w:rPr>
          <w:i/>
          <w:iCs/>
        </w:rPr>
        <w:t xml:space="preserve">(razionale forte, prove parziali)</w:t>
      </w:r>
    </w:p>
    <w:p>
      <w:pPr>
        <w:pStyle w:val="Compact"/>
        <w:numPr>
          <w:ilvl w:val="0"/>
          <w:numId w:val="1001"/>
        </w:numPr>
      </w:pPr>
      <w:r>
        <w:rPr>
          <w:b/>
          <w:bCs/>
        </w:rPr>
        <w:t xml:space="preserve">IPOTESI</w:t>
      </w:r>
      <w:r>
        <w:t xml:space="preserve"> </w:t>
      </w:r>
      <w:r>
        <w:rPr>
          <w:i/>
          <w:iCs/>
        </w:rPr>
        <w:t xml:space="preserve">(meccanismo coerente, nessuno studio)</w:t>
      </w:r>
    </w:p>
    <w:p>
      <w:pPr>
        <w:pStyle w:val="Compact"/>
        <w:numPr>
          <w:ilvl w:val="0"/>
          <w:numId w:val="1001"/>
        </w:numPr>
      </w:pPr>
      <w:r>
        <w:rPr>
          <w:b/>
          <w:bCs/>
        </w:rPr>
        <w:t xml:space="preserve">RAGIONAMENTO</w:t>
      </w:r>
      <w:r>
        <w:t xml:space="preserve"> </w:t>
      </w:r>
      <w:r>
        <w:rPr>
          <w:i/>
          <w:iCs/>
        </w:rPr>
        <w:t xml:space="preserve">(cornice clinica, non una prova)</w:t>
      </w:r>
    </w:p>
    <w:p>
      <w:pPr>
        <w:pStyle w:val="FirstParagraph"/>
      </w:pPr>
      <w:r>
        <w:rPr>
          <w:b/>
          <w:bCs/>
        </w:rPr>
        <w:t xml:space="preserve">Le parole del metodo.</w:t>
      </w:r>
      <w:r>
        <w:t xml:space="preserve"> </w:t>
      </w:r>
      <w:r>
        <w:t xml:space="preserve">Sette termini hanno una definizione fissa, uguale in tutte le Bibbie: marker, reperto disfunzionale, disfunzione somatica, compenso, catena, sistema dominante, lesione primaria. Il box</w:t>
      </w:r>
      <w:r>
        <w:t xml:space="preserve"> </w:t>
      </w:r>
      <w:r>
        <w:rPr>
          <w:rStyle w:val="VerbatimChar"/>
        </w:rPr>
        <w:t xml:space="preserve">Definizione</w:t>
      </w:r>
      <w:r>
        <w:t xml:space="preserve"> </w:t>
      </w:r>
      <w:r>
        <w:t xml:space="preserve">compare alla prima comparsa</w:t>
      </w:r>
      <w:r>
        <w:t xml:space="preserve"> </w:t>
      </w:r>
      <w:r>
        <w:rPr>
          <w:b/>
          <w:bCs/>
        </w:rPr>
        <w:t xml:space="preserve">operativa</w:t>
      </w:r>
      <w:r>
        <w:t xml:space="preserve"> </w:t>
      </w:r>
      <w:r>
        <w:t xml:space="preserve">del termine; gli altri stanno a Glossario.</w:t>
      </w:r>
    </w:p>
    <w:p>
      <w:pPr>
        <w:pStyle w:val="BodyText"/>
      </w:pPr>
      <w:r>
        <w:rPr>
          <w:b/>
          <w:bCs/>
        </w:rPr>
        <w:t xml:space="preserve">Due regole sulle etichette.</w:t>
      </w:r>
      <w:r>
        <w:t xml:space="preserve"> </w:t>
      </w:r>
      <w:r>
        <w:t xml:space="preserve">La prima:</w:t>
      </w:r>
      <w:r>
        <w:t xml:space="preserve"> </w:t>
      </w:r>
      <w:r>
        <w:rPr>
          <w:b/>
          <w:bCs/>
        </w:rPr>
        <w:t xml:space="preserve">l’etichetta non si declina.</w:t>
      </w:r>
      <w:r>
        <w:t xml:space="preserve"> </w:t>
      </w:r>
      <w:r>
        <w:t xml:space="preserve">Quando qualcuno ha misurato e non ha trovato, l’etichetta resta IPOTESI, e la prova contraria si scrive nella frase, nominata e citata. La seconda:</w:t>
      </w:r>
      <w:r>
        <w:t xml:space="preserve"> </w:t>
      </w:r>
      <w:r>
        <w:rPr>
          <w:b/>
          <w:bCs/>
        </w:rPr>
        <w:t xml:space="preserve">quando un’affermazione si compone di pezzi di forza diversa, l’etichetta si spezza.</w:t>
      </w:r>
      <w:r>
        <w:t xml:space="preserve"> </w:t>
      </w:r>
      <w:r>
        <w:t xml:space="preserve">Qui succede spesso, perché la fisiopatologia è misurata molto meglio dell’intervento.</w:t>
      </w:r>
    </w:p>
    <w:p>
      <w:pPr>
        <w:pStyle w:val="BodyText"/>
      </w:pPr>
      <w:r>
        <w:rPr>
          <w:b/>
          <w:bCs/>
        </w:rPr>
        <w:t xml:space="preserve">Come si studia, e il principio che tiene insieme i passi: questa Bibbia si studia contro i pazienti, non contro l’orologio.</w:t>
      </w:r>
      <w:r>
        <w:t xml:space="preserve"> </w:t>
      </w:r>
      <w:r>
        <w:t xml:space="preserve">Prima una lettura di fila. Poi una seconda passata, con un paziente vero in testa.</w:t>
      </w:r>
      <w:r>
        <w:t xml:space="preserve"> </w:t>
      </w:r>
      <w:r>
        <w:rPr>
          <w:b/>
          <w:bCs/>
        </w:rPr>
        <w:t xml:space="preserve">La prova che conta: chiudi il documento e prova a dire ad alta voce i cinque meccanismi, e da cosa si riconosce ciascuno.</w:t>
      </w:r>
      <w:r>
        <w:t xml:space="preserve"> </w:t>
      </w:r>
      <w:r>
        <w:t xml:space="preserve">Dopo i primi tre pazienti rileggi due capitoli: «Dove finisce il nostro campo», che decide chi resta con te e chi va, e «Cosa dice la scienza». Davanti al paziente, e a sei mesi, si legge la Mappa e non la Bibbia.</w:t>
      </w:r>
    </w:p>
    <w:p>
      <w:pPr>
        <w:pStyle w:val="BodyText"/>
      </w:pPr>
      <w:r>
        <w:rPr>
          <w:b/>
          <w:bCs/>
        </w:rPr>
        <w:t xml:space="preserve">Le tre cose da ricordare, più una</w:t>
      </w:r>
    </w:p>
    <w:p>
      <w:pPr>
        <w:pStyle w:val="Compact"/>
        <w:numPr>
          <w:ilvl w:val="0"/>
          <w:numId w:val="1002"/>
        </w:numPr>
      </w:pPr>
      <w:r>
        <w:t xml:space="preserve">Il numero di sedi dolorose non è un dettaglio anagrafico del caso. È un dato clinico, e cambia prognosi e condotta.</w:t>
      </w:r>
    </w:p>
    <w:p>
      <w:pPr>
        <w:pStyle w:val="Compact"/>
        <w:numPr>
          <w:ilvl w:val="0"/>
          <w:numId w:val="1002"/>
        </w:numPr>
      </w:pPr>
      <w:r>
        <w:t xml:space="preserve">Prima di qualunque ragionamento meccanico viene una domanda sola: questo quadro è meccanico o infiammatorio?</w:t>
      </w:r>
    </w:p>
    <w:p>
      <w:pPr>
        <w:pStyle w:val="Compact"/>
        <w:numPr>
          <w:ilvl w:val="0"/>
          <w:numId w:val="1002"/>
        </w:numPr>
      </w:pPr>
      <w:r>
        <w:t xml:space="preserve">Le etichette si leggono ogni volta. Sono il motivo per cui questo documento regge davanti a un reumatologo.</w:t>
      </w:r>
    </w:p>
    <w:p>
      <w:pPr>
        <w:pStyle w:val="Compact"/>
        <w:numPr>
          <w:ilvl w:val="0"/>
          <w:numId w:val="1002"/>
        </w:numPr>
      </w:pPr>
      <w:r>
        <w:rPr>
          <w:b/>
          <w:bCs/>
        </w:rPr>
        <w:t xml:space="preserve">Perché ci sei tu.</w:t>
      </w:r>
      <w:r>
        <w:t xml:space="preserve"> </w:t>
      </w:r>
      <w:r>
        <w:t xml:space="preserve">Otto ambulatori inglesi di medicina generale sono stati sorteggiati a grappolo: si sorteggia l’ambulatorio, non il paziente. E 525 adulti oltre i 45 anni con dolore articolare periferico sono stati seguiti per sei mesi. Dove i medici erano stati formati l’aderenza alle raccomandazioni è salita, e l’informazione scritta sull’esercizio è aumentata del 20,5%.</w:t>
      </w:r>
      <w:r>
        <w:t xml:space="preserve"> </w:t>
      </w:r>
      <w:r>
        <w:rPr>
          <w:b/>
          <w:bCs/>
        </w:rPr>
        <w:t xml:space="preserve">La funzione fisica a sei mesi non è cambiata</w:t>
      </w:r>
      <w:r>
        <w:t xml:space="preserve">: −0,37 punti, intervallo da −2,32 a 1,57 (Dziedzic,</w:t>
      </w:r>
      <w:r>
        <w:t xml:space="preserve"> </w:t>
      </w:r>
      <w:r>
        <w:rPr>
          <w:i/>
          <w:iCs/>
        </w:rPr>
        <w:t xml:space="preserve">Osteoarthritis Cartilage</w:t>
      </w:r>
      <w:r>
        <w:t xml:space="preserve"> </w:t>
      </w:r>
      <w:r>
        <w:t xml:space="preserve">2018, PMID 29037845).</w:t>
      </w:r>
      <w:r>
        <w:t xml:space="preserve"> </w:t>
      </w:r>
      <w:r>
        <w:rPr>
          <w:b/>
          <w:bCs/>
        </w:rPr>
        <w:t xml:space="preserve">Per te:</w:t>
      </w:r>
      <w:r>
        <w:t xml:space="preserve"> </w:t>
      </w:r>
      <w:r>
        <w:t xml:space="preserve">informare meglio, da solo, non ha spostato la funzione di questi pazienti. Ti autorizza a occupare lo spazio fra il consiglio e l’esecuzione, dove nessuno li accompagna. Non ti autorizza a promettere che le tue mani facciano ciò che quel percorso non ha fatto: in quel percorso la tua parte non c’era, e nessuno degli studi che questa Bibbia cita l’ha misurata.</w:t>
      </w:r>
    </w:p>
    <w:p>
      <w:pPr>
        <w:pStyle w:val="FirstParagraph"/>
      </w:pPr>
      <w:r>
        <w:rPr>
          <w:i/>
          <w:iCs/>
        </w:rPr>
        <w:t xml:space="preserve">Buon nutrimento!</w:t>
      </w:r>
    </w:p>
    <w:p>
      <w:r>
        <w:pict>
          <v:rect style="width:0;height:1.5pt" o:hralign="center" o:hrstd="t" o:hr="t"/>
        </w:pict>
      </w:r>
    </w:p>
    <w:bookmarkEnd w:id="9"/>
    <w:bookmarkStart w:id="14" w:name="capitolo-1-chi-ti-trova-davanti"/>
    <w:p>
      <w:pPr>
        <w:pStyle w:val="Heading2"/>
      </w:pPr>
      <w:r>
        <w:t xml:space="preserve">Capitolo 1 — Chi ti trova davanti</w:t>
      </w:r>
    </w:p>
    <w:p>
      <w:pPr>
        <w:pStyle w:val="BlockText"/>
      </w:pPr>
      <w:r>
        <w:rPr>
          <w:b/>
          <w:bCs/>
        </w:rPr>
        <w:t xml:space="preserve">In una riga:</w:t>
      </w:r>
      <w:r>
        <w:t xml:space="preserve"> </w:t>
      </w:r>
      <w:r>
        <w:t xml:space="preserve">arriva con un elenco, non con un sintomo, e l’elenco è il primo dato clinico che ti consegna.</w:t>
      </w:r>
    </w:p>
    <w:bookmarkStart w:id="10" w:name="come-lo-racconta-lui"/>
    <w:p>
      <w:pPr>
        <w:pStyle w:val="Heading3"/>
      </w:pPr>
      <w:r>
        <w:t xml:space="preserve">Come lo racconta lui</w:t>
      </w:r>
    </w:p>
    <w:p>
      <w:pPr>
        <w:pStyle w:val="FirstParagraph"/>
      </w:pPr>
      <w:r>
        <w:rPr>
          <w:i/>
          <w:iCs/>
        </w:rPr>
        <w:t xml:space="preserve">“Mi fa male dappertutto.”</w:t>
      </w:r>
      <w:r>
        <w:t xml:space="preserve"> </w:t>
      </w:r>
      <w:r>
        <w:t xml:space="preserve">È la frase d’apertura, e va presa alla lettera: per lui è vera.</w:t>
      </w:r>
      <w:r>
        <w:t xml:space="preserve"> </w:t>
      </w:r>
      <w:r>
        <w:rPr>
          <w:i/>
          <w:iCs/>
        </w:rPr>
        <w:t xml:space="preserve">“Oggi le mani, domani le ginocchia, dopodomani le spalle.”</w:t>
      </w:r>
    </w:p>
    <w:p>
      <w:pPr>
        <w:pStyle w:val="BodyText"/>
      </w:pPr>
      <w:r>
        <w:rPr>
          <w:i/>
          <w:iCs/>
        </w:rPr>
        <w:t xml:space="preserve">“La mattina devo scongelarmi.”</w:t>
      </w:r>
      <w:r>
        <w:t xml:space="preserve"> </w:t>
      </w:r>
      <w:r>
        <w:t xml:space="preserve">Descrive i primi minuti come una procedura. Si siede sul bordo del letto, aspetta, poi si alza. Sa già come andrà prima di provarci.</w:t>
      </w:r>
    </w:p>
    <w:p>
      <w:pPr>
        <w:pStyle w:val="BodyText"/>
      </w:pPr>
      <w:r>
        <w:rPr>
          <w:i/>
          <w:iCs/>
        </w:rPr>
        <w:t xml:space="preserve">“Non voglio diventare un peso.”</w:t>
      </w:r>
      <w:r>
        <w:t xml:space="preserve"> </w:t>
      </w:r>
      <w:r>
        <w:t xml:space="preserve">Questa non la dice subito. Evita di chiedere aiuto per aprire un barattolo, perché chiedere lo fa sentire più vecchio. E c’è un pensiero che non ha detto a nessuno:</w:t>
      </w:r>
      <w:r>
        <w:t xml:space="preserve"> </w:t>
      </w:r>
      <w:r>
        <w:rPr>
          <w:i/>
          <w:iCs/>
        </w:rPr>
        <w:t xml:space="preserve">“se sto così adesso, come starò a sessanta?”</w:t>
      </w:r>
    </w:p>
    <w:bookmarkEnd w:id="10"/>
    <w:bookmarkStart w:id="11" w:name="cosa-ha-già-fatto"/>
    <w:p>
      <w:pPr>
        <w:pStyle w:val="Heading3"/>
      </w:pPr>
      <w:r>
        <w:t xml:space="preserve">Cosa ha già fatto</w:t>
      </w:r>
    </w:p>
    <w:p>
      <w:pPr>
        <w:pStyle w:val="FirstParagraph"/>
      </w:pPr>
      <w:r>
        <w:t xml:space="preserve">Radiografie delle sedi peggiori. Esami reumatologici — VES, PCR, fattore reumatoide, anti-CCP — spesso una sola volta e molti anni fa. Antinfiammatori, prima ogni tanto poi sempre più spesso. Integratori per la cartilagine, comprati da solo. Forse una visita reumatologica, da cui è tornato con un</w:t>
      </w:r>
      <w:r>
        <w:t xml:space="preserve"> </w:t>
      </w:r>
      <w:r>
        <w:rPr>
          <w:i/>
          <w:iCs/>
        </w:rPr>
        <w:t xml:space="preserve">“non è artrite”</w:t>
      </w:r>
      <w:r>
        <w:t xml:space="preserve"> </w:t>
      </w:r>
      <w:r>
        <w:t xml:space="preserve">che nessuno gli ha tradotto. E una spiegazione:</w:t>
      </w:r>
      <w:r>
        <w:t xml:space="preserve"> </w:t>
      </w:r>
      <w:r>
        <w:rPr>
          <w:b/>
          <w:bCs/>
        </w:rPr>
        <w:t xml:space="preserve">“è l’età”</w:t>
      </w:r>
      <w:r>
        <w:t xml:space="preserve">, che non è una diagnosi, ed è la frase che gli ha fatto smettere di cercare.</w:t>
      </w:r>
    </w:p>
    <w:p>
      <w:pPr>
        <w:pStyle w:val="BodyText"/>
      </w:pPr>
      <w:r>
        <w:rPr>
          <w:b/>
          <w:bCs/>
        </w:rPr>
        <w:t xml:space="preserve">Quello che non è scritto da nessuna parte.</w:t>
      </w:r>
      <w:r>
        <w:t xml:space="preserve"> </w:t>
      </w:r>
      <w:r>
        <w:t xml:space="preserve">Spesso ha più di un’altra malattia e più di cinque farmaci al giorno. Una quota di quello che prende per il dolore</w:t>
      </w:r>
      <w:r>
        <w:t xml:space="preserve"> </w:t>
      </w:r>
      <w:r>
        <w:rPr>
          <w:b/>
          <w:bCs/>
        </w:rPr>
        <w:t xml:space="preserve">non compare in nessuna terapia scritta</w:t>
      </w:r>
      <w:r>
        <w:t xml:space="preserve">, perché se l’è comprata da sé. Chiedi la lista intera, dosi e mesi compresi: quei farmaci hanno un profilo di rischio che nell’anziano cresce, e tu sei spesso l’unico che li conta.</w:t>
      </w:r>
    </w:p>
    <w:bookmarkEnd w:id="11"/>
    <w:bookmarkStart w:id="12" w:name="cosa-nessuno-ha-guardato"/>
    <w:p>
      <w:pPr>
        <w:pStyle w:val="Heading3"/>
      </w:pPr>
      <w:r>
        <w:t xml:space="preserve">Cosa nessuno ha guardato</w:t>
      </w:r>
    </w:p>
    <w:p>
      <w:pPr>
        <w:pStyle w:val="FirstParagraph"/>
      </w:pPr>
      <w:r>
        <w:t xml:space="preserve">Il percorso standard funziona per sede, ed è corretto: l’ortopedico guarda il ginocchio, il reumatologo esclude l’artrite, il medico di base legge gli esami. Ha però un buco strutturale:</w:t>
      </w:r>
      <w:r>
        <w:t xml:space="preserve"> </w:t>
      </w:r>
      <w:r>
        <w:rPr>
          <w:b/>
          <w:bCs/>
        </w:rPr>
        <w:t xml:space="preserve">nessuno ha contato le sedi.</w:t>
      </w:r>
      <w:r>
        <w:t xml:space="preserve"> </w:t>
      </w:r>
      <w:r>
        <w:t xml:space="preserve">È l’auto portata in tre officine diverse, una per pezzo: ognuno firma il suo, e nessuno la guarda intera.</w:t>
      </w:r>
    </w:p>
    <w:p>
      <w:pPr>
        <w:pStyle w:val="BodyText"/>
      </w:pPr>
      <w:r>
        <w:t xml:space="preserve">Restano fuori due cose. La prima è</w:t>
      </w:r>
      <w:r>
        <w:t xml:space="preserve"> </w:t>
      </w:r>
      <w:r>
        <w:rPr>
          <w:b/>
          <w:bCs/>
        </w:rPr>
        <w:t xml:space="preserve">la relazione fra le sedi</w:t>
      </w:r>
      <w:r>
        <w:t xml:space="preserve"> </w:t>
      </w:r>
      <w:r>
        <w:t xml:space="preserve">— quanto del dolore al ginocchio nasce nell’anca, quanto di quello alla spalla nasce nel collo. La seconda è</w:t>
      </w:r>
      <w:r>
        <w:t xml:space="preserve"> </w:t>
      </w:r>
      <w:r>
        <w:rPr>
          <w:b/>
          <w:bCs/>
        </w:rPr>
        <w:t xml:space="preserve">quanto poco stimolo serve, oggi, per produrre dolore in quest’uomo</w:t>
      </w:r>
      <w:r>
        <w:t xml:space="preserve">: è una variabile misurabile in stanza, e non compare in nessun referto.</w:t>
      </w:r>
    </w:p>
    <w:bookmarkEnd w:id="12"/>
    <w:bookmarkStart w:id="13" w:name="le-tre-domande-che-ti-farà"/>
    <w:p>
      <w:pPr>
        <w:pStyle w:val="Heading3"/>
      </w:pPr>
      <w:r>
        <w:t xml:space="preserve">Le tre domande che ti farà</w:t>
      </w:r>
    </w:p>
    <w:p>
      <w:pPr>
        <w:pStyle w:val="FirstParagraph"/>
      </w:pPr>
      <w:r>
        <w:rPr>
          <w:i/>
          <w:iCs/>
        </w:rPr>
        <w:t xml:space="preserve">“Perché mi fa male in posti diversi?”</w:t>
      </w:r>
      <w:r>
        <w:t xml:space="preserve"> </w:t>
      </w:r>
      <w:r>
        <w:t xml:space="preserve">— sta in «Cosa si rompe», e non è una risposta sola.</w:t>
      </w:r>
    </w:p>
    <w:p>
      <w:pPr>
        <w:pStyle w:val="BodyText"/>
      </w:pPr>
      <w:r>
        <w:rPr>
          <w:i/>
          <w:iCs/>
        </w:rPr>
        <w:t xml:space="preserve">“È l’artrosi, vero? È l’età?”</w:t>
      </w:r>
      <w:r>
        <w:t xml:space="preserve"> </w:t>
      </w:r>
      <w:r>
        <w:t xml:space="preserve">— sta in «Che cos’è davvero», e la parte utile è quella che l’età</w:t>
      </w:r>
      <w:r>
        <w:t xml:space="preserve"> </w:t>
      </w:r>
      <w:r>
        <w:rPr>
          <w:b/>
          <w:bCs/>
        </w:rPr>
        <w:t xml:space="preserve">non</w:t>
      </w:r>
      <w:r>
        <w:t xml:space="preserve"> </w:t>
      </w:r>
      <w:r>
        <w:t xml:space="preserve">spiega.</w:t>
      </w:r>
    </w:p>
    <w:p>
      <w:pPr>
        <w:pStyle w:val="BodyText"/>
      </w:pPr>
      <w:r>
        <w:rPr>
          <w:i/>
          <w:iCs/>
        </w:rPr>
        <w:t xml:space="preserve">“Devo fare altri esami?”</w:t>
      </w:r>
      <w:r>
        <w:t xml:space="preserve"> </w:t>
      </w:r>
      <w:r>
        <w:t xml:space="preserve">— sta in «Dove finisce il nostro campo», ed è un triage.</w:t>
      </w:r>
    </w:p>
    <w:p>
      <w:pPr>
        <w:pStyle w:val="BodyText"/>
      </w:pPr>
      <w:r>
        <w:rPr>
          <w:b/>
          <w:bCs/>
        </w:rPr>
        <w:t xml:space="preserve">Le tre cose da ricordare, più una</w:t>
      </w:r>
    </w:p>
    <w:p>
      <w:pPr>
        <w:pStyle w:val="Compact"/>
        <w:numPr>
          <w:ilvl w:val="0"/>
          <w:numId w:val="1003"/>
        </w:numPr>
      </w:pPr>
      <w:r>
        <w:t xml:space="preserve">L’elenco delle sedi si scrive, non si riassume: è la misura di partenza del caso.</w:t>
      </w:r>
    </w:p>
    <w:p>
      <w:pPr>
        <w:pStyle w:val="Compact"/>
        <w:numPr>
          <w:ilvl w:val="0"/>
          <w:numId w:val="1003"/>
        </w:numPr>
      </w:pPr>
      <w:r>
        <w:t xml:space="preserve">Il</w:t>
      </w:r>
      <w:r>
        <w:t xml:space="preserve"> </w:t>
      </w:r>
      <w:r>
        <w:rPr>
          <w:i/>
          <w:iCs/>
        </w:rPr>
        <w:t xml:space="preserve">“non è artrite”</w:t>
      </w:r>
      <w:r>
        <w:t xml:space="preserve"> </w:t>
      </w:r>
      <w:r>
        <w:t xml:space="preserve">è un’informazione preziosa e datata: chiedi quando è stato detto.</w:t>
      </w:r>
    </w:p>
    <w:p>
      <w:pPr>
        <w:pStyle w:val="Compact"/>
        <w:numPr>
          <w:ilvl w:val="0"/>
          <w:numId w:val="1003"/>
        </w:numPr>
      </w:pPr>
      <w:r>
        <w:t xml:space="preserve">La lista dei farmaci si chiede intera, e comprende quello che si è comprato da solo.</w:t>
      </w:r>
    </w:p>
    <w:p>
      <w:pPr>
        <w:pStyle w:val="Compact"/>
        <w:numPr>
          <w:ilvl w:val="0"/>
          <w:numId w:val="1003"/>
        </w:numPr>
      </w:pPr>
      <w:r>
        <w:rPr>
          <w:b/>
          <w:bCs/>
        </w:rPr>
        <w:t xml:space="preserve">Perché ci sei tu.</w:t>
      </w:r>
      <w:r>
        <w:t xml:space="preserve"> </w:t>
      </w:r>
      <w:r>
        <w:t xml:space="preserve">In un’indagine postale su 15.083 adulti oltre i 45 anni,</w:t>
      </w:r>
      <w:r>
        <w:t xml:space="preserve"> </w:t>
      </w:r>
      <w:r>
        <w:rPr>
          <w:b/>
          <w:bCs/>
        </w:rPr>
        <w:t xml:space="preserve">il 54% riferiva dolore in due o più articolazioni periferiche.</w:t>
      </w:r>
      <w:r>
        <w:t xml:space="preserve"> </w:t>
      </w:r>
      <w:r>
        <w:t xml:space="preserve">Fra chi aveva dolore periferico,</w:t>
      </w:r>
      <w:r>
        <w:t xml:space="preserve"> </w:t>
      </w:r>
      <w:r>
        <w:rPr>
          <w:b/>
          <w:bCs/>
        </w:rPr>
        <w:t xml:space="preserve">quasi sette su dieci lo avevano in più sedi</w:t>
      </w:r>
      <w:r>
        <w:t xml:space="preserve">, con una probabilità di aver consultato il medico di famiglia più che doppia (OR 2,4; 2,2–2,6) (Finney,</w:t>
      </w:r>
      <w:r>
        <w:t xml:space="preserve"> </w:t>
      </w:r>
      <w:r>
        <w:rPr>
          <w:i/>
          <w:iCs/>
        </w:rPr>
        <w:t xml:space="preserve">BMC Musculoskelet Disord</w:t>
      </w:r>
      <w:r>
        <w:t xml:space="preserve"> </w:t>
      </w:r>
      <w:r>
        <w:t xml:space="preserve">2017, PMID 29246141).</w:t>
      </w:r>
      <w:r>
        <w:t xml:space="preserve"> </w:t>
      </w:r>
      <w:r>
        <w:rPr>
          <w:b/>
          <w:bCs/>
        </w:rPr>
        <w:t xml:space="preserve">Per te:</w:t>
      </w:r>
      <w:r>
        <w:t xml:space="preserve"> </w:t>
      </w:r>
      <w:r>
        <w:t xml:space="preserve">chi ti elenca quattro sedi non è un caso complicato, è il caso normale — e il percorso che ha alle spalle è organizzato per sede. Ti autorizza a fare la cosa che nessuno ha fatto: guardarlo intero e in una volta. Non ti autorizza a trattare tutte le sedi che nomina.</w:t>
      </w:r>
    </w:p>
    <w:p>
      <w:r>
        <w:pict>
          <v:rect style="width:0;height:1.5pt" o:hralign="center" o:hrstd="t" o:hr="t"/>
        </w:pict>
      </w:r>
    </w:p>
    <w:bookmarkEnd w:id="13"/>
    <w:bookmarkEnd w:id="14"/>
    <w:bookmarkStart w:id="19" w:name="capitolo-2-che-cosè-davvero"/>
    <w:p>
      <w:pPr>
        <w:pStyle w:val="Heading2"/>
      </w:pPr>
      <w:r>
        <w:t xml:space="preserve">Capitolo 2 — Che cos’è davvero</w:t>
      </w:r>
    </w:p>
    <w:p>
      <w:pPr>
        <w:pStyle w:val="BlockText"/>
      </w:pPr>
      <w:r>
        <w:rPr>
          <w:b/>
          <w:bCs/>
        </w:rPr>
        <w:t xml:space="preserve">In una riga:</w:t>
      </w:r>
      <w:r>
        <w:t xml:space="preserve"> </w:t>
      </w:r>
      <w:r>
        <w:t xml:space="preserve">«dolori articolari» non è una diagnosi, è la porta d’ingresso di almeno tre quadri diversi, e il tuo primo lavoro è sapere in quale sei.</w:t>
      </w:r>
    </w:p>
    <w:bookmarkStart w:id="15" w:name="la-definizione-e-perché-non-è-una"/>
    <w:p>
      <w:pPr>
        <w:pStyle w:val="Heading3"/>
      </w:pPr>
      <w:r>
        <w:t xml:space="preserve">La definizione, e perché non è una</w:t>
      </w:r>
    </w:p>
    <w:p>
      <w:pPr>
        <w:pStyle w:val="FirstParagraph"/>
      </w:pPr>
      <w:r>
        <w:t xml:space="preserve">Il paziente porta un’etichetta descrittiva: dolore in più articolazioni. Sotto quell’etichetta convivono tre famiglie.</w:t>
      </w:r>
    </w:p>
    <w:p>
      <w:pPr>
        <w:pStyle w:val="BodyText"/>
      </w:pPr>
      <w:r>
        <w:rPr>
          <w:b/>
          <w:bCs/>
        </w:rPr>
        <w:t xml:space="preserve">La prima è meccanico-degenerativa</w:t>
      </w:r>
      <w:r>
        <w:t xml:space="preserve">, ed è la più frequente dopo i 45 anni. Secondo la linea guida inglese la si riconosce clinicamente, senza immagini. I criteri sono tre:</w:t>
      </w:r>
      <w:r>
        <w:t xml:space="preserve"> </w:t>
      </w:r>
      <w:r>
        <w:rPr>
          <w:b/>
          <w:bCs/>
        </w:rPr>
        <w:t xml:space="preserve">45 anni o più, dolore legato all’attività, e o nessuna rigidità mattutina o una rigidità che non supera i 30 minuti</w:t>
      </w:r>
      <w:r>
        <w:t xml:space="preserve">. La stessa linea guida aggiunge che l’imaging non va usato di routine,</w:t>
      </w:r>
      <w:r>
        <w:t xml:space="preserve"> </w:t>
      </w:r>
      <w:r>
        <w:rPr>
          <w:b/>
          <w:bCs/>
        </w:rPr>
        <w:t xml:space="preserve">salvo caratteristiche atipiche o che suggeriscano un’altra diagnosi</w:t>
      </w:r>
      <w:r>
        <w:t xml:space="preserve"> </w:t>
      </w:r>
      <w:r>
        <w:t xml:space="preserve">(NICE NG226, 2022, raccomandazioni 1.1.1 e 1.1.2).</w:t>
      </w:r>
    </w:p>
    <w:p>
      <w:pPr>
        <w:pStyle w:val="BodyText"/>
      </w:pPr>
      <w:r>
        <w:rPr>
          <w:b/>
          <w:bCs/>
        </w:rPr>
        <w:t xml:space="preserve">La seconda è infiammatoria:</w:t>
      </w:r>
      <w:r>
        <w:t xml:space="preserve"> </w:t>
      </w:r>
      <w:r>
        <w:t xml:space="preserve">artrite reumatoide, spondiloartriti — artrite psoriasica compresa — polimialgia reumatica, artriti da cristalli, connettiviti. Non è nostra, e il tempo con cui la riconosci cambia l’esito.</w:t>
      </w:r>
    </w:p>
    <w:p>
      <w:pPr>
        <w:pStyle w:val="BodyText"/>
      </w:pPr>
      <w:r>
        <w:rPr>
          <w:b/>
          <w:bCs/>
        </w:rPr>
        <w:t xml:space="preserve">La terza è esogena o sistemica:</w:t>
      </w:r>
      <w:r>
        <w:t xml:space="preserve"> </w:t>
      </w:r>
      <w:r>
        <w:t xml:space="preserve">un farmaco, una tiroide che lavora poco, una fase della vita che cambia l’assetto ormonale, una malattia generale. Il dolore è reale, e il bersaglio non è l’articolazione.</w:t>
      </w:r>
    </w:p>
    <w:p>
      <w:pPr>
        <w:pStyle w:val="BlockText"/>
      </w:pPr>
      <w:r>
        <w:rPr>
          <w:b/>
          <w:bCs/>
        </w:rPr>
        <w:t xml:space="preserve">Attenzione.</w:t>
      </w:r>
      <w:r>
        <w:t xml:space="preserve"> </w:t>
      </w:r>
      <w:r>
        <w:t xml:space="preserve">La diagnosi è atto medico. Qui si spiega</w:t>
      </w:r>
      <w:r>
        <w:t xml:space="preserve"> </w:t>
      </w:r>
      <w:r>
        <w:rPr>
          <w:b/>
          <w:bCs/>
        </w:rPr>
        <w:t xml:space="preserve">come si legge</w:t>
      </w:r>
      <w:r>
        <w:t xml:space="preserve"> </w:t>
      </w:r>
      <w:r>
        <w:t xml:space="preserve">un quadro e come si smista, non come lo si formula. Nessuna di queste tre famiglie si</w:t>
      </w:r>
      <w:r>
        <w:t xml:space="preserve"> </w:t>
      </w:r>
      <w:r>
        <w:t xml:space="preserve">“esclude”</w:t>
      </w:r>
      <w:r>
        <w:t xml:space="preserve"> </w:t>
      </w:r>
      <w:r>
        <w:t xml:space="preserve">con le mani.</w:t>
      </w:r>
    </w:p>
    <w:bookmarkEnd w:id="15"/>
    <w:bookmarkStart w:id="16" w:name="quanto-è-diffusa-e-come-evolve"/>
    <w:p>
      <w:pPr>
        <w:pStyle w:val="Heading3"/>
      </w:pPr>
      <w:r>
        <w:t xml:space="preserve">Quanto è diffusa, e come evolve</w:t>
      </w:r>
    </w:p>
    <w:p>
      <w:pPr>
        <w:pStyle w:val="FirstParagraph"/>
      </w:pPr>
      <w:r>
        <w:t xml:space="preserve">La ragione per cui questa Bibbia esiste sta in una riga:</w:t>
      </w:r>
      <w:r>
        <w:t xml:space="preserve"> </w:t>
      </w:r>
      <w:r>
        <w:rPr>
          <w:b/>
          <w:bCs/>
        </w:rPr>
        <w:t xml:space="preserve">oltre i 45 anni, il dolore articolare in più sedi è più comune del dolore in una sede sola</w:t>
      </w:r>
      <w:r>
        <w:t xml:space="preserve"> </w:t>
      </w:r>
      <w:r>
        <w:t xml:space="preserve">(Finney, PMID 29246141).</w:t>
      </w:r>
    </w:p>
    <w:p>
      <w:pPr>
        <w:pStyle w:val="BodyText"/>
      </w:pPr>
      <w:r>
        <w:t xml:space="preserve">E c’è un dato che cambia il modo di parlare al paziente. Sei coorti norvegesi sono state seguite</w:t>
      </w:r>
      <w:r>
        <w:t xml:space="preserve"> </w:t>
      </w:r>
      <w:r>
        <w:rPr>
          <w:b/>
          <w:bCs/>
        </w:rPr>
        <w:t xml:space="preserve">quattordici anni</w:t>
      </w:r>
      <w:r>
        <w:t xml:space="preserve">, con lo stesso questionario nel 1990 e nel 2004 e una partecipazione del 67,2% e del 60,4%. Il numero medio di sedi è cresciuto poco, e il quadro è rimasto</w:t>
      </w:r>
      <w:r>
        <w:t xml:space="preserve"> </w:t>
      </w:r>
      <w:r>
        <w:rPr>
          <w:b/>
          <w:bCs/>
        </w:rPr>
        <w:t xml:space="preserve">notevolmente stabile</w:t>
      </w:r>
      <w:r>
        <w:t xml:space="preserve">. Nel modello finale, quasi l’80% di quello che si riusciva a spiegare del numero di sedi al follow-up veniva dal</w:t>
      </w:r>
      <w:r>
        <w:t xml:space="preserve"> </w:t>
      </w:r>
      <w:r>
        <w:rPr>
          <w:b/>
          <w:bCs/>
        </w:rPr>
        <w:t xml:space="preserve">numero di sedi di partenza</w:t>
      </w:r>
      <w:r>
        <w:t xml:space="preserve">; le uniche altre variabili rimaste erano sesso, età,</w:t>
      </w:r>
      <w:r>
        <w:t xml:space="preserve"> </w:t>
      </w:r>
      <w:r>
        <w:rPr>
          <w:b/>
          <w:bCs/>
        </w:rPr>
        <w:t xml:space="preserve">qualità del sonno</w:t>
      </w:r>
      <w:r>
        <w:t xml:space="preserve"> </w:t>
      </w:r>
      <w:r>
        <w:t xml:space="preserve">e istruzione (Kamaleri,</w:t>
      </w:r>
      <w:r>
        <w:t xml:space="preserve"> </w:t>
      </w:r>
      <w:r>
        <w:rPr>
          <w:i/>
          <w:iCs/>
        </w:rPr>
        <w:t xml:space="preserve">Pain</w:t>
      </w:r>
      <w:r>
        <w:t xml:space="preserve"> </w:t>
      </w:r>
      <w:r>
        <w:t xml:space="preserve">2009, PMID 18977088).</w:t>
      </w:r>
    </w:p>
    <w:p>
      <w:pPr>
        <w:pStyle w:val="BodyText"/>
      </w:pPr>
      <w:r>
        <w:t xml:space="preserve">Il numero da tenere accanto:</w:t>
      </w:r>
      <w:r>
        <w:t xml:space="preserve"> </w:t>
      </w:r>
      <w:r>
        <w:rPr>
          <w:b/>
          <w:bCs/>
        </w:rPr>
        <w:t xml:space="preserve">quel modello spiegava il 35% della varianza totale.</w:t>
      </w:r>
      <w:r>
        <w:t xml:space="preserve"> </w:t>
      </w:r>
      <w:r>
        <w:t xml:space="preserve">Quindi l’80% è l’80% di quel 35%. È stabilità di popolazione, non previsione sul singolo.</w:t>
      </w:r>
    </w:p>
    <w:p>
      <w:pPr>
        <w:pStyle w:val="BodyText"/>
      </w:pPr>
      <w:r>
        <w:rPr>
          <w:b/>
          <w:bCs/>
        </w:rPr>
        <w:t xml:space="preserve">Per te:</w:t>
      </w:r>
      <w:r>
        <w:t xml:space="preserve"> </w:t>
      </w:r>
      <w:r>
        <w:t xml:space="preserve">chi oggi ha quattro sedi, fra dieci anni ne avrà probabilmente un numero simile, non dieci. Questo ti toglie di bocca due frasi opposte e ugualmente false,</w:t>
      </w:r>
      <w:r>
        <w:t xml:space="preserve"> </w:t>
      </w:r>
      <w:r>
        <w:rPr>
          <w:i/>
          <w:iCs/>
        </w:rPr>
        <w:t xml:space="preserve">“peggiorerà sempre”</w:t>
      </w:r>
      <w:r>
        <w:t xml:space="preserve"> </w:t>
      </w:r>
      <w:r>
        <w:t xml:space="preserve">e</w:t>
      </w:r>
      <w:r>
        <w:t xml:space="preserve"> </w:t>
      </w:r>
      <w:r>
        <w:rPr>
          <w:i/>
          <w:iCs/>
        </w:rPr>
        <w:t xml:space="preserve">“si sistema da solo”</w:t>
      </w:r>
      <w:r>
        <w:t xml:space="preserve">. E la terza delle quattro variabili rimaste nel modello di Kamaleri porta una conseguenza pratica:</w:t>
      </w:r>
      <w:r>
        <w:t xml:space="preserve"> </w:t>
      </w:r>
      <w:r>
        <w:rPr>
          <w:b/>
          <w:bCs/>
        </w:rPr>
        <w:t xml:space="preserve">il sonno è l’unico fattore modificabile di quel gruppo</w:t>
      </w:r>
      <w:r>
        <w:t xml:space="preserve">, e va indagato alla prima seduta.</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per la stabilità del numero di sedi nel tempo e per il peso del dato di partenza (Kamaleri, PMID 18977088 — studio prospettico di popolazione, 14 anni). IPOTESI</w:t>
      </w:r>
      <w:r>
        <w:t xml:space="preserve"> </w:t>
      </w:r>
      <w:r>
        <w:rPr>
          <w:i/>
          <w:iCs/>
        </w:rPr>
        <w:t xml:space="preserve">(meccanismo coerente, nessuno studio)</w:t>
      </w:r>
      <w:r>
        <w:t xml:space="preserve"> </w:t>
      </w:r>
      <w:r>
        <w:t xml:space="preserve">che intervenire sul sonno cambi quella traiettoria: nessuno ha rimisurato il numero di sedi dopo un intervento sul sonno. Che la perdita di sonno indebolisca il freno discendente del dolore è invece misurato, e sta nel modello neurologico.</w:t>
      </w:r>
    </w:p>
    <w:p>
      <w:pPr>
        <w:pStyle w:val="FirstParagraph"/>
      </w:pPr>
      <w:r>
        <w:rPr>
          <w:b/>
          <w:bCs/>
        </w:rPr>
        <w:t xml:space="preserve">Una nota che vale per tutti i numeri sulle sedi.</w:t>
      </w:r>
      <w:r>
        <w:t xml:space="preserve"> </w:t>
      </w:r>
      <w:r>
        <w:t xml:space="preserve">I tre studi cardine contano cose diverse. Finney conta</w:t>
      </w:r>
      <w:r>
        <w:t xml:space="preserve"> </w:t>
      </w:r>
      <w:r>
        <w:rPr>
          <w:b/>
          <w:bCs/>
        </w:rPr>
        <w:t xml:space="preserve">sedi articolari periferiche</w:t>
      </w:r>
      <w:r>
        <w:t xml:space="preserve">. Kamaleri conta</w:t>
      </w:r>
      <w:r>
        <w:t xml:space="preserve"> </w:t>
      </w:r>
      <w:r>
        <w:rPr>
          <w:b/>
          <w:bCs/>
        </w:rPr>
        <w:t xml:space="preserve">sedi di dolore muscolo-scheletrico su questionario</w:t>
      </w:r>
      <w:r>
        <w:t xml:space="preserve">. Lacey conta</w:t>
      </w:r>
      <w:r>
        <w:t xml:space="preserve"> </w:t>
      </w:r>
      <w:r>
        <w:rPr>
          <w:b/>
          <w:bCs/>
        </w:rPr>
        <w:t xml:space="preserve">sedi segnate su un manichino</w:t>
      </w:r>
      <w:r>
        <w:t xml:space="preserve">. Quello che scriverai in cartella è il conteggio articolare di Finney, l’unico che corrisponde all’elenco che il paziente ti detta.</w:t>
      </w:r>
    </w:p>
    <w:bookmarkEnd w:id="16"/>
    <w:bookmarkStart w:id="17" w:name="X6820c7f04c7379b5930bec9ad9aa3ee0e127e21"/>
    <w:p>
      <w:pPr>
        <w:pStyle w:val="Heading3"/>
      </w:pPr>
      <w:r>
        <w:t xml:space="preserve">Cosa dicono le etichette che porta, e cosa non dicono</w:t>
      </w:r>
    </w:p>
    <w:p>
      <w:pPr>
        <w:pStyle w:val="FirstParagraph"/>
      </w:pPr>
      <w:r>
        <w:rPr>
          <w:b/>
          <w:bCs/>
        </w:rPr>
        <w:t xml:space="preserve">“Artrosi diffusa”</w:t>
      </w:r>
      <w:r>
        <w:t xml:space="preserve"> </w:t>
      </w:r>
      <w:r>
        <w:t xml:space="preserve">su un referto descrive un danno. Non dice quanto male ha quel paziente, né dove: il rapporto fra immagine e dolore è debolissimo. È la fotografia di una crepa nel muro: dice che la crepa c’è, non dice se la casa scricchiola. I numeri per esteso stanno nella Bibbia dell’artrosi.</w:t>
      </w:r>
    </w:p>
    <w:p>
      <w:pPr>
        <w:pStyle w:val="BodyText"/>
      </w:pPr>
      <w:r>
        <w:rPr>
          <w:b/>
          <w:bCs/>
        </w:rPr>
        <w:t xml:space="preserve">“Esami negativi”</w:t>
      </w:r>
      <w:r>
        <w:t xml:space="preserve"> </w:t>
      </w:r>
      <w:r>
        <w:t xml:space="preserve">significa che quel giorno gli indici di infiammazione e gli anticorpi cercati erano normali. Non è un lasciapassare a vita:</w:t>
      </w:r>
      <w:r>
        <w:t xml:space="preserve"> </w:t>
      </w:r>
      <w:r>
        <w:rPr>
          <w:b/>
          <w:bCs/>
        </w:rPr>
        <w:t xml:space="preserve">indici normali e sierologia negativa non escludono un’artrite infiammatoria in nessun momento.</w:t>
      </w:r>
      <w:r>
        <w:t xml:space="preserve"> </w:t>
      </w:r>
      <w:r>
        <w:t xml:space="preserve">L’artrite reumatoide sieronegativa esiste ed è una quota consistente, e all’esordio VES e PCR possono essere normali. Decide il quadro clinico, e il quadro si rivaluta a ogni controllo.</w:t>
      </w:r>
    </w:p>
    <w:p>
      <w:pPr>
        <w:pStyle w:val="BodyText"/>
      </w:pPr>
      <w:r>
        <w:rPr>
          <w:b/>
          <w:bCs/>
        </w:rPr>
        <w:t xml:space="preserve">“È l’età”</w:t>
      </w:r>
      <w:r>
        <w:t xml:space="preserve"> </w:t>
      </w:r>
      <w:r>
        <w:t xml:space="preserve">non è un’etichetta diagnostica: è la conclusione di una conversazione finita troppo presto.</w:t>
      </w:r>
    </w:p>
    <w:bookmarkEnd w:id="17"/>
    <w:bookmarkStart w:id="18" w:name="cosa-non-è-e-cosa-può-esserci-sopra"/>
    <w:p>
      <w:pPr>
        <w:pStyle w:val="Heading3"/>
      </w:pPr>
      <w:r>
        <w:t xml:space="preserve">Cosa non è, e cosa può esserci sopra</w:t>
      </w:r>
    </w:p>
    <w:p>
      <w:pPr>
        <w:pStyle w:val="Compact"/>
        <w:numPr>
          <w:ilvl w:val="0"/>
          <w:numId w:val="1004"/>
        </w:numPr>
      </w:pPr>
      <w:r>
        <w:rPr>
          <w:b/>
          <w:bCs/>
        </w:rPr>
        <w:t xml:space="preserve">La fibromialgia non è</w:t>
      </w:r>
      <w:r>
        <w:rPr>
          <w:b/>
          <w:bCs/>
        </w:rPr>
        <w:t xml:space="preserve"> </w:t>
      </w:r>
      <w:r>
        <w:rPr>
          <w:b/>
          <w:bCs/>
        </w:rPr>
        <w:t xml:space="preserve">“il dolore muscolare invece di quello articolare”</w:t>
      </w:r>
      <w:r>
        <w:rPr>
          <w:b/>
          <w:bCs/>
        </w:rPr>
        <w:t xml:space="preserve">.</w:t>
      </w:r>
      <w:r>
        <w:t xml:space="preserve"> </w:t>
      </w:r>
      <w:r>
        <w:t xml:space="preserve">Il discriminante non è il tessuto. L’indice di dolore diffuso conta</w:t>
      </w:r>
      <w:r>
        <w:t xml:space="preserve"> </w:t>
      </w:r>
      <w:r>
        <w:rPr>
          <w:b/>
          <w:bCs/>
        </w:rPr>
        <w:t xml:space="preserve">19 regioni, cingolo scapolare, anca e mandibola comprese</w:t>
      </w:r>
      <w:r>
        <w:t xml:space="preserve">, e la diagnosi richiede estensione, durata di almeno tre mesi e un corredo di sintomi: fatica, sonno non ristoratore, difficoltà cognitive. E</w:t>
      </w:r>
      <w:r>
        <w:t xml:space="preserve"> </w:t>
      </w:r>
      <w:r>
        <w:rPr>
          <w:b/>
          <w:bCs/>
        </w:rPr>
        <w:t xml:space="preserve">non è un aut-aut</w:t>
      </w:r>
      <w:r>
        <w:t xml:space="preserve">: la sovrapposizione di un dolore nociplastico su un dolore articolare vero è comune. Il segno che la suggerisce è che l’estensione del dolore supera quanto il solo danno articolare giustifichi. I criteri li applica il medico; il tuo compito è mandarlo a farli applicare quando il quadro è generalizzato e dura da mesi.</w:t>
      </w:r>
    </w:p>
    <w:p>
      <w:pPr>
        <w:pStyle w:val="Compact"/>
        <w:numPr>
          <w:ilvl w:val="0"/>
          <w:numId w:val="1004"/>
        </w:numPr>
      </w:pPr>
      <w:r>
        <w:rPr>
          <w:b/>
          <w:bCs/>
        </w:rPr>
        <w:t xml:space="preserve">Non è polimialgia reumatica.</w:t>
      </w:r>
      <w:r>
        <w:t xml:space="preserve"> </w:t>
      </w:r>
      <w:r>
        <w:t xml:space="preserve">Quella, oltre i 50 anni, dà dolore e rigidità dei cingoli con indici di infiammazione alti, e va dal reumatologo (Dejaco,</w:t>
      </w:r>
      <w:r>
        <w:t xml:space="preserve"> </w:t>
      </w:r>
      <w:r>
        <w:rPr>
          <w:i/>
          <w:iCs/>
        </w:rPr>
        <w:t xml:space="preserve">Ann Rheum Dis</w:t>
      </w:r>
      <w:r>
        <w:t xml:space="preserve"> </w:t>
      </w:r>
      <w:r>
        <w:t xml:space="preserve">2015, PMID 26359488).</w:t>
      </w:r>
    </w:p>
    <w:p>
      <w:pPr>
        <w:pStyle w:val="Compact"/>
        <w:numPr>
          <w:ilvl w:val="0"/>
          <w:numId w:val="1004"/>
        </w:numPr>
      </w:pPr>
      <w:r>
        <w:rPr>
          <w:b/>
          <w:bCs/>
        </w:rPr>
        <w:t xml:space="preserve">Non è una spondiloartrite periferica.</w:t>
      </w:r>
      <w:r>
        <w:t xml:space="preserve"> </w:t>
      </w:r>
      <w:r>
        <w:t xml:space="preserve">L’artrite psoriasica e le forme correlate sono tipicamente</w:t>
      </w:r>
      <w:r>
        <w:t xml:space="preserve"> </w:t>
      </w:r>
      <w:r>
        <w:rPr>
          <w:b/>
          <w:bCs/>
        </w:rPr>
        <w:t xml:space="preserve">asimmetriche</w:t>
      </w:r>
      <w:r>
        <w:t xml:space="preserve">, colpiscono poche articolazioni e danno una rigidità mattutina modesta: attraversano indenni il filtro costruito sull’artrite reumatoide. Si riconoscono fuori dall’articolazione —</w:t>
      </w:r>
      <w:r>
        <w:t xml:space="preserve"> </w:t>
      </w:r>
      <w:r>
        <w:rPr>
          <w:b/>
          <w:bCs/>
        </w:rPr>
        <w:t xml:space="preserve">dattilite</w:t>
      </w:r>
      <w:r>
        <w:t xml:space="preserve"> </w:t>
      </w:r>
      <w:r>
        <w:t xml:space="preserve">(un dito gonfio per intero),</w:t>
      </w:r>
      <w:r>
        <w:t xml:space="preserve"> </w:t>
      </w:r>
      <w:r>
        <w:rPr>
          <w:b/>
          <w:bCs/>
        </w:rPr>
        <w:t xml:space="preserve">entesite persistente</w:t>
      </w:r>
      <w:r>
        <w:t xml:space="preserve"> </w:t>
      </w:r>
      <w:r>
        <w:t xml:space="preserve">(dolore dove il tendine si attacca all’osso, tipicamente al tallone),</w:t>
      </w:r>
      <w:r>
        <w:t xml:space="preserve"> </w:t>
      </w:r>
      <w:r>
        <w:rPr>
          <w:b/>
          <w:bCs/>
        </w:rPr>
        <w:t xml:space="preserve">psoriasi cutanea o ungueale, uveite, malattia infiammatoria intestinale</w:t>
      </w:r>
      <w:r>
        <w:t xml:space="preserve">. Da portarsi via una cosa sola:</w:t>
      </w:r>
      <w:r>
        <w:t xml:space="preserve"> </w:t>
      </w:r>
      <w:r>
        <w:rPr>
          <w:b/>
          <w:bCs/>
        </w:rPr>
        <w:t xml:space="preserve">asimmetria e rigidità breve non sono un lasciapassare meccanico.</w:t>
      </w:r>
    </w:p>
    <w:p>
      <w:pPr>
        <w:pStyle w:val="Compact"/>
        <w:numPr>
          <w:ilvl w:val="0"/>
          <w:numId w:val="1004"/>
        </w:numPr>
      </w:pPr>
      <w:r>
        <w:rPr>
          <w:b/>
          <w:bCs/>
        </w:rPr>
        <w:t xml:space="preserve">Non è una poliartrite da cristalli</w:t>
      </w:r>
      <w:r>
        <w:t xml:space="preserve"> </w:t>
      </w:r>
      <w:r>
        <w:t xml:space="preserve">— gotta o malattia da deposito di pirofosfato di calcio. Nella forma cronica poliarticolare dell’anziano imitano l’artrite reumatoide.</w:t>
      </w:r>
      <w:r>
        <w:t xml:space="preserve"> </w:t>
      </w:r>
      <w:r>
        <w:rPr>
          <w:b/>
          <w:bCs/>
        </w:rPr>
        <w:t xml:space="preserve">Con le mani non si distingue nessuna delle due da un’articolazione infetta.</w:t>
      </w:r>
    </w:p>
    <w:p>
      <w:pPr>
        <w:pStyle w:val="FirstParagraph"/>
      </w:pPr>
      <w:r>
        <w:rPr>
          <w:b/>
          <w:bCs/>
        </w:rPr>
        <w:t xml:space="preserve">Le tre cose da ricordare, più una</w:t>
      </w:r>
    </w:p>
    <w:p>
      <w:pPr>
        <w:pStyle w:val="Compact"/>
        <w:numPr>
          <w:ilvl w:val="0"/>
          <w:numId w:val="1005"/>
        </w:numPr>
      </w:pPr>
      <w:r>
        <w:t xml:space="preserve">Tre famiglie sotto la stessa etichetta: meccanica, infiammatoria, esogena. Sapere in quale sei viene prima di tutto.</w:t>
      </w:r>
    </w:p>
    <w:p>
      <w:pPr>
        <w:pStyle w:val="Compact"/>
        <w:numPr>
          <w:ilvl w:val="0"/>
          <w:numId w:val="1005"/>
        </w:numPr>
      </w:pPr>
      <w:r>
        <w:t xml:space="preserve">La soglia dei 30 minuti separa due mondi, ma non vede le spondiloartriti: quelle si riconoscono fuori dall’articolazione.</w:t>
      </w:r>
    </w:p>
    <w:p>
      <w:pPr>
        <w:pStyle w:val="Compact"/>
        <w:numPr>
          <w:ilvl w:val="0"/>
          <w:numId w:val="1005"/>
        </w:numPr>
      </w:pPr>
      <w:r>
        <w:t xml:space="preserve">Un</w:t>
      </w:r>
      <w:r>
        <w:t xml:space="preserve"> </w:t>
      </w:r>
      <w:r>
        <w:t xml:space="preserve">“esami negativi”</w:t>
      </w:r>
      <w:r>
        <w:t xml:space="preserve"> </w:t>
      </w:r>
      <w:r>
        <w:t xml:space="preserve">ha una data, e non esclude comunque.</w:t>
      </w:r>
    </w:p>
    <w:p>
      <w:pPr>
        <w:pStyle w:val="Compact"/>
        <w:numPr>
          <w:ilvl w:val="0"/>
          <w:numId w:val="1005"/>
        </w:numPr>
      </w:pPr>
      <w:r>
        <w:rPr>
          <w:b/>
          <w:bCs/>
        </w:rPr>
        <w:t xml:space="preserve">Perché ci sei tu.</w:t>
      </w:r>
      <w:r>
        <w:t xml:space="preserve"> </w:t>
      </w:r>
      <w:r>
        <w:t xml:space="preserve">Nel modello a quattordici anni l’unica variabile modificabile rimasta era la</w:t>
      </w:r>
      <w:r>
        <w:t xml:space="preserve"> </w:t>
      </w:r>
      <w:r>
        <w:rPr>
          <w:b/>
          <w:bCs/>
        </w:rPr>
        <w:t xml:space="preserve">qualità del sonno</w:t>
      </w:r>
      <w:r>
        <w:t xml:space="preserve"> </w:t>
      </w:r>
      <w:r>
        <w:t xml:space="preserve">(Kamaleri, PMID 18977088).</w:t>
      </w:r>
      <w:r>
        <w:t xml:space="preserve"> </w:t>
      </w:r>
      <w:r>
        <w:rPr>
          <w:b/>
          <w:bCs/>
        </w:rPr>
        <w:t xml:space="preserve">Per te:</w:t>
      </w:r>
      <w:r>
        <w:t xml:space="preserve"> </w:t>
      </w:r>
      <w:r>
        <w:t xml:space="preserve">in un quadro che il tempo modifica poco, l’unica leva modificabile documentata non compare in nessun referto che il paziente ti porta. Ti autorizza a chiedere del sonno e a farne un tema clinico, non una cortesia. Non ti autorizza a dire che sistemando il sonno le articolazioni faranno meno male: è un’associazione osservata, non un effetto misurato.</w:t>
      </w:r>
    </w:p>
    <w:p>
      <w:r>
        <w:pict>
          <v:rect style="width:0;height:1.5pt" o:hralign="center" o:hrstd="t" o:hr="t"/>
        </w:pict>
      </w:r>
    </w:p>
    <w:bookmarkEnd w:id="18"/>
    <w:bookmarkEnd w:id="19"/>
    <w:bookmarkStart w:id="21" w:name="capitolo-3-le-strutture-in-gioco"/>
    <w:p>
      <w:pPr>
        <w:pStyle w:val="Heading2"/>
      </w:pPr>
      <w:r>
        <w:t xml:space="preserve">Capitolo 3 — Le strutture in gioco</w:t>
      </w:r>
    </w:p>
    <w:p>
      <w:pPr>
        <w:pStyle w:val="BlockText"/>
      </w:pPr>
      <w:r>
        <w:rPr>
          <w:b/>
          <w:bCs/>
        </w:rPr>
        <w:t xml:space="preserve">In una riga:</w:t>
      </w:r>
      <w:r>
        <w:t xml:space="preserve"> </w:t>
      </w:r>
      <w:r>
        <w:t xml:space="preserve">in un quadro multisede le strutture che contano non sono quelle che fanno male, sono quelle che spiegano perché il male è in più posti.</w:t>
      </w:r>
    </w:p>
    <w:p>
      <w:pPr>
        <w:pStyle w:val="FirstParagraph"/>
      </w:pPr>
      <w:r>
        <w:rPr>
          <w:b/>
          <w:bCs/>
        </w:rPr>
        <w:t xml:space="preserve">L’osso subcondrale.</w:t>
      </w:r>
      <w:r>
        <w:t xml:space="preserve"> </w:t>
      </w:r>
      <w:r>
        <w:t xml:space="preserve">Sta sotto la cartilagine ed è pieno di terminazioni dolorifiche. La cartilagine non è innervata, l’osso sì. Quando il paziente dice</w:t>
      </w:r>
      <w:r>
        <w:t xml:space="preserve"> </w:t>
      </w:r>
      <w:r>
        <w:rPr>
          <w:i/>
          <w:iCs/>
        </w:rPr>
        <w:t xml:space="preserve">“è osso contro osso”</w:t>
      </w:r>
      <w:r>
        <w:t xml:space="preserve">, il punto che indica è vero e la spiegazione è sbagliata: il dolore nasce dall’osso caricato, non dal rivestimento consumato (Dieppe &amp; Lohmander,</w:t>
      </w:r>
      <w:r>
        <w:t xml:space="preserve"> </w:t>
      </w:r>
      <w:r>
        <w:rPr>
          <w:i/>
          <w:iCs/>
        </w:rPr>
        <w:t xml:space="preserve">Lancet</w:t>
      </w:r>
      <w:r>
        <w:t xml:space="preserve"> </w:t>
      </w:r>
      <w:r>
        <w:t xml:space="preserve">2005, PMID 15766999).</w:t>
      </w:r>
    </w:p>
    <w:p>
      <w:pPr>
        <w:pStyle w:val="BodyText"/>
      </w:pPr>
      <w:r>
        <w:rPr>
          <w:b/>
          <w:bCs/>
        </w:rPr>
        <w:t xml:space="preserve">La membrana sinoviale.</w:t>
      </w:r>
      <w:r>
        <w:t xml:space="preserve"> </w:t>
      </w:r>
      <w:r>
        <w:t xml:space="preserve">Riveste l’articolazione e produce il liquido. Quando si infiamma è la seconda sorgente nocicettiva, ed è quella che separa il quadro meccanico da quello infiammatorio. Una sinovia che si gonfia, si scalda e resta così per settimane non è una sinovia da sovraccarico.</w:t>
      </w:r>
    </w:p>
    <w:p>
      <w:pPr>
        <w:pStyle w:val="BodyText"/>
      </w:pPr>
      <w:r>
        <w:rPr>
          <w:b/>
          <w:bCs/>
        </w:rPr>
        <w:t xml:space="preserve">La capsula e i suoi recettori.</w:t>
      </w:r>
      <w:r>
        <w:t xml:space="preserve"> </w:t>
      </w:r>
      <w:r>
        <w:t xml:space="preserve">Cambiano scarica quando c’è versamento, infiammazione o lassità:</w:t>
      </w:r>
      <w:r>
        <w:t xml:space="preserve"> </w:t>
      </w:r>
      <w:r>
        <w:rPr>
          <w:b/>
          <w:bCs/>
        </w:rPr>
        <w:t xml:space="preserve">è da qui che parte il segnale che spegne il muscolo.</w:t>
      </w:r>
    </w:p>
    <w:p>
      <w:pPr>
        <w:pStyle w:val="BodyText"/>
      </w:pPr>
      <w:r>
        <w:rPr>
          <w:b/>
          <w:bCs/>
        </w:rPr>
        <w:t xml:space="preserve">I muscoli estensori dell’articolazione portante.</w:t>
      </w:r>
      <w:r>
        <w:t xml:space="preserve"> </w:t>
      </w:r>
      <w:r>
        <w:t xml:space="preserve">Quadricipite, glutei, deltoide e cuffia frenano il carico in allungamento, cioè assorbono l’urto prima che arrivi all’osso. Sono il primo bersaglio raggiungibile senza toccare l’articolazione che fa male, ed è l’unico modo di lavorare su chi ha quattro sedi dolenti e una sola seduta.</w:t>
      </w:r>
    </w:p>
    <w:p>
      <w:pPr>
        <w:pStyle w:val="BodyText"/>
      </w:pPr>
      <w:r>
        <w:rPr>
          <w:b/>
          <w:bCs/>
        </w:rPr>
        <w:t xml:space="preserve">Le articolazioni vicine a quella dolente.</w:t>
      </w:r>
      <w:r>
        <w:t xml:space="preserve"> </w:t>
      </w:r>
      <w:r>
        <w:t xml:space="preserve">Anca sopra il ginocchio, cervico-dorsale sopra la spalla, polso e gomito sotto la base del pollice. Sono la sorgente in una quota misurabile di casi, e le vedi solo se le guardi apposta. Il motivo è il neurone spinale che riceve da più territori, e la catena sta per esteso nel meccanismo 2 di «Cosa si rompe».</w:t>
      </w:r>
    </w:p>
    <w:bookmarkStart w:id="20" w:name="Xb589c0bef06d5e6eb0dad9b2213b6aed7c8f201"/>
    <w:p>
      <w:pPr>
        <w:pStyle w:val="Heading3"/>
      </w:pPr>
      <w:r>
        <w:t xml:space="preserve">La chicca: il ginocchio che si lamenta al posto dell’anca</w:t>
      </w:r>
    </w:p>
    <w:p>
      <w:pPr>
        <w:pStyle w:val="FirstParagraph"/>
      </w:pPr>
      <w:r>
        <w:t xml:space="preserve">L’anca artrosica manda dolore al ginocchio, e non è raro. In una serie di mille pazienti valutati in un servizio di chirurgia del ginocchio,</w:t>
      </w:r>
      <w:r>
        <w:t xml:space="preserve"> </w:t>
      </w:r>
      <w:r>
        <w:rPr>
          <w:b/>
          <w:bCs/>
        </w:rPr>
        <w:t xml:space="preserve">137 — quasi 14 su cento — avevano l’anca come sorgente</w:t>
      </w:r>
      <w:r>
        <w:t xml:space="preserve">. Fra i 185 inviati allo specialista d’anca, in quasi sei casi su dieci si trattava di artrosi d’anca (Cornelis,</w:t>
      </w:r>
      <w:r>
        <w:t xml:space="preserve"> </w:t>
      </w:r>
      <w:r>
        <w:rPr>
          <w:i/>
          <w:iCs/>
        </w:rPr>
        <w:t xml:space="preserve">J Exp Orthop</w:t>
      </w:r>
      <w:r>
        <w:t xml:space="preserve"> </w:t>
      </w:r>
      <w:r>
        <w:t xml:space="preserve">2025, PMID 41245703).</w:t>
      </w:r>
    </w:p>
    <w:p>
      <w:pPr>
        <w:pStyle w:val="BlockText"/>
      </w:pPr>
      <w:r>
        <w:rPr>
          <w:b/>
          <w:bCs/>
        </w:rPr>
        <w:t xml:space="preserve">Attenzione — prima di portare quell’anca in rotazione interna.</w:t>
      </w:r>
      <w:r>
        <w:t xml:space="preserve"> </w:t>
      </w:r>
      <w:r>
        <w:t xml:space="preserve">Chiedi se è protesizzata, e con quale via d’accesso. Dopo un’artroprotesi per via posteriore la posizione che disloca è una combinazione precisa:</w:t>
      </w:r>
      <w:r>
        <w:t xml:space="preserve"> </w:t>
      </w:r>
      <w:r>
        <w:rPr>
          <w:b/>
          <w:bCs/>
        </w:rPr>
        <w:t xml:space="preserve">flessione oltre 90° più adduzione oltre la linea mediana più rotazione interna</w:t>
      </w:r>
      <w:r>
        <w:t xml:space="preserve">. È quasi esattamente il test che stai per fare ad anca flessa. E la via posteriore ha il tasso di lussazione più alto fra gli approcci (Anders,</w:t>
      </w:r>
      <w:r>
        <w:t xml:space="preserve"> </w:t>
      </w:r>
      <w:r>
        <w:rPr>
          <w:i/>
          <w:iCs/>
        </w:rPr>
        <w:t xml:space="preserve">Acta Orthop</w:t>
      </w:r>
      <w:r>
        <w:t xml:space="preserve"> </w:t>
      </w:r>
      <w:r>
        <w:t xml:space="preserve">2021, 7 studi, 6.900 pazienti). Se l’anca è protesizzata, quella combinazione non si porta. Come si sostituisce il test è materia di Procedura.</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per la frequenza della proiezione anca-ginocchio. La serie è retrospettiva, monocentrica, e riguarda pazienti che si presentano a un servizio di chirurgia ortopedica del ginocchio. Il dolore riferito vi è definito</w:t>
      </w:r>
      <w:r>
        <w:t xml:space="preserve"> </w:t>
      </w:r>
      <w:r>
        <w:rPr>
          <w:b/>
          <w:bCs/>
        </w:rPr>
        <w:t xml:space="preserve">dalla risposta al trattamento dell’anca</w:t>
      </w:r>
      <w:r>
        <w:t xml:space="preserve">, cioè da un miglioramento soggettivo o da una riduzione del dolore di almeno metà. Non è definito da un criterio diagnostico indipendente (Cornelis, PMID 41245703). Il fenomeno esiste; il 13,7% viaggia con quella popolazione.</w:t>
      </w:r>
    </w:p>
    <w:p>
      <w:pPr>
        <w:pStyle w:val="FirstParagraph"/>
      </w:pPr>
      <w:r>
        <w:rPr>
          <w:b/>
          <w:bCs/>
        </w:rPr>
        <w:t xml:space="preserve">Le tre cose da ricordare, più una</w:t>
      </w:r>
    </w:p>
    <w:p>
      <w:pPr>
        <w:pStyle w:val="Compact"/>
        <w:numPr>
          <w:ilvl w:val="0"/>
          <w:numId w:val="1006"/>
        </w:numPr>
      </w:pPr>
      <w:r>
        <w:t xml:space="preserve">La cartilagine non fa male perché non è innervata: fanno male l’osso sotto e la sinovia sopra.</w:t>
      </w:r>
    </w:p>
    <w:p>
      <w:pPr>
        <w:pStyle w:val="Compact"/>
        <w:numPr>
          <w:ilvl w:val="0"/>
          <w:numId w:val="1006"/>
        </w:numPr>
      </w:pPr>
      <w:r>
        <w:t xml:space="preserve">La sinovia gonfia e calda in più sedi appartiene al reumatologo, non a questo documento.</w:t>
      </w:r>
    </w:p>
    <w:p>
      <w:pPr>
        <w:pStyle w:val="Compact"/>
        <w:numPr>
          <w:ilvl w:val="0"/>
          <w:numId w:val="1006"/>
        </w:numPr>
      </w:pPr>
      <w:r>
        <w:t xml:space="preserve">La rotazione interna d’anca si testa in ogni paziente che dice</w:t>
      </w:r>
      <w:r>
        <w:t xml:space="preserve"> </w:t>
      </w:r>
      <w:r>
        <w:t xml:space="preserve">“ginocchio”</w:t>
      </w:r>
      <w:r>
        <w:t xml:space="preserve">, dopo aver chiesto della protesi.</w:t>
      </w:r>
    </w:p>
    <w:p>
      <w:pPr>
        <w:pStyle w:val="Compact"/>
        <w:numPr>
          <w:ilvl w:val="0"/>
          <w:numId w:val="1006"/>
        </w:numPr>
      </w:pPr>
      <w:r>
        <w:rPr>
          <w:b/>
          <w:bCs/>
        </w:rPr>
        <w:t xml:space="preserve">Perché ci sei tu.</w:t>
      </w:r>
      <w:r>
        <w:t xml:space="preserve"> </w:t>
      </w:r>
      <w:r>
        <w:t xml:space="preserve">Il numero della «chicca»: l’anca come sorgente vera del dolore al ginocchio (Cornelis, PMID 41245703).</w:t>
      </w:r>
      <w:r>
        <w:t xml:space="preserve"> </w:t>
      </w:r>
      <w:r>
        <w:rPr>
          <w:b/>
          <w:bCs/>
        </w:rPr>
        <w:t xml:space="preserve">Per te:</w:t>
      </w:r>
      <w:r>
        <w:t xml:space="preserve"> </w:t>
      </w:r>
      <w:r>
        <w:t xml:space="preserve">una sede su sette del tuo elenco può essere un’eco, e l’esame che lo scopre lo fai tu — non compare in nessuna radiografia. Ti autorizza a togliere sedi dall’elenco invece di aggiungere trattamenti. Non ti autorizza a dire al paziente che il ginocchio</w:t>
      </w:r>
      <w:r>
        <w:t xml:space="preserve"> </w:t>
      </w:r>
      <w:r>
        <w:t xml:space="preserve">“sta bene”</w:t>
      </w:r>
      <w:r>
        <w:t xml:space="preserve">: sta ricevendo un segnale che nasce altrove.</w:t>
      </w:r>
    </w:p>
    <w:p>
      <w:r>
        <w:pict>
          <v:rect style="width:0;height:1.5pt" o:hralign="center" o:hrstd="t" o:hr="t"/>
        </w:pict>
      </w:r>
    </w:p>
    <w:bookmarkEnd w:id="20"/>
    <w:bookmarkEnd w:id="21"/>
    <w:bookmarkStart w:id="22" w:name="capitolo-4-come-funziona-quando-funziona"/>
    <w:p>
      <w:pPr>
        <w:pStyle w:val="Heading2"/>
      </w:pPr>
      <w:r>
        <w:t xml:space="preserve">Capitolo 4 — Come funziona quando funziona</w:t>
      </w:r>
    </w:p>
    <w:p>
      <w:pPr>
        <w:pStyle w:val="BlockText"/>
      </w:pPr>
      <w:r>
        <w:rPr>
          <w:b/>
          <w:bCs/>
        </w:rPr>
        <w:t xml:space="preserve">In una riga:</w:t>
      </w:r>
      <w:r>
        <w:t xml:space="preserve"> </w:t>
      </w:r>
      <w:r>
        <w:t xml:space="preserve">un’articolazione sana non è una che non riceve carico, è una che lo riceve distribuito, lo frena con il muscolo e lo segnala con precisione.</w:t>
      </w:r>
    </w:p>
    <w:p>
      <w:pPr>
        <w:pStyle w:val="FirstParagraph"/>
      </w:pPr>
      <w:r>
        <w:t xml:space="preserve">Un’articolazione funzionante fa quattro cose insieme. Il quadro multisede nasce quando più di una si guasta in più posti.</w:t>
      </w:r>
    </w:p>
    <w:p>
      <w:pPr>
        <w:pStyle w:val="Compact"/>
        <w:numPr>
          <w:ilvl w:val="0"/>
          <w:numId w:val="1007"/>
        </w:numPr>
      </w:pPr>
      <w:r>
        <w:rPr>
          <w:b/>
          <w:bCs/>
        </w:rPr>
        <w:t xml:space="preserve">Distribuisce il carico su una superficie ampia.</w:t>
      </w:r>
      <w:r>
        <w:t xml:space="preserve"> </w:t>
      </w:r>
      <w:r>
        <w:t xml:space="preserve">La cartilagine trasforma una pressione concentrata in una diffusa: finché la superficie di contatto è larga, la pressione per centimetro quadrato resta bassa. È lo stesso peso sotto un tacco sottile o sotto una suola piatta: cambia l’impronta, non i chili.</w:t>
      </w:r>
    </w:p>
    <w:p>
      <w:pPr>
        <w:pStyle w:val="Compact"/>
        <w:numPr>
          <w:ilvl w:val="0"/>
          <w:numId w:val="1007"/>
        </w:numPr>
      </w:pPr>
      <w:r>
        <w:rPr>
          <w:b/>
          <w:bCs/>
        </w:rPr>
        <w:t xml:space="preserve">Frena il carico prima che arrivi.</w:t>
      </w:r>
      <w:r>
        <w:t xml:space="preserve"> </w:t>
      </w:r>
      <w:r>
        <w:t xml:space="preserve">Il muscolo che lavora in allungamento — il quadricipite quando scendi le scale — assorbe una quota dell’urto. È un ammortizzatore attivo, e il suo lavoro precede il contatto.</w:t>
      </w:r>
    </w:p>
    <w:p>
      <w:pPr>
        <w:pStyle w:val="Compact"/>
        <w:numPr>
          <w:ilvl w:val="0"/>
          <w:numId w:val="1007"/>
        </w:numPr>
      </w:pPr>
      <w:r>
        <w:rPr>
          <w:b/>
          <w:bCs/>
        </w:rPr>
        <w:t xml:space="preserve">Si informa e informa.</w:t>
      </w:r>
      <w:r>
        <w:t xml:space="preserve"> </w:t>
      </w:r>
      <w:r>
        <w:t xml:space="preserve">Recettori capsulari e fusi dicono dove si trova l’articolazione e quanto è tesa. Quel flusso regola il tono dei muscoli attraverso il</w:t>
      </w:r>
      <w:r>
        <w:t xml:space="preserve"> </w:t>
      </w:r>
      <w:r>
        <w:rPr>
          <w:b/>
          <w:bCs/>
        </w:rPr>
        <w:t xml:space="preserve">circuito gamma</w:t>
      </w:r>
      <w:r>
        <w:t xml:space="preserve">, una delle tre vie con cui il muscolo si spegne quando l’articolazione si irrita.</w:t>
      </w:r>
    </w:p>
    <w:p>
      <w:pPr>
        <w:pStyle w:val="Compact"/>
        <w:numPr>
          <w:ilvl w:val="0"/>
          <w:numId w:val="1007"/>
        </w:numPr>
      </w:pPr>
      <w:r>
        <w:rPr>
          <w:b/>
          <w:bCs/>
        </w:rPr>
        <w:t xml:space="preserve">Tiene la soglia dove serve</w:t>
      </w:r>
      <w:r>
        <w:t xml:space="preserve">, e quella soglia è una variabile del sistema, non una costante.</w:t>
      </w:r>
    </w:p>
    <w:p>
      <w:pPr>
        <w:pStyle w:val="FirstParagraph"/>
      </w:pPr>
      <w:r>
        <w:t xml:space="preserve">E c’è una quinta cosa, che riguarda solo questo documento:</w:t>
      </w:r>
      <w:r>
        <w:t xml:space="preserve"> </w:t>
      </w:r>
      <w:r>
        <w:rPr>
          <w:b/>
          <w:bCs/>
        </w:rPr>
        <w:t xml:space="preserve">le articolazioni si dividono il lavoro.</w:t>
      </w:r>
      <w:r>
        <w:t xml:space="preserve"> </w:t>
      </w:r>
      <w:r>
        <w:t xml:space="preserve">Quando l’anca ruota poco, il ginocchio e la lombare compiono una parte del gesto che non era loro. La divisione esiste ed è misurabile. Quanto sia rigida è la domanda su cui questa Bibbia è più prudente.</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per la distribuzione del carico e per la relazione fra massa corporea e forza compressiva. Sono stati studiati 142 adulti sovrappeso con artrosi di ginocchio, con analisi tridimensionale del cammino.</w:t>
      </w:r>
      <w:r>
        <w:t xml:space="preserve"> </w:t>
      </w:r>
      <w:r>
        <w:rPr>
          <w:b/>
          <w:bCs/>
        </w:rPr>
        <w:t xml:space="preserve">Ogni chilo di peso perso toglie circa quattro chili di forza compressiva sul ginocchio a ogni passo</w:t>
      </w:r>
      <w:r>
        <w:t xml:space="preserve"> </w:t>
      </w:r>
      <w:r>
        <w:t xml:space="preserve">(Messier,</w:t>
      </w:r>
      <w:r>
        <w:t xml:space="preserve"> </w:t>
      </w:r>
      <w:r>
        <w:rPr>
          <w:i/>
          <w:iCs/>
        </w:rPr>
        <w:t xml:space="preserve">Arthritis Rheum</w:t>
      </w:r>
      <w:r>
        <w:t xml:space="preserve"> </w:t>
      </w:r>
      <w:r>
        <w:t xml:space="preserve">2005, PMID 15986358). PROBABILE</w:t>
      </w:r>
      <w:r>
        <w:t xml:space="preserve"> </w:t>
      </w:r>
      <w:r>
        <w:rPr>
          <w:i/>
          <w:iCs/>
        </w:rPr>
        <w:t xml:space="preserve">(razionale forte, prove parziali)</w:t>
      </w:r>
      <w:r>
        <w:t xml:space="preserve"> </w:t>
      </w:r>
      <w:r>
        <w:t xml:space="preserve">per il ruolo protettivo della forza degli estensori. Sono undici studi longitudinali su 46.819 persone senza artrosi all’inizio, con un rischio circa 1,85 volte maggiore nelle donne e 1,43 negli uomini.</w:t>
      </w:r>
      <w:r>
        <w:t xml:space="preserve"> </w:t>
      </w:r>
      <w:r>
        <w:rPr>
          <w:b/>
          <w:bCs/>
        </w:rPr>
        <w:t xml:space="preserve">La certezza è graduata bassa dagli autori stessi</w:t>
      </w:r>
      <w:r>
        <w:t xml:space="preserve"> </w:t>
      </w:r>
      <w:r>
        <w:t xml:space="preserve">(Øiestad,</w:t>
      </w:r>
      <w:r>
        <w:t xml:space="preserve"> </w:t>
      </w:r>
      <w:r>
        <w:rPr>
          <w:i/>
          <w:iCs/>
        </w:rPr>
        <w:t xml:space="preserve">Br J Sports Med</w:t>
      </w:r>
      <w:r>
        <w:t xml:space="preserve"> </w:t>
      </w:r>
      <w:r>
        <w:t xml:space="preserve">2022, PMID 34916210).</w:t>
      </w:r>
    </w:p>
    <w:p>
      <w:pPr>
        <w:pStyle w:val="FirstParagraph"/>
      </w:pPr>
      <w:r>
        <w:rPr>
          <w:b/>
          <w:bCs/>
        </w:rPr>
        <w:t xml:space="preserve">Le tre cose da ricordare, più una</w:t>
      </w:r>
    </w:p>
    <w:p>
      <w:pPr>
        <w:pStyle w:val="Compact"/>
        <w:numPr>
          <w:ilvl w:val="0"/>
          <w:numId w:val="1008"/>
        </w:numPr>
      </w:pPr>
      <w:r>
        <w:t xml:space="preserve">Il carico non è il nemico: la sua concentrazione lo è.</w:t>
      </w:r>
    </w:p>
    <w:p>
      <w:pPr>
        <w:pStyle w:val="Compact"/>
        <w:numPr>
          <w:ilvl w:val="0"/>
          <w:numId w:val="1008"/>
        </w:numPr>
      </w:pPr>
      <w:r>
        <w:t xml:space="preserve">Il muscolo è un ammortizzatore che lavora</w:t>
      </w:r>
      <w:r>
        <w:t xml:space="preserve"> </w:t>
      </w:r>
      <w:r>
        <w:rPr>
          <w:b/>
          <w:bCs/>
        </w:rPr>
        <w:t xml:space="preserve">prima</w:t>
      </w:r>
      <w:r>
        <w:t xml:space="preserve"> </w:t>
      </w:r>
      <w:r>
        <w:t xml:space="preserve">dell’impatto.</w:t>
      </w:r>
    </w:p>
    <w:p>
      <w:pPr>
        <w:pStyle w:val="Compact"/>
        <w:numPr>
          <w:ilvl w:val="0"/>
          <w:numId w:val="1008"/>
        </w:numPr>
      </w:pPr>
      <w:r>
        <w:t xml:space="preserve">La soglia del dolore è una variabile del sistema, non una costante del paziente.</w:t>
      </w:r>
    </w:p>
    <w:p>
      <w:pPr>
        <w:pStyle w:val="Compact"/>
        <w:numPr>
          <w:ilvl w:val="0"/>
          <w:numId w:val="1008"/>
        </w:numPr>
      </w:pPr>
      <w:r>
        <w:rPr>
          <w:b/>
          <w:bCs/>
        </w:rPr>
        <w:t xml:space="preserve">Perché ci sei tu.</w:t>
      </w:r>
      <w:r>
        <w:t xml:space="preserve"> </w:t>
      </w:r>
      <w:r>
        <w:t xml:space="preserve">Chi ha gli estensori più deboli sviluppa più spesso un’artrosi sintomatica negli anni successivi, con certezza dichiarata bassa dagli autori (Øiestad, PMID 34916210 — numeri nel box qui sopra).</w:t>
      </w:r>
      <w:r>
        <w:t xml:space="preserve"> </w:t>
      </w:r>
      <w:r>
        <w:rPr>
          <w:b/>
          <w:bCs/>
        </w:rPr>
        <w:t xml:space="preserve">Per te:</w:t>
      </w:r>
      <w:r>
        <w:t xml:space="preserve"> </w:t>
      </w:r>
      <w:r>
        <w:t xml:space="preserve">la forza plausibilmente</w:t>
      </w:r>
      <w:r>
        <w:t xml:space="preserve"> </w:t>
      </w:r>
      <w:r>
        <w:rPr>
          <w:b/>
          <w:bCs/>
        </w:rPr>
        <w:t xml:space="preserve">precede</w:t>
      </w:r>
      <w:r>
        <w:t xml:space="preserve"> </w:t>
      </w:r>
      <w:r>
        <w:t xml:space="preserve">il problema invece di seguirlo. Quindi misurarla e allenarla è un intervento sul meccanismo, non una ginnastica di contorno. Ti autorizza a metterla al centro anche in un paziente con quattro sedi dolenti. Non ti autorizza a dire che rinforzando eviterà l’artrosi.</w:t>
      </w:r>
    </w:p>
    <w:p>
      <w:r>
        <w:pict>
          <v:rect style="width:0;height:1.5pt" o:hralign="center" o:hrstd="t" o:hr="t"/>
        </w:pict>
      </w:r>
    </w:p>
    <w:bookmarkEnd w:id="22"/>
    <w:bookmarkStart w:id="29" w:name="capitolo-5-cosa-si-rompe-i-meccanismi"/>
    <w:p>
      <w:pPr>
        <w:pStyle w:val="Heading2"/>
      </w:pPr>
      <w:r>
        <w:t xml:space="preserve">Capitolo 5 — Cosa si rompe: i meccanismi</w:t>
      </w:r>
    </w:p>
    <w:p>
      <w:pPr>
        <w:pStyle w:val="BlockText"/>
      </w:pPr>
      <w:r>
        <w:rPr>
          <w:b/>
          <w:bCs/>
        </w:rPr>
        <w:t xml:space="preserve">In una riga:</w:t>
      </w:r>
      <w:r>
        <w:t xml:space="preserve"> </w:t>
      </w:r>
      <w:r>
        <w:t xml:space="preserve">cinque meccanismi producono lo stesso racconto —</w:t>
      </w:r>
      <w:r>
        <w:t xml:space="preserve"> </w:t>
      </w:r>
      <w:r>
        <w:t xml:space="preserve">“mi fa male in più posti”</w:t>
      </w:r>
      <w:r>
        <w:t xml:space="preserve"> </w:t>
      </w:r>
      <w:r>
        <w:t xml:space="preserve">— e si distinguono in stanza, non in laboratorio.</w:t>
      </w:r>
    </w:p>
    <w:p>
      <w:pPr>
        <w:pStyle w:val="FirstParagraph"/>
      </w:pPr>
      <w:r>
        <w:rPr>
          <w:b/>
          <w:bCs/>
        </w:rPr>
        <w:t xml:space="preserve">L’ordine è per solidità decrescente</w:t>
      </w:r>
      <w:r>
        <w:t xml:space="preserve">, dal più misurato al meno. Il</w:t>
      </w:r>
      <w:r>
        <w:t xml:space="preserve"> </w:t>
      </w:r>
      <w:r>
        <w:rPr>
          <w:b/>
          <w:bCs/>
        </w:rPr>
        <w:t xml:space="preserve">più frequente</w:t>
      </w:r>
      <w:r>
        <w:t xml:space="preserve"> </w:t>
      </w:r>
      <w:r>
        <w:t xml:space="preserve">non è il primo: è il quarto, il carico che si concentra. Il primo spiega perché in questo paziente il quarto fa più male che nel suo vicino di casa.</w:t>
      </w:r>
      <w:r>
        <w:t xml:space="preserve"> </w:t>
      </w:r>
      <w:r>
        <w:rPr>
          <w:b/>
          <w:bCs/>
        </w:rPr>
        <w:t xml:space="preserve">Sono cinque meccanismi: 3a e 3b sono le due facce del terzo, ed è così che si contano nella prova ad alta voce.</w:t>
      </w:r>
    </w:p>
    <w:p>
      <w:pPr>
        <w:pStyle w:val="BodyText"/>
      </w:pPr>
      <w:r>
        <w:rPr>
          <w:b/>
          <w:bCs/>
        </w:rPr>
        <w:t xml:space="preserve">E i cinque stanno in una catena sola.</w:t>
      </w:r>
      <w:r>
        <w:t xml:space="preserve"> </w:t>
      </w:r>
      <w:r>
        <w:t xml:space="preserve">Il carico si concentra in poche articolazioni → dolore e versamento → il muscolo si spegne per riflesso, e il paziente risparmia →</w:t>
      </w:r>
      <w:r>
        <w:t xml:space="preserve"> </w:t>
      </w:r>
      <w:r>
        <w:rPr>
          <w:i/>
          <w:iCs/>
        </w:rPr>
        <w:t xml:space="preserve">(il carico si sposta su quelle vicine: è l’anello IPOTESI, con prove contrarie)</w:t>
      </w:r>
      <w:r>
        <w:t xml:space="preserve"> </w:t>
      </w:r>
      <w:r>
        <w:t xml:space="preserve">→ il segnale dura anni → la soglia scende anche dove non c’è danno →</w:t>
      </w:r>
      <w:r>
        <w:t xml:space="preserve"> </w:t>
      </w:r>
      <w:r>
        <w:rPr>
          <w:i/>
          <w:iCs/>
        </w:rPr>
        <w:t xml:space="preserve">“mi fa male dappertutto”</w:t>
      </w:r>
      <w:r>
        <w:t xml:space="preserve">. Quello che segue sono gli anelli, uno per uno.</w:t>
      </w:r>
    </w:p>
    <w:p>
      <w:pPr>
        <w:pStyle w:val="BodyText"/>
      </w:pPr>
      <w:r>
        <w:rPr>
          <w:b/>
          <w:bCs/>
        </w:rPr>
        <w:t xml:space="preserve">Le tre parole che ti servono per leggerli.</w:t>
      </w:r>
      <w:r>
        <w:t xml:space="preserve"> </w:t>
      </w:r>
      <w:r>
        <w:rPr>
          <w:b/>
          <w:bCs/>
        </w:rPr>
        <w:t xml:space="preserve">Nocicettivo</w:t>
      </w:r>
      <w:r>
        <w:t xml:space="preserve"> </w:t>
      </w:r>
      <w:r>
        <w:t xml:space="preserve">è il dolore che nasce da un tessuto danneggiato o irritato.</w:t>
      </w:r>
      <w:r>
        <w:t xml:space="preserve"> </w:t>
      </w:r>
      <w:r>
        <w:rPr>
          <w:b/>
          <w:bCs/>
        </w:rPr>
        <w:t xml:space="preserve">Neuropatico</w:t>
      </w:r>
      <w:r>
        <w:t xml:space="preserve"> </w:t>
      </w:r>
      <w:r>
        <w:t xml:space="preserve">è quello che nasce da una lesione del nervo: segue il territorio di quel nervo, brucia, porta formicolii o deficit.</w:t>
      </w:r>
      <w:r>
        <w:t xml:space="preserve"> </w:t>
      </w:r>
      <w:r>
        <w:rPr>
          <w:b/>
          <w:bCs/>
        </w:rPr>
        <w:t xml:space="preserve">Nociplastico</w:t>
      </w:r>
      <w:r>
        <w:t xml:space="preserve"> </w:t>
      </w:r>
      <w:r>
        <w:t xml:space="preserve">è quello prodotto da un cambiamento nel modo in cui il sistema nervoso elabora il segnale, senza un danno che lo giustifichi.</w:t>
      </w:r>
    </w:p>
    <w:p>
      <w:pPr>
        <w:pStyle w:val="BodyText"/>
      </w:pPr>
      <w:r>
        <w:t xml:space="preserve">Nel paziente multisede il quadro è quasi sempre</w:t>
      </w:r>
      <w:r>
        <w:t xml:space="preserve"> </w:t>
      </w:r>
      <w:r>
        <w:rPr>
          <w:b/>
          <w:bCs/>
        </w:rPr>
        <w:t xml:space="preserve">misto</w:t>
      </w:r>
      <w:r>
        <w:t xml:space="preserve">: nocicettivo articolare con una quota nociplastica sopra, e in una minoranza non piccola una componente neuropatica. Queste tre parole sono la chiave dei sottotipi del capitolo successivo.</w:t>
      </w:r>
    </w:p>
    <w:p>
      <w:r>
        <w:pict>
          <v:rect style="width:0;height:1.5pt" o:hralign="center" o:hrstd="t" o:hr="t"/>
        </w:pict>
      </w:r>
    </w:p>
    <w:bookmarkStart w:id="23" w:name="il-contatore-tarato-male"/>
    <w:p>
      <w:pPr>
        <w:pStyle w:val="Heading3"/>
      </w:pPr>
      <w:r>
        <w:t xml:space="preserve">1. Il contatore tarato male</w:t>
      </w:r>
    </w:p>
    <w:p>
      <w:pPr>
        <w:pStyle w:val="FirstParagraph"/>
      </w:pPr>
      <w:r>
        <w:t xml:space="preserve">La catena, in quattro passaggi:</w:t>
      </w:r>
    </w:p>
    <w:p>
      <w:pPr>
        <w:pStyle w:val="Compact"/>
        <w:numPr>
          <w:ilvl w:val="0"/>
          <w:numId w:val="1009"/>
        </w:numPr>
      </w:pPr>
      <w:r>
        <w:t xml:space="preserve">Un’articolazione manda segnale nocicettivo per mesi o anni.</w:t>
      </w:r>
    </w:p>
    <w:p>
      <w:pPr>
        <w:pStyle w:val="Compact"/>
        <w:numPr>
          <w:ilvl w:val="0"/>
          <w:numId w:val="1009"/>
        </w:numPr>
      </w:pPr>
      <w:r>
        <w:t xml:space="preserve">Il midollo amplifica la risposta, e i neuroni allargano il territorio da cui accettano stimoli.</w:t>
      </w:r>
    </w:p>
    <w:p>
      <w:pPr>
        <w:pStyle w:val="Compact"/>
        <w:numPr>
          <w:ilvl w:val="0"/>
          <w:numId w:val="1009"/>
        </w:numPr>
      </w:pPr>
      <w:r>
        <w:t xml:space="preserve">Nel tronco encefalico il freno che modula il dolore perde efficacia, e la via che lo facilita si accende.</w:t>
      </w:r>
    </w:p>
    <w:p>
      <w:pPr>
        <w:pStyle w:val="Compact"/>
        <w:numPr>
          <w:ilvl w:val="0"/>
          <w:numId w:val="1009"/>
        </w:numPr>
      </w:pPr>
      <w:r>
        <w:rPr>
          <w:b/>
          <w:bCs/>
        </w:rPr>
        <w:t xml:space="preserve">La soglia dolorosa scende anche in punti senza nessun danno</w:t>
      </w:r>
      <w:r>
        <w:t xml:space="preserve">, lontani dall’articolazione malata.</w:t>
      </w:r>
    </w:p>
    <w:p>
      <w:pPr>
        <w:pStyle w:val="FirstParagraph"/>
      </w:pPr>
      <w:r>
        <w:t xml:space="preserve">È il</w:t>
      </w:r>
      <w:r>
        <w:t xml:space="preserve"> </w:t>
      </w:r>
      <w:r>
        <w:rPr>
          <w:b/>
          <w:bCs/>
        </w:rPr>
        <w:t xml:space="preserve">dolore nociplastico sovrapposto a quello nocicettivo</w:t>
      </w:r>
      <w:r>
        <w:t xml:space="preserve">, ed è il meccanismo che spiega la parola</w:t>
      </w:r>
      <w:r>
        <w:t xml:space="preserve"> </w:t>
      </w:r>
      <w:r>
        <w:t xml:space="preserve">“dappertutto”</w:t>
      </w:r>
      <w:r>
        <w:t xml:space="preserve">. Sono stati studiati 48 pazienti con artrosi di ginocchio e 24 controlli di pari età e sesso. Chi aveva dolore intenso mostrava soglie di pressione più basse</w:t>
      </w:r>
      <w:r>
        <w:t xml:space="preserve"> </w:t>
      </w:r>
      <w:r>
        <w:rPr>
          <w:b/>
          <w:bCs/>
        </w:rPr>
        <w:t xml:space="preserve">al ginocchio, alla gamba e all’avambraccio</w:t>
      </w:r>
      <w:r>
        <w:t xml:space="preserve">, con correlazione negativa fra intensità del dolore e soglia in tutte e tre le sedi. Mostrava anche sommazione temporale facilitata e controllo discendente ridotto (Arendt-Nielsen,</w:t>
      </w:r>
      <w:r>
        <w:t xml:space="preserve"> </w:t>
      </w:r>
      <w:r>
        <w:rPr>
          <w:i/>
          <w:iCs/>
        </w:rPr>
        <w:t xml:space="preserve">Pain</w:t>
      </w:r>
      <w:r>
        <w:t xml:space="preserve"> </w:t>
      </w:r>
      <w:r>
        <w:t xml:space="preserve">2010, PMID 20418016).</w:t>
      </w:r>
    </w:p>
    <w:p>
      <w:pPr>
        <w:pStyle w:val="BodyText"/>
      </w:pPr>
      <w:r>
        <w:rPr>
          <w:b/>
          <w:bCs/>
        </w:rPr>
        <w:t xml:space="preserve">Come si vede addosso al paziente.</w:t>
      </w:r>
      <w:r>
        <w:t xml:space="preserve"> </w:t>
      </w:r>
      <w:r>
        <w:t xml:space="preserve">Dolore sproporzionato al reperto e presente anche a riposo. Dolorabilità alla pressione</w:t>
      </w:r>
      <w:r>
        <w:t xml:space="preserve"> </w:t>
      </w:r>
      <w:r>
        <w:rPr>
          <w:b/>
          <w:bCs/>
        </w:rPr>
        <w:t xml:space="preserve">fuori</w:t>
      </w:r>
      <w:r>
        <w:t xml:space="preserve"> </w:t>
      </w:r>
      <w:r>
        <w:t xml:space="preserve">dalle articolazioni. Sonno rotto in modo stabile. Estensione del dolore maggiore di quanto il danno articolare giustifichi.</w:t>
      </w:r>
    </w:p>
    <w:p>
      <w:pPr>
        <w:pStyle w:val="BodyText"/>
      </w:pPr>
      <w:r>
        <w:rPr>
          <w:b/>
          <w:bCs/>
        </w:rPr>
        <w:t xml:space="preserve">Per te:</w:t>
      </w:r>
      <w:r>
        <w:t xml:space="preserve"> </w:t>
      </w:r>
      <w:r>
        <w:t xml:space="preserve">l’avambraccio non ha nessuna artrosi, e ha una soglia più bassa. Quindi in questo paziente il numero di sedi dolorose non misura il numero di articolazioni danneggiate: misura anche quanto è scesa la soglia. È la ragione per cui trattare la quarta sede non riduce l’elenco.</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per l’esistenza del fenomeno e per la sua diffusione a distanza dall’articolazione (Arendt-Nielsen, PMID 20418016; sintesi PMID 28967356). Che comandi</w:t>
      </w:r>
      <w:r>
        <w:t xml:space="preserve"> </w:t>
      </w:r>
      <w:r>
        <w:rPr>
          <w:b/>
          <w:bCs/>
        </w:rPr>
        <w:t xml:space="preserve">in questo paziente</w:t>
      </w:r>
      <w:r>
        <w:t xml:space="preserve"> </w:t>
      </w:r>
      <w:r>
        <w:t xml:space="preserve">è un’ipotesi che verifichi tu, non un dato che porti da casa.</w:t>
      </w:r>
    </w:p>
    <w:p>
      <w:pPr>
        <w:pStyle w:val="FirstParagraph"/>
      </w:pPr>
      <w:r>
        <w:rPr>
          <w:b/>
          <w:bCs/>
        </w:rPr>
        <w:t xml:space="preserve">È il conto della luce che arriva alto in tutta la casa perché hanno tarato male il contatore, non perché hai acceso più lampadine.</w:t>
      </w:r>
    </w:p>
    <w:p>
      <w:r>
        <w:pict>
          <v:rect style="width:0;height:1.5pt" o:hralign="center" o:hrstd="t" o:hr="t"/>
        </w:pict>
      </w:r>
    </w:p>
    <w:bookmarkEnd w:id="23"/>
    <w:bookmarkStart w:id="24" w:name="X54a56efd4baccb750dfadd7aca45031c5f6e5af"/>
    <w:p>
      <w:pPr>
        <w:pStyle w:val="Heading3"/>
      </w:pPr>
      <w:r>
        <w:t xml:space="preserve">2. Il dolore che nasce in un’altra articolazione</w:t>
      </w:r>
    </w:p>
    <w:p>
      <w:pPr>
        <w:pStyle w:val="FirstParagraph"/>
      </w:pPr>
      <w:r>
        <w:t xml:space="preserve">La catena, in tre passaggi:</w:t>
      </w:r>
    </w:p>
    <w:p>
      <w:pPr>
        <w:pStyle w:val="Compact"/>
        <w:numPr>
          <w:ilvl w:val="0"/>
          <w:numId w:val="1010"/>
        </w:numPr>
      </w:pPr>
      <w:r>
        <w:t xml:space="preserve">Un’articolazione profonda diventa dolorosa: tipicamente l’anca, ma anche la cervicale bassa e la dorsale alta.</w:t>
      </w:r>
    </w:p>
    <w:p>
      <w:pPr>
        <w:pStyle w:val="Compact"/>
        <w:numPr>
          <w:ilvl w:val="0"/>
          <w:numId w:val="1010"/>
        </w:numPr>
      </w:pPr>
      <w:r>
        <w:t xml:space="preserve">Le sue afferenze convergono sugli stessi neuroni spinali che ricevono da territori più distali, e a valle della convergenza i due ingressi non sono più distinguibili.</w:t>
      </w:r>
    </w:p>
    <w:p>
      <w:pPr>
        <w:pStyle w:val="Compact"/>
        <w:numPr>
          <w:ilvl w:val="0"/>
          <w:numId w:val="1010"/>
        </w:numPr>
      </w:pPr>
      <w:r>
        <w:t xml:space="preserve">Il paziente sente male dove il neurone</w:t>
      </w:r>
      <w:r>
        <w:t xml:space="preserve"> </w:t>
      </w:r>
      <w:r>
        <w:t xml:space="preserve">“crede”</w:t>
      </w:r>
      <w:r>
        <w:t xml:space="preserve">, non dove il segnale nasce.</w:t>
      </w:r>
    </w:p>
    <w:p>
      <w:pPr>
        <w:pStyle w:val="FirstParagraph"/>
      </w:pPr>
      <w:r>
        <w:rPr>
          <w:b/>
          <w:bCs/>
        </w:rPr>
        <w:t xml:space="preserve">Come si vede addosso al paziente — asse inferiore.</w:t>
      </w:r>
      <w:r>
        <w:t xml:space="preserve"> </w:t>
      </w:r>
      <w:r>
        <w:t xml:space="preserve">Dolore profondo e mal localizzato, indicato con la mano aperta e non con due dita. La palpazione della sede non lo riproduce, il movimento dell’articolazione a monte sì. È spesso la sede che nomina per</w:t>
      </w:r>
      <w:r>
        <w:t xml:space="preserve"> </w:t>
      </w:r>
      <w:r>
        <w:rPr>
          <w:b/>
          <w:bCs/>
        </w:rPr>
        <w:t xml:space="preserve">seconda</w:t>
      </w:r>
      <w:r>
        <w:t xml:space="preserve">.</w:t>
      </w:r>
    </w:p>
    <w:p>
      <w:pPr>
        <w:pStyle w:val="BodyText"/>
      </w:pPr>
      <w:r>
        <w:rPr>
          <w:b/>
          <w:bCs/>
        </w:rPr>
        <w:t xml:space="preserve">Come si vede addosso al paziente — asse superiore.</w:t>
      </w:r>
      <w:r>
        <w:t xml:space="preserve"> </w:t>
      </w:r>
      <w:r>
        <w:t xml:space="preserve">Il paziente apre con la spalla o con la base del pollice, che sono le sedi che nomina per prime. Il dolore di spalla è profondo, la palpazione non lo riproduce, e il movimento cervico-dorsale lo modifica; il dolore alla base del pollice cambia con la posizione del polso e del gomito.</w:t>
      </w:r>
      <w:r>
        <w:t xml:space="preserve"> </w:t>
      </w:r>
      <w:r>
        <w:rPr>
          <w:b/>
          <w:bCs/>
        </w:rPr>
        <w:t xml:space="preserve">La frequenza misurata esiste solo per l’asse anca-ginocchio: qui il trasferimento è di sede.</w:t>
      </w:r>
    </w:p>
    <w:p>
      <w:pPr>
        <w:pStyle w:val="BodyText"/>
      </w:pPr>
      <w:r>
        <w:rPr>
          <w:b/>
          <w:bCs/>
        </w:rPr>
        <w:t xml:space="preserve">Il segno che separa questo dolore da quello neuropatico.</w:t>
      </w:r>
      <w:r>
        <w:t xml:space="preserve"> </w:t>
      </w:r>
      <w:r>
        <w:t xml:space="preserve">Il riferito somatico profondo si indica con la mano aperta e non segue il territorio di un nervo. Il neuropatico segue quel territorio, brucia, porta formicolii o un deficit, e non risponde al carico locale. E non è raro: nell’artrosi di anca e ginocchio è stimato attorno al</w:t>
      </w:r>
      <w:r>
        <w:t xml:space="preserve"> </w:t>
      </w:r>
      <w:r>
        <w:rPr>
          <w:b/>
          <w:bCs/>
        </w:rPr>
        <w:t xml:space="preserve">23%</w:t>
      </w:r>
      <w:r>
        <w:t xml:space="preserve"> </w:t>
      </w:r>
      <w:r>
        <w:t xml:space="preserve">(French,</w:t>
      </w:r>
      <w:r>
        <w:t xml:space="preserve"> </w:t>
      </w:r>
      <w:r>
        <w:rPr>
          <w:i/>
          <w:iCs/>
        </w:rPr>
        <w:t xml:space="preserve">Semin Arthritis Rheum</w:t>
      </w:r>
      <w:r>
        <w:t xml:space="preserve"> </w:t>
      </w:r>
      <w:r>
        <w:t xml:space="preserve">2017, PMID 28320529). Cambia l’invio, non la tecnica.</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per la frequenza della proiezione anca-ginocchio, misurata in una serie retrospettiva monocentrica su popolazione chirurgica (Cornelis, PMID 41245703).</w:t>
      </w:r>
      <w:r>
        <w:t xml:space="preserve"> </w:t>
      </w:r>
      <w:r>
        <w:rPr>
          <w:b/>
          <w:bCs/>
        </w:rPr>
        <w:t xml:space="preserve">IPOTESI</w:t>
      </w:r>
      <w:r>
        <w:t xml:space="preserve"> </w:t>
      </w:r>
      <w:r>
        <w:rPr>
          <w:i/>
          <w:iCs/>
        </w:rPr>
        <w:t xml:space="preserve">(meccanismo coerente, nessuno studio)</w:t>
      </w:r>
      <w:r>
        <w:t xml:space="preserve"> </w:t>
      </w:r>
      <w:r>
        <w:t xml:space="preserve">per l’asse cervico-dorsale → spalla: la convergenza è la stessa, la misura no.</w:t>
      </w:r>
    </w:p>
    <w:p>
      <w:pPr>
        <w:pStyle w:val="FirstParagraph"/>
      </w:pPr>
      <w:r>
        <w:rPr>
          <w:b/>
          <w:bCs/>
        </w:rPr>
        <w:t xml:space="preserve">È la perdita d’acqua che macchia il soffitto due stanze più in là: puoi ridipingere quanto vuoi, la macchia torna finché non chiudi il rubinetto.</w:t>
      </w:r>
    </w:p>
    <w:p>
      <w:r>
        <w:pict>
          <v:rect style="width:0;height:1.5pt" o:hralign="center" o:hrstd="t" o:hr="t"/>
        </w:pict>
      </w:r>
    </w:p>
    <w:bookmarkEnd w:id="24"/>
    <w:bookmarkStart w:id="25" w:name="a.-il-muscolo-che-qualcuno-ha-staccato"/>
    <w:p>
      <w:pPr>
        <w:pStyle w:val="Heading3"/>
      </w:pPr>
      <w:r>
        <w:t xml:space="preserve">3a. Il muscolo che qualcuno ha staccato</w:t>
      </w:r>
    </w:p>
    <w:p>
      <w:pPr>
        <w:pStyle w:val="FirstParagraph"/>
      </w:pPr>
      <w:r>
        <w:t xml:space="preserve">La catena, in quattro passaggi:</w:t>
      </w:r>
    </w:p>
    <w:p>
      <w:pPr>
        <w:pStyle w:val="Compact"/>
        <w:numPr>
          <w:ilvl w:val="0"/>
          <w:numId w:val="1011"/>
        </w:numPr>
      </w:pPr>
      <w:r>
        <w:t xml:space="preserve">L’articolazione ha versamento, infiammazione o lassità, e cambia la scarica dei recettori della capsula.</w:t>
      </w:r>
    </w:p>
    <w:p>
      <w:pPr>
        <w:pStyle w:val="Compact"/>
        <w:numPr>
          <w:ilvl w:val="0"/>
          <w:numId w:val="1011"/>
        </w:numPr>
      </w:pPr>
      <w:r>
        <w:t xml:space="preserve">Quel cambiamento</w:t>
      </w:r>
      <w:r>
        <w:t xml:space="preserve"> </w:t>
      </w:r>
      <w:r>
        <w:rPr>
          <w:b/>
          <w:bCs/>
        </w:rPr>
        <w:t xml:space="preserve">riduce il reclutamento volontario</w:t>
      </w:r>
      <w:r>
        <w:t xml:space="preserve"> </w:t>
      </w:r>
      <w:r>
        <w:t xml:space="preserve">del muscolo estensore, per via riflessa spinale: inibizione non reciproca, riflesso flessorio, circuito gamma. È l’</w:t>
      </w:r>
      <w:r>
        <w:rPr>
          <w:b/>
          <w:bCs/>
        </w:rPr>
        <w:t xml:space="preserve">inibizione muscolare artrogena</w:t>
      </w:r>
      <w:r>
        <w:t xml:space="preserve">, cioè il muscolo non si lascia attivare del tutto, nemmeno quando il paziente ci prova.</w:t>
      </w:r>
    </w:p>
    <w:p>
      <w:pPr>
        <w:pStyle w:val="Compact"/>
        <w:numPr>
          <w:ilvl w:val="0"/>
          <w:numId w:val="1011"/>
        </w:numPr>
      </w:pPr>
      <w:r>
        <w:rPr>
          <w:b/>
          <w:bCs/>
        </w:rPr>
        <w:t xml:space="preserve">Nei quadri cronici l’inibizione si mantiene anche quando il versamento è passato.</w:t>
      </w:r>
    </w:p>
    <w:p>
      <w:pPr>
        <w:pStyle w:val="Compact"/>
        <w:numPr>
          <w:ilvl w:val="0"/>
          <w:numId w:val="1011"/>
        </w:numPr>
      </w:pPr>
      <w:r>
        <w:t xml:space="preserve">Il muscolo indebolito frena meno il carico, l’articolazione ne riceve di più, e il ciclo si chiude su sé stesso.</w:t>
      </w:r>
    </w:p>
    <w:p>
      <w:pPr>
        <w:pStyle w:val="FirstParagraph"/>
      </w:pPr>
      <w:r>
        <w:rPr>
          <w:b/>
          <w:bCs/>
        </w:rPr>
        <w:t xml:space="preserve">Come si vede addosso al paziente.</w:t>
      </w:r>
      <w:r>
        <w:t xml:space="preserve"> </w:t>
      </w:r>
      <w:r>
        <w:t xml:space="preserve">Si alza spingendo con le braccia. Scende le scale di lato, un gradino alla volta. Ha un quadricipite che alla contrazione massima</w:t>
      </w:r>
      <w:r>
        <w:t xml:space="preserve"> </w:t>
      </w:r>
      <w:r>
        <w:t xml:space="preserve">“non arriva”</w:t>
      </w:r>
      <w:r>
        <w:t xml:space="preserve">. Riferisce debolezza dove non ha mai avuto dolore.</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che il versamento articolare inibisca per via riflessa il reclutamento del muscolo estensore. Il meccanismo spinale è quello descritto qui sopra, ed è stato riprodotto sperimentalmente (Rice &amp; McNair,</w:t>
      </w:r>
      <w:r>
        <w:t xml:space="preserve"> </w:t>
      </w:r>
      <w:r>
        <w:rPr>
          <w:i/>
          <w:iCs/>
        </w:rPr>
        <w:t xml:space="preserve">Semin Arthritis Rheum</w:t>
      </w:r>
      <w:r>
        <w:t xml:space="preserve"> </w:t>
      </w:r>
      <w:r>
        <w:t xml:space="preserve">2010, PMID 19954822).</w:t>
      </w:r>
      <w:r>
        <w:t xml:space="preserve"> </w:t>
      </w:r>
      <w:r>
        <w:rPr>
          <w:b/>
          <w:bCs/>
        </w:rPr>
        <w:t xml:space="preserve">PROBABILE</w:t>
      </w:r>
      <w:r>
        <w:t xml:space="preserve"> </w:t>
      </w:r>
      <w:r>
        <w:rPr>
          <w:i/>
          <w:iCs/>
        </w:rPr>
        <w:t xml:space="preserve">(razionale forte, prove parziali)</w:t>
      </w:r>
      <w:r>
        <w:t xml:space="preserve"> </w:t>
      </w:r>
      <w:r>
        <w:t xml:space="preserve">che la debolezza degli estensori preceda l’artrosi sintomatica, con certezza dichiarata bassa dagli autori (Øiestad, PMID 34916210).</w:t>
      </w:r>
      <w:r>
        <w:t xml:space="preserve"> </w:t>
      </w:r>
      <w:r>
        <w:rPr>
          <w:b/>
          <w:bCs/>
        </w:rPr>
        <w:t xml:space="preserve">IPOTESI</w:t>
      </w:r>
      <w:r>
        <w:t xml:space="preserve"> </w:t>
      </w:r>
      <w:r>
        <w:rPr>
          <w:i/>
          <w:iCs/>
        </w:rPr>
        <w:t xml:space="preserve">(meccanismo coerente, nessuno studio)</w:t>
      </w:r>
      <w:r>
        <w:t xml:space="preserve"> </w:t>
      </w:r>
      <w:r>
        <w:t xml:space="preserve">che l’inibizione agisca su più articolazioni insieme e spieghi il quadro multisede: nessuno l’ha misurato.</w:t>
      </w:r>
    </w:p>
    <w:p>
      <w:pPr>
        <w:pStyle w:val="FirstParagraph"/>
      </w:pPr>
      <w:r>
        <w:rPr>
          <w:b/>
          <w:bCs/>
        </w:rPr>
        <w:t xml:space="preserve">Il muscolo non si è indebolito per pigrizia: l’ha staccato un interruttore, e l’interruttore sta dentro l’articolazione.</w:t>
      </w:r>
    </w:p>
    <w:p>
      <w:r>
        <w:pict>
          <v:rect style="width:0;height:1.5pt" o:hralign="center" o:hrstd="t" o:hr="t"/>
        </w:pict>
      </w:r>
    </w:p>
    <w:bookmarkEnd w:id="25"/>
    <w:bookmarkStart w:id="26" w:name="b.-il-risparmio-che-nessuno-ha-deciso"/>
    <w:p>
      <w:pPr>
        <w:pStyle w:val="Heading3"/>
      </w:pPr>
      <w:r>
        <w:t xml:space="preserve">3b. Il risparmio che nessuno ha deciso</w:t>
      </w:r>
    </w:p>
    <w:p>
      <w:pPr>
        <w:pStyle w:val="FirstParagraph"/>
      </w:pPr>
      <w:r>
        <w:t xml:space="preserve">La catena, in tre passaggi:</w:t>
      </w:r>
    </w:p>
    <w:p>
      <w:pPr>
        <w:pStyle w:val="Compact"/>
        <w:numPr>
          <w:ilvl w:val="0"/>
          <w:numId w:val="1012"/>
        </w:numPr>
      </w:pPr>
      <w:r>
        <w:t xml:space="preserve">Una sede fa male, e il gesto che la usa diventa costoso.</w:t>
      </w:r>
    </w:p>
    <w:p>
      <w:pPr>
        <w:pStyle w:val="Compact"/>
        <w:numPr>
          <w:ilvl w:val="0"/>
          <w:numId w:val="1012"/>
        </w:numPr>
      </w:pPr>
      <w:r>
        <w:t xml:space="preserve">Il paziente cambia il modo di alzarsi, di salire le scale, di prendere un peso, e abbandona un’attività alla volta</w:t>
      </w:r>
      <w:r>
        <w:t xml:space="preserve"> </w:t>
      </w:r>
      <w:r>
        <w:rPr>
          <w:b/>
          <w:bCs/>
        </w:rPr>
        <w:t xml:space="preserve">senza mai decidere di farlo</w:t>
      </w:r>
      <w:r>
        <w:t xml:space="preserve">.</w:t>
      </w:r>
    </w:p>
    <w:p>
      <w:pPr>
        <w:pStyle w:val="Compact"/>
        <w:numPr>
          <w:ilvl w:val="0"/>
          <w:numId w:val="1012"/>
        </w:numPr>
      </w:pPr>
      <w:r>
        <w:t xml:space="preserve">Il carico si sposta su ciò che ancora regge, e tutto ciò che non usa si indebolisce.</w:t>
      </w:r>
    </w:p>
    <w:p>
      <w:pPr>
        <w:pStyle w:val="FirstParagraph"/>
      </w:pPr>
      <w:r>
        <w:t xml:space="preserve">È un</w:t>
      </w:r>
      <w:r>
        <w:t xml:space="preserve"> </w:t>
      </w:r>
      <w:r>
        <w:rPr>
          <w:b/>
          <w:bCs/>
        </w:rPr>
        <w:t xml:space="preserve">compenso</w:t>
      </w:r>
      <w:r>
        <w:t xml:space="preserve">, cioè un adattamento che gli permette di continuare e che gli costa.</w:t>
      </w:r>
    </w:p>
    <w:p>
      <w:pPr>
        <w:pStyle w:val="BodyText"/>
      </w:pPr>
      <w:r>
        <w:rPr>
          <w:b/>
          <w:bCs/>
        </w:rPr>
        <w:t xml:space="preserve">Come si vede addosso al paziente.</w:t>
      </w:r>
      <w:r>
        <w:t xml:space="preserve"> </w:t>
      </w:r>
      <w:r>
        <w:t xml:space="preserve">Ha smesso di camminare, di guidare, di uscire quando cambia il tempo — una cosa per volta e senza una data. E la limitazione che dichiara è più grande del reperto che trovi.</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per l’associazione fra numero di sedi, sonno e salute psicologica: su 2.926 persone, salute generale percepita, qualità del sonno e sesso spiegavano il 31,4% della varianza del numero di sedi (Kamaleri,</w:t>
      </w:r>
      <w:r>
        <w:t xml:space="preserve"> </w:t>
      </w:r>
      <w:r>
        <w:rPr>
          <w:i/>
          <w:iCs/>
        </w:rPr>
        <w:t xml:space="preserve">Eur J Pain</w:t>
      </w:r>
      <w:r>
        <w:t xml:space="preserve"> </w:t>
      </w:r>
      <w:r>
        <w:t xml:space="preserve">2008, PMID 18160318 — trasversale: un’associazione, non una direzione).</w:t>
      </w:r>
      <w:r>
        <w:t xml:space="preserve"> </w:t>
      </w:r>
      <w:r>
        <w:rPr>
          <w:b/>
          <w:bCs/>
        </w:rPr>
        <w:t xml:space="preserve">RAGIONAMENTO</w:t>
      </w:r>
      <w:r>
        <w:t xml:space="preserve"> </w:t>
      </w:r>
      <w:r>
        <w:rPr>
          <w:i/>
          <w:iCs/>
        </w:rPr>
        <w:t xml:space="preserve">(cornice clinica, non una prova)</w:t>
      </w:r>
      <w:r>
        <w:t xml:space="preserve"> </w:t>
      </w:r>
      <w:r>
        <w:t xml:space="preserve">per la ricostruzione del risparmio come anello che alimenta gli altri meccanismi.</w:t>
      </w:r>
    </w:p>
    <w:p>
      <w:pPr>
        <w:pStyle w:val="FirstParagraph"/>
      </w:pPr>
      <w:r>
        <w:rPr>
          <w:b/>
          <w:bCs/>
        </w:rPr>
        <w:t xml:space="preserve">È la casa in cui si smette di usare una stanza per volta: nessuno chiude niente, e a un certo punto si vive in cucina.</w:t>
      </w:r>
    </w:p>
    <w:p>
      <w:r>
        <w:pict>
          <v:rect style="width:0;height:1.5pt" o:hralign="center" o:hrstd="t" o:hr="t"/>
        </w:pict>
      </w:r>
    </w:p>
    <w:bookmarkEnd w:id="26"/>
    <w:bookmarkStart w:id="27" w:name="X5498ae10aec944250f48d5aebd40152d0c38323"/>
    <w:p>
      <w:pPr>
        <w:pStyle w:val="Heading3"/>
      </w:pPr>
      <w:r>
        <w:t xml:space="preserve">4. Il carico che si concentra, e il conto che si sposta</w:t>
      </w:r>
    </w:p>
    <w:p>
      <w:pPr>
        <w:pStyle w:val="FirstParagraph"/>
      </w:pPr>
      <w:r>
        <w:t xml:space="preserve">È il meccanismo più frequente, ed è quello su cui il documento è più prudente. La letteratura si ferma prima di dove il paziente vorrebbe portarlo, e va scritto anello per anello.</w:t>
      </w:r>
    </w:p>
    <w:p>
      <w:pPr>
        <w:pStyle w:val="BlockText"/>
      </w:pPr>
      <w:r>
        <w:rPr>
          <w:b/>
          <w:bCs/>
        </w:rPr>
        <w:t xml:space="preserve">Definizione.</w:t>
      </w:r>
      <w:r>
        <w:t xml:space="preserve"> </w:t>
      </w:r>
      <w:r>
        <w:t xml:space="preserve">Una</w:t>
      </w:r>
      <w:r>
        <w:t xml:space="preserve"> </w:t>
      </w:r>
      <w:r>
        <w:rPr>
          <w:b/>
          <w:bCs/>
        </w:rPr>
        <w:t xml:space="preserve">catena</w:t>
      </w:r>
      <w:r>
        <w:t xml:space="preserve"> </w:t>
      </w:r>
      <w:r>
        <w:t xml:space="preserve">è un insieme di strutture collegate che si influenzano a distanza, per continuità meccanica o per via nervosa. Spiega perché un problema in un punto può manifestarsi in un altro.</w:t>
      </w:r>
    </w:p>
    <w:p>
      <w:pPr>
        <w:pStyle w:val="Compact"/>
        <w:numPr>
          <w:ilvl w:val="0"/>
          <w:numId w:val="1013"/>
        </w:numPr>
      </w:pPr>
      <w:r>
        <w:rPr>
          <w:b/>
          <w:bCs/>
        </w:rPr>
        <w:t xml:space="preserve">Il carico sull’articolazione dipende dal peso e dalla geometria del gesto</w:t>
      </w:r>
      <w:r>
        <w:t xml:space="preserve">, in misura quantificata (Messier, PMID 15986358 — numeri in «Come funziona quando funziona»). È l’unico anello della catena che un intervento randomizzato abbia davvero spostato, e non è un intervento nostro: i numeri stanno in «Cosa può fare il paziente da solo» (Messier, PMID 24065013).</w:t>
      </w:r>
    </w:p>
    <w:p>
      <w:pPr>
        <w:pStyle w:val="Compact"/>
        <w:numPr>
          <w:ilvl w:val="0"/>
          <w:numId w:val="1013"/>
        </w:numPr>
      </w:pPr>
      <w:r>
        <w:rPr>
          <w:b/>
          <w:bCs/>
        </w:rPr>
        <w:t xml:space="preserve">Un’articolazione che si muove meno modifica il gesto che le sta intorno.</w:t>
      </w:r>
      <w:r>
        <w:t xml:space="preserve"> </w:t>
      </w:r>
      <w:r>
        <w:t xml:space="preserve">Chi ha l’anca rigida cammina diversamente, e il ginocchio e la lombare compiono una parte del movimento che non era loro.</w:t>
      </w:r>
    </w:p>
    <w:p>
      <w:pPr>
        <w:pStyle w:val="Compact"/>
        <w:numPr>
          <w:ilvl w:val="0"/>
          <w:numId w:val="1013"/>
        </w:numPr>
      </w:pPr>
      <w:r>
        <w:rPr>
          <w:b/>
          <w:bCs/>
        </w:rPr>
        <w:t xml:space="preserve">Da lì in poi la catena non è dimostrata.</w:t>
      </w:r>
      <w:r>
        <w:t xml:space="preserve"> </w:t>
      </w:r>
      <w:r>
        <w:t xml:space="preserve">Che liberare l’articolazione a monte riduca il carico su quella a valle, e che quella riduzione dia meno dolore, non è stato misurato in questa popolazione. E dove è stato misurato in condizioni vicine, il guadagno</w:t>
      </w:r>
      <w:r>
        <w:t xml:space="preserve"> </w:t>
      </w:r>
      <w:r>
        <w:rPr>
          <w:b/>
          <w:bCs/>
        </w:rPr>
        <w:t xml:space="preserve">non è passato all’anello successivo</w:t>
      </w:r>
      <w:r>
        <w:t xml:space="preserve">: il rinforzo degli abduttori d’anca migliora i sintomi del ginocchio artrosico senza cambiare il momento adduttorio. Cioè senza cambiare il carico che avrebbe dovuto spiegare il miglioramento (Bennell,</w:t>
      </w:r>
      <w:r>
        <w:t xml:space="preserve"> </w:t>
      </w:r>
      <w:r>
        <w:rPr>
          <w:i/>
          <w:iCs/>
        </w:rPr>
        <w:t xml:space="preserve">Osteoarthritis Cartilage</w:t>
      </w:r>
      <w:r>
        <w:t xml:space="preserve"> </w:t>
      </w:r>
      <w:r>
        <w:t xml:space="preserve">2010, PMID 20175973).</w:t>
      </w:r>
    </w:p>
    <w:p>
      <w:pPr>
        <w:pStyle w:val="FirstParagraph"/>
      </w:pPr>
      <w:r>
        <w:rPr>
          <w:b/>
          <w:bCs/>
        </w:rPr>
        <w:t xml:space="preserve">Come si vede addosso al paziente.</w:t>
      </w:r>
      <w:r>
        <w:t xml:space="preserve"> </w:t>
      </w:r>
      <w:r>
        <w:t xml:space="preserve">Un’escursione regionale nettamente ridotta a monte di una sede dolente. Un’asimmetria stabile nel modo di caricare. Sedi dolenti che stanno tutte sullo stesso lato o tutte sullo stesso arto.</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che il carico articolare dipenda dalla massa corporea in modo quantificabile (Messier, PMID 15986358).</w:t>
      </w:r>
      <w:r>
        <w:t xml:space="preserve"> </w:t>
      </w:r>
      <w:r>
        <w:rPr>
          <w:b/>
          <w:bCs/>
        </w:rPr>
        <w:t xml:space="preserve">PROBABILE</w:t>
      </w:r>
      <w:r>
        <w:t xml:space="preserve"> </w:t>
      </w:r>
      <w:r>
        <w:rPr>
          <w:i/>
          <w:iCs/>
        </w:rPr>
        <w:t xml:space="preserve">(razionale forte, prove parziali)</w:t>
      </w:r>
      <w:r>
        <w:t xml:space="preserve"> </w:t>
      </w:r>
      <w:r>
        <w:t xml:space="preserve">che una restrizione di escursione a monte modifichi il gesto a valle.</w:t>
      </w:r>
      <w:r>
        <w:t xml:space="preserve"> </w:t>
      </w:r>
      <w:r>
        <w:rPr>
          <w:b/>
          <w:bCs/>
        </w:rPr>
        <w:t xml:space="preserve">IPOTESI</w:t>
      </w:r>
      <w:r>
        <w:t xml:space="preserve"> </w:t>
      </w:r>
      <w:r>
        <w:rPr>
          <w:i/>
          <w:iCs/>
        </w:rPr>
        <w:t xml:space="preserve">(meccanismo coerente, nessuno studio)</w:t>
      </w:r>
      <w:r>
        <w:t xml:space="preserve"> </w:t>
      </w:r>
      <w:r>
        <w:t xml:space="preserve">che restituire escursione a monte riduca il carico e il dolore a valle, e qui con prove contrarie (Bennell, PMID 20175973).</w:t>
      </w:r>
      <w:r>
        <w:t xml:space="preserve"> </w:t>
      </w:r>
      <w:r>
        <w:rPr>
          <w:b/>
          <w:bCs/>
        </w:rPr>
        <w:t xml:space="preserve">La catena esiste come influenza, non come trasmissione rigida: un anello che si muove non tira l’anello successivo per forza di legge.</w:t>
      </w:r>
    </w:p>
    <w:p>
      <w:pPr>
        <w:pStyle w:val="FirstParagraph"/>
      </w:pPr>
      <w:r>
        <w:rPr>
          <w:b/>
          <w:bCs/>
        </w:rPr>
        <w:t xml:space="preserve">È un tavolo con una gamba più corta: non si rompe la gamba, si consuma il pavimento sotto le altre tre. E raddrizzare la gamba non ripara il pavimento.</w:t>
      </w:r>
    </w:p>
    <w:p>
      <w:r>
        <w:pict>
          <v:rect style="width:0;height:1.5pt" o:hralign="center" o:hrstd="t" o:hr="t"/>
        </w:pict>
      </w:r>
    </w:p>
    <w:bookmarkEnd w:id="27"/>
    <w:bookmarkStart w:id="28" w:name="laddebito-che-arriva-da-fuori"/>
    <w:p>
      <w:pPr>
        <w:pStyle w:val="Heading3"/>
      </w:pPr>
      <w:r>
        <w:t xml:space="preserve">5. L’addebito che arriva da fuori</w:t>
      </w:r>
    </w:p>
    <w:p>
      <w:pPr>
        <w:pStyle w:val="FirstParagraph"/>
      </w:pPr>
      <w:r>
        <w:t xml:space="preserve">Un quadro articolare multisede può essere prodotto da qualcosa che non sta nelle articolazioni. Le vie sono quattro, e vanno cercate in anamnesi prima di qualunque test.</w:t>
      </w:r>
    </w:p>
    <w:p>
      <w:pPr>
        <w:pStyle w:val="Compact"/>
        <w:numPr>
          <w:ilvl w:val="0"/>
          <w:numId w:val="1014"/>
        </w:numPr>
      </w:pPr>
      <w:r>
        <w:rPr>
          <w:b/>
          <w:bCs/>
        </w:rPr>
        <w:t xml:space="preserve">Un farmaco.</w:t>
      </w:r>
      <w:r>
        <w:t xml:space="preserve"> </w:t>
      </w:r>
      <w:r>
        <w:t xml:space="preserve">Gli inibitori dell’aromatasi, prescritti dopo un tumore della mammella, producono artralgia fino a interessare metà delle donne trattate. Ed è la prima causa di abbandono della terapia (Irwin,</w:t>
      </w:r>
      <w:r>
        <w:t xml:space="preserve"> </w:t>
      </w:r>
      <w:r>
        <w:rPr>
          <w:i/>
          <w:iCs/>
        </w:rPr>
        <w:t xml:space="preserve">J Clin Oncol</w:t>
      </w:r>
      <w:r>
        <w:t xml:space="preserve"> </w:t>
      </w:r>
      <w:r>
        <w:t xml:space="preserve">2015, PMID 25452437).</w:t>
      </w:r>
    </w:p>
    <w:p>
      <w:pPr>
        <w:pStyle w:val="Compact"/>
        <w:numPr>
          <w:ilvl w:val="0"/>
          <w:numId w:val="1014"/>
        </w:numPr>
      </w:pPr>
      <w:r>
        <w:rPr>
          <w:b/>
          <w:bCs/>
        </w:rPr>
        <w:t xml:space="preserve">Il corpo stesso: la transizione menopausale.</w:t>
      </w:r>
      <w:r>
        <w:t xml:space="preserve"> </w:t>
      </w:r>
      <w:r>
        <w:t xml:space="preserve">È la stessa privazione estrogenica, senza il farmaco. In sedici studi e 5.836 partecipanti il</w:t>
      </w:r>
      <w:r>
        <w:t xml:space="preserve"> </w:t>
      </w:r>
      <w:r>
        <w:rPr>
          <w:b/>
          <w:bCs/>
        </w:rPr>
        <w:t xml:space="preserve">71% delle donne in perimenopausa riferisce dolore muscolo-scheletrico</w:t>
      </w:r>
      <w:r>
        <w:t xml:space="preserve"> </w:t>
      </w:r>
      <w:r>
        <w:t xml:space="preserve">(64–78%), con un rischio 1,63 volte quello delle premenopausali (Lu,</w:t>
      </w:r>
      <w:r>
        <w:t xml:space="preserve"> </w:t>
      </w:r>
      <w:r>
        <w:rPr>
          <w:i/>
          <w:iCs/>
        </w:rPr>
        <w:t xml:space="preserve">Neural Plast</w:t>
      </w:r>
      <w:r>
        <w:t xml:space="preserve"> </w:t>
      </w:r>
      <w:r>
        <w:t xml:space="preserve">2020, PMID 33299396). Il fenomeno è attribuito alla riduzione degli estrogeni (Magliano,</w:t>
      </w:r>
      <w:r>
        <w:t xml:space="preserve"> </w:t>
      </w:r>
      <w:r>
        <w:rPr>
          <w:i/>
          <w:iCs/>
        </w:rPr>
        <w:t xml:space="preserve">Maturitas</w:t>
      </w:r>
      <w:r>
        <w:t xml:space="preserve"> </w:t>
      </w:r>
      <w:r>
        <w:t xml:space="preserve">2010, PMID 20537472). Anche il peso agisce per una via che non è la compressione: è associato all’artrosi</w:t>
      </w:r>
      <w:r>
        <w:t xml:space="preserve"> </w:t>
      </w:r>
      <w:r>
        <w:rPr>
          <w:b/>
          <w:bCs/>
        </w:rPr>
        <w:t xml:space="preserve">della mano</w:t>
      </w:r>
      <w:r>
        <w:t xml:space="preserve">, che non porta carico, con rischio relativo attorno a 1,9 ed evidenza dichiarata moderata (Yusuf,</w:t>
      </w:r>
      <w:r>
        <w:t xml:space="preserve"> </w:t>
      </w:r>
      <w:r>
        <w:rPr>
          <w:i/>
          <w:iCs/>
        </w:rPr>
        <w:t xml:space="preserve">Ann Rheum Dis</w:t>
      </w:r>
      <w:r>
        <w:t xml:space="preserve"> </w:t>
      </w:r>
      <w:r>
        <w:t xml:space="preserve">2010, PMID 19487215).</w:t>
      </w:r>
    </w:p>
    <w:p>
      <w:pPr>
        <w:pStyle w:val="Compact"/>
        <w:numPr>
          <w:ilvl w:val="0"/>
          <w:numId w:val="1014"/>
        </w:numPr>
      </w:pPr>
      <w:r>
        <w:rPr>
          <w:b/>
          <w:bCs/>
        </w:rPr>
        <w:t xml:space="preserve">Una malattia sistemica.</w:t>
      </w:r>
      <w:r>
        <w:t xml:space="preserve"> </w:t>
      </w:r>
      <w:r>
        <w:t xml:space="preserve">Forme infiammatorie ed endocrinopatie, in testa l’ipotiroidismo, producono dolore articolare diffuso reale.</w:t>
      </w:r>
    </w:p>
    <w:p>
      <w:pPr>
        <w:pStyle w:val="Compact"/>
        <w:numPr>
          <w:ilvl w:val="0"/>
          <w:numId w:val="1014"/>
        </w:numPr>
      </w:pPr>
      <w:r>
        <w:rPr>
          <w:b/>
          <w:bCs/>
        </w:rPr>
        <w:t xml:space="preserve">Un’attribuzione sbagliata.</w:t>
      </w:r>
      <w:r>
        <w:t xml:space="preserve"> </w:t>
      </w:r>
      <w:r>
        <w:t xml:space="preserve">Sono stati condotti</w:t>
      </w:r>
      <w:r>
        <w:t xml:space="preserve"> </w:t>
      </w:r>
      <w:r>
        <w:rPr>
          <w:b/>
          <w:bCs/>
        </w:rPr>
        <w:t xml:space="preserve">200 studi randomizzati su singolo paziente</w:t>
      </w:r>
      <w:r>
        <w:t xml:space="preserve">, su persone che avevano avuto sintomi muscolari gravi con le statine: ciascuno ha alternato in cieco sei periodi di due mesi fra statina e placebo. Nei 151 analizzati</w:t>
      </w:r>
      <w:r>
        <w:t xml:space="preserve"> </w:t>
      </w:r>
      <w:r>
        <w:rPr>
          <w:b/>
          <w:bCs/>
        </w:rPr>
        <w:t xml:space="preserve">non è emersa nessuna differenza media</w:t>
      </w:r>
      <w:r>
        <w:t xml:space="preserve">: −0,11, intervallo da −0,36 a 0,14. Gli autori aggiungono che in un piccolo numero di pazienti la statina può contribuire ai sintomi (Herrett,</w:t>
      </w:r>
      <w:r>
        <w:t xml:space="preserve"> </w:t>
      </w:r>
      <w:r>
        <w:rPr>
          <w:i/>
          <w:iCs/>
        </w:rPr>
        <w:t xml:space="preserve">Health Technol Assess</w:t>
      </w:r>
      <w:r>
        <w:t xml:space="preserve"> </w:t>
      </w:r>
      <w:r>
        <w:t xml:space="preserve">2021, PMID 33709907).</w:t>
      </w:r>
    </w:p>
    <w:p>
      <w:pPr>
        <w:pStyle w:val="FirstParagraph"/>
      </w:pPr>
      <w:r>
        <w:rPr>
          <w:b/>
          <w:bCs/>
        </w:rPr>
        <w:t xml:space="preserve">Come si vede addosso al paziente.</w:t>
      </w:r>
      <w:r>
        <w:t xml:space="preserve"> </w:t>
      </w:r>
      <w:r>
        <w:t xml:space="preserve">Un elenco comparso in pochi anni, che comprende articolazioni che non portano carico, in una persona con esami puliti. Sintomi generali insieme ai dolori: stanchezza, cambiamenti di peso, intolleranza al freddo, cessazione del ciclo. Una cronologia che coincide con l’inizio o l’aumento di un farmaco.</w:t>
      </w:r>
    </w:p>
    <w:p>
      <w:pPr>
        <w:pStyle w:val="BodyText"/>
      </w:pPr>
      <w:r>
        <w:rPr>
          <w:b/>
          <w:bCs/>
        </w:rPr>
        <w:t xml:space="preserve">Per te:</w:t>
      </w:r>
      <w:r>
        <w:t xml:space="preserve"> </w:t>
      </w:r>
      <w:r>
        <w:rPr>
          <w:b/>
          <w:bCs/>
        </w:rPr>
        <w:t xml:space="preserve">chiedi in che anno si sono fermate le mestruazioni, e mettilo accanto all’anno in cui è comparso l’elenco.</w:t>
      </w:r>
      <w:r>
        <w:t xml:space="preserve"> </w:t>
      </w:r>
      <w:r>
        <w:t xml:space="preserve">Se coincidono, l’osservazione va al curante, e tu smetti di spiegarle il carico su articolazioni che non ne portano. E non dare ragione al paziente che incolpa la statina: è la cosa più facile e più dannosa, perché poi lui la sospende.</w:t>
      </w:r>
      <w:r>
        <w:t xml:space="preserve"> </w:t>
      </w:r>
      <w:r>
        <w:rPr>
          <w:b/>
          <w:bCs/>
        </w:rPr>
        <w:t xml:space="preserve">La domanda che scrivi in cartella è una: il dolore è comparso entro settimane dall’inizio o dall’aumento di un farmaco?</w:t>
      </w:r>
      <w:r>
        <w:t xml:space="preserve"> </w:t>
      </w:r>
      <w:r>
        <w:t xml:space="preserve">La risposta va al prescrittore, non a te.</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per i quattro fatti citati qui sopra: artralgia da inibitori dell’aromatasi (Irwin, PMID 25452437), frequenza del dolore muscolo-scheletrico nella transizione menopausale (Lu, PMID 33299396), associazione fra peso e artrosi della mano (Yusuf, PMID 19487215), assenza di differenza media in cieco fra statina e placebo in chi le attribuisce i propri sintomi (Herrett, PMID 33709907).</w:t>
      </w:r>
      <w:r>
        <w:t xml:space="preserve"> </w:t>
      </w:r>
      <w:r>
        <w:rPr>
          <w:b/>
          <w:bCs/>
        </w:rPr>
        <w:t xml:space="preserve">IPOTESI</w:t>
      </w:r>
      <w:r>
        <w:t xml:space="preserve"> </w:t>
      </w:r>
      <w:r>
        <w:rPr>
          <w:i/>
          <w:iCs/>
        </w:rPr>
        <w:t xml:space="preserve">(meccanismo coerente, nessuno studio)</w:t>
      </w:r>
      <w:r>
        <w:t xml:space="preserve"> </w:t>
      </w:r>
      <w:r>
        <w:t xml:space="preserve">per la causalità estrogenica, per la via metabolica del tessuto adiposo, e per qualunque conseguenza terapeutica di entrambe.</w:t>
      </w:r>
      <w:r>
        <w:t xml:space="preserve"> </w:t>
      </w:r>
      <w:r>
        <w:rPr>
          <w:b/>
          <w:bCs/>
        </w:rPr>
        <w:t xml:space="preserve">RAGIONAMENTO</w:t>
      </w:r>
      <w:r>
        <w:t xml:space="preserve"> </w:t>
      </w:r>
      <w:r>
        <w:rPr>
          <w:i/>
          <w:iCs/>
        </w:rPr>
        <w:t xml:space="preserve">(cornice clinica, non una prova)</w:t>
      </w:r>
      <w:r>
        <w:t xml:space="preserve"> </w:t>
      </w:r>
      <w:r>
        <w:t xml:space="preserve">per l’ordine in cui queste domande entrano nella tua indagine.</w:t>
      </w:r>
    </w:p>
    <w:p>
      <w:pPr>
        <w:pStyle w:val="BlockText"/>
      </w:pPr>
      <w:r>
        <w:rPr>
          <w:b/>
          <w:bCs/>
        </w:rPr>
        <w:t xml:space="preserve">Attenzione.</w:t>
      </w:r>
      <w:r>
        <w:t xml:space="preserve"> </w:t>
      </w:r>
      <w:r>
        <w:t xml:space="preserve">Non commenti mai un farmaco e non suggerisci mai di sospenderlo o modificarlo, nemmeno in forma dubitativa. Scrivi l’osservazione temporale e la mandi al prescrittore. Vale identico per la terapia ormonale.</w:t>
      </w:r>
    </w:p>
    <w:p>
      <w:pPr>
        <w:pStyle w:val="FirstParagraph"/>
      </w:pPr>
      <w:r>
        <w:rPr>
          <w:b/>
          <w:bCs/>
        </w:rPr>
        <w:t xml:space="preserve">È un addebito automatico sul conto corrente: puoi risparmiare sulla spesa quanto vuoi, finché quello resta attivo il saldo non cambia.</w:t>
      </w:r>
    </w:p>
    <w:p>
      <w:pPr>
        <w:pStyle w:val="BodyText"/>
      </w:pPr>
      <w:r>
        <w:rPr>
          <w:b/>
          <w:bCs/>
        </w:rPr>
        <w:t xml:space="preserve">Le tre cose da ricordare, più una</w:t>
      </w:r>
    </w:p>
    <w:p>
      <w:pPr>
        <w:pStyle w:val="Compact"/>
        <w:numPr>
          <w:ilvl w:val="0"/>
          <w:numId w:val="1015"/>
        </w:numPr>
      </w:pPr>
      <w:r>
        <w:t xml:space="preserve">La soglia abbassata spiega la parola</w:t>
      </w:r>
      <w:r>
        <w:t xml:space="preserve"> </w:t>
      </w:r>
      <w:r>
        <w:t xml:space="preserve">“dappertutto”</w:t>
      </w:r>
      <w:r>
        <w:t xml:space="preserve"> </w:t>
      </w:r>
      <w:r>
        <w:t xml:space="preserve">meglio di qualunque conteggio di articolazioni danneggiate.</w:t>
      </w:r>
    </w:p>
    <w:p>
      <w:pPr>
        <w:pStyle w:val="Compact"/>
        <w:numPr>
          <w:ilvl w:val="0"/>
          <w:numId w:val="1015"/>
        </w:numPr>
      </w:pPr>
      <w:r>
        <w:t xml:space="preserve">La catena fra articolazioni è un’influenza, non una trasmissione: dichiara dove finisce la misura.</w:t>
      </w:r>
    </w:p>
    <w:p>
      <w:pPr>
        <w:pStyle w:val="Compact"/>
        <w:numPr>
          <w:ilvl w:val="0"/>
          <w:numId w:val="1015"/>
        </w:numPr>
      </w:pPr>
      <w:r>
        <w:t xml:space="preserve">Scheda dei farmaci e anno dell’ultima mestruazione si aprono prima dei test.</w:t>
      </w:r>
    </w:p>
    <w:p>
      <w:pPr>
        <w:pStyle w:val="Compact"/>
        <w:numPr>
          <w:ilvl w:val="0"/>
          <w:numId w:val="1015"/>
        </w:numPr>
      </w:pPr>
      <w:r>
        <w:rPr>
          <w:b/>
          <w:bCs/>
        </w:rPr>
        <w:t xml:space="preserve">Perché ci sei tu.</w:t>
      </w:r>
      <w:r>
        <w:t xml:space="preserve"> </w:t>
      </w:r>
      <w:r>
        <w:t xml:space="preserve">La soglia più bassa</w:t>
      </w:r>
      <w:r>
        <w:t xml:space="preserve"> </w:t>
      </w:r>
      <w:r>
        <w:rPr>
          <w:b/>
          <w:bCs/>
        </w:rPr>
        <w:t xml:space="preserve">anche all’avambraccio</w:t>
      </w:r>
      <w:r>
        <w:t xml:space="preserve">, cioè in un punto senza nessun danno articolare, di «Il contatore tarato male» (Arendt-Nielsen, PMID 20418016).</w:t>
      </w:r>
      <w:r>
        <w:t xml:space="preserve"> </w:t>
      </w:r>
      <w:r>
        <w:rPr>
          <w:b/>
          <w:bCs/>
        </w:rPr>
        <w:t xml:space="preserve">Per te:</w:t>
      </w:r>
      <w:r>
        <w:t xml:space="preserve"> </w:t>
      </w:r>
      <w:r>
        <w:t xml:space="preserve">esiste una variabile che spiega perché due pazienti con la stessa lastra hanno vite diverse, e la misuri tu in stanza. Ti autorizza a inserire la soglia dolorosa fra i tuoi dati di partenza. Non ti autorizza a dire al paziente che</w:t>
      </w:r>
      <w:r>
        <w:t xml:space="preserve"> </w:t>
      </w:r>
      <w:r>
        <w:t xml:space="preserve">“il problema è nel sistema nervoso”</w:t>
      </w:r>
      <w:r>
        <w:t xml:space="preserve">: il danno articolare c’è, e ne è la sorgente.</w:t>
      </w:r>
    </w:p>
    <w:p>
      <w:r>
        <w:pict>
          <v:rect style="width:0;height:1.5pt" o:hralign="center" o:hrstd="t" o:hr="t"/>
        </w:pict>
      </w:r>
    </w:p>
    <w:bookmarkEnd w:id="28"/>
    <w:bookmarkEnd w:id="29"/>
    <w:bookmarkStart w:id="30" w:name="X29f5442375d67b8af6c73d4ac2525d92f2728e5"/>
    <w:p>
      <w:pPr>
        <w:pStyle w:val="Heading2"/>
      </w:pPr>
      <w:r>
        <w:t xml:space="preserve">Capitolo 6 — Non è una condizione sola: i sottotipi</w:t>
      </w:r>
    </w:p>
    <w:p>
      <w:pPr>
        <w:pStyle w:val="BlockText"/>
      </w:pPr>
      <w:r>
        <w:rPr>
          <w:b/>
          <w:bCs/>
        </w:rPr>
        <w:t xml:space="preserve">In una riga:</w:t>
      </w:r>
      <w:r>
        <w:t xml:space="preserve"> </w:t>
      </w:r>
      <w:r>
        <w:t xml:space="preserve">cinque pattern producono lo stesso elenco di sedi, su due il tuo lavoro principale è riconoscere e mandare, e due di quelli che restano convivono nella maggioranza dei casi.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Sottotipo</w:t>
            </w:r>
          </w:p>
        </w:tc>
        <w:tc>
          <w:tcPr/>
          <w:p>
            <w:pPr>
              <w:pStyle w:val="Compact"/>
            </w:pPr>
            <w:r>
              <w:t xml:space="preserve">Segnale che lo riconosce</w:t>
            </w:r>
          </w:p>
        </w:tc>
        <w:tc>
          <w:tcPr/>
          <w:p>
            <w:pPr>
              <w:pStyle w:val="Compact"/>
            </w:pPr>
            <w:r>
              <w:t xml:space="preserve">Meccanismo che comanda</w:t>
            </w:r>
          </w:p>
        </w:tc>
        <w:tc>
          <w:tcPr/>
          <w:p>
            <w:pPr>
              <w:pStyle w:val="Compact"/>
            </w:pPr>
            <w:r>
              <w:t xml:space="preserve">Quanto puoi fare</w:t>
            </w:r>
          </w:p>
        </w:tc>
      </w:tr>
      <w:tr>
        <w:tc>
          <w:tcPr/>
          <w:p>
            <w:pPr>
              <w:pStyle w:val="Compact"/>
            </w:pPr>
            <w:r>
              <w:t xml:space="preserve">A · Multisede meccanico</w:t>
            </w:r>
          </w:p>
        </w:tc>
        <w:tc>
          <w:tcPr/>
          <w:p>
            <w:pPr>
              <w:pStyle w:val="Compact"/>
            </w:pPr>
            <w:r>
              <w:t xml:space="preserve">Dolore da attività, rigidità ≤30 min</w:t>
            </w:r>
          </w:p>
        </w:tc>
        <w:tc>
          <w:tcPr/>
          <w:p>
            <w:pPr>
              <w:pStyle w:val="Compact"/>
            </w:pPr>
            <w:r>
              <w:t xml:space="preserve">Carico concentrato</w:t>
            </w:r>
          </w:p>
        </w:tc>
        <w:tc>
          <w:tcPr/>
          <w:p>
            <w:pPr>
              <w:pStyle w:val="Compact"/>
            </w:pPr>
            <w:r>
              <w:t xml:space="preserve">Abbastanza</w:t>
            </w:r>
          </w:p>
        </w:tc>
      </w:tr>
      <w:tr>
        <w:tc>
          <w:tcPr/>
          <w:p>
            <w:pPr>
              <w:pStyle w:val="Compact"/>
            </w:pPr>
            <w:r>
              <w:t xml:space="preserve">B · Multisede a soglia bassa</w:t>
            </w:r>
          </w:p>
        </w:tc>
        <w:tc>
          <w:tcPr/>
          <w:p>
            <w:pPr>
              <w:pStyle w:val="Compact"/>
            </w:pPr>
            <w:r>
              <w:t xml:space="preserve">Dolore sproporzionato, sonno rotto</w:t>
            </w:r>
          </w:p>
        </w:tc>
        <w:tc>
          <w:tcPr/>
          <w:p>
            <w:pPr>
              <w:pStyle w:val="Compact"/>
            </w:pPr>
            <w:r>
              <w:t xml:space="preserve">Contatore tarato male</w:t>
            </w:r>
          </w:p>
        </w:tc>
        <w:tc>
          <w:tcPr/>
          <w:p>
            <w:pPr>
              <w:pStyle w:val="Compact"/>
            </w:pPr>
            <w:r>
              <w:t xml:space="preserve">Abbastanza, con tempi diversi</w:t>
            </w:r>
          </w:p>
        </w:tc>
      </w:tr>
      <w:tr>
        <w:tc>
          <w:tcPr/>
          <w:p>
            <w:pPr>
              <w:pStyle w:val="Compact"/>
            </w:pPr>
            <w:r>
              <w:t xml:space="preserve">C · Multisede riferito</w:t>
            </w:r>
          </w:p>
        </w:tc>
        <w:tc>
          <w:tcPr/>
          <w:p>
            <w:pPr>
              <w:pStyle w:val="Compact"/>
            </w:pPr>
            <w:r>
              <w:t xml:space="preserve">Sede muta alla palpazione</w:t>
            </w:r>
          </w:p>
        </w:tc>
        <w:tc>
          <w:tcPr/>
          <w:p>
            <w:pPr>
              <w:pStyle w:val="Compact"/>
            </w:pPr>
            <w:r>
              <w:t xml:space="preserve">Dolore da altra articolazione</w:t>
            </w:r>
          </w:p>
        </w:tc>
        <w:tc>
          <w:tcPr/>
          <w:p>
            <w:pPr>
              <w:pStyle w:val="Compact"/>
            </w:pPr>
            <w:r>
              <w:t xml:space="preserve">Molto</w:t>
            </w:r>
          </w:p>
        </w:tc>
      </w:tr>
      <w:tr>
        <w:tc>
          <w:tcPr/>
          <w:p>
            <w:pPr>
              <w:pStyle w:val="Compact"/>
            </w:pPr>
            <w:r>
              <w:t xml:space="preserve">D · Sospetto infiammatorio</w:t>
            </w:r>
          </w:p>
        </w:tc>
        <w:tc>
          <w:tcPr/>
          <w:p>
            <w:pPr>
              <w:pStyle w:val="Compact"/>
            </w:pPr>
            <w:r>
              <w:t xml:space="preserve">Gonfiore, o segni fuori dall’articolazione</w:t>
            </w:r>
          </w:p>
        </w:tc>
        <w:tc>
          <w:tcPr/>
          <w:p>
            <w:pPr>
              <w:pStyle w:val="Compact"/>
            </w:pPr>
            <w:r>
              <w:t xml:space="preserve">Non tuo</w:t>
            </w:r>
          </w:p>
        </w:tc>
        <w:tc>
          <w:tcPr/>
          <w:p>
            <w:pPr>
              <w:pStyle w:val="Compact"/>
            </w:pPr>
            <w:r>
              <w:t xml:space="preserve">Niente: invio</w:t>
            </w:r>
          </w:p>
        </w:tc>
      </w:tr>
      <w:tr>
        <w:tc>
          <w:tcPr/>
          <w:p>
            <w:pPr>
              <w:pStyle w:val="Compact"/>
            </w:pPr>
            <w:r>
              <w:t xml:space="preserve">E · Esogeno o sistemico</w:t>
            </w:r>
          </w:p>
        </w:tc>
        <w:tc>
          <w:tcPr/>
          <w:p>
            <w:pPr>
              <w:pStyle w:val="Compact"/>
            </w:pPr>
            <w:r>
              <w:t xml:space="preserve">Esordio dopo un farmaco o con la menopausa</w:t>
            </w:r>
          </w:p>
        </w:tc>
        <w:tc>
          <w:tcPr/>
          <w:p>
            <w:pPr>
              <w:pStyle w:val="Compact"/>
            </w:pPr>
            <w:r>
              <w:t xml:space="preserve">Addebito da fuori</w:t>
            </w:r>
          </w:p>
        </w:tc>
        <w:tc>
          <w:tcPr/>
          <w:p>
            <w:pPr>
              <w:pStyle w:val="Compact"/>
            </w:pPr>
            <w:r>
              <w:t xml:space="preserve">Il quadro no: invio. La meccanica sì</w:t>
            </w:r>
          </w:p>
        </w:tc>
      </w:tr>
    </w:tbl>
    <w:p>
      <w:pPr>
        <w:pStyle w:val="BodyText"/>
      </w:pPr>
      <w:r>
        <w:rPr>
          <w:b/>
          <w:bCs/>
        </w:rPr>
        <w:t xml:space="preserve">A · Multisede meccanico.</w:t>
      </w:r>
      <w:r>
        <w:t xml:space="preserve"> </w:t>
      </w:r>
      <w:r>
        <w:t xml:space="preserve">È il più frequente: dolore da attività in due o più articolazioni periferiche, rigidità mattutina sotto la mezz’ora, età sopra i 45 (NICE NG226, 1.1.1).</w:t>
      </w:r>
      <w:r>
        <w:t xml:space="preserve"> </w:t>
      </w:r>
      <w:r>
        <w:rPr>
          <w:b/>
          <w:bCs/>
        </w:rPr>
        <w:t xml:space="preserve">Quel criterio è scritto per chi formula la diagnosi. A te dice da dove partire, non che cosa il paziente ha, e si scrive in cartella come presunzione di lavoro.</w:t>
      </w:r>
      <w:r>
        <w:t xml:space="preserve"> </w:t>
      </w:r>
      <w:r>
        <w:t xml:space="preserve">Qui lavori su carico, escursione e forza, e i marker sono di funzione.</w:t>
      </w:r>
    </w:p>
    <w:p>
      <w:pPr>
        <w:pStyle w:val="BodyText"/>
      </w:pPr>
      <w:r>
        <w:rPr>
          <w:b/>
          <w:bCs/>
        </w:rPr>
        <w:t xml:space="preserve">B · Multisede a soglia bassa.</w:t>
      </w:r>
      <w:r>
        <w:t xml:space="preserve"> </w:t>
      </w:r>
      <w:r>
        <w:t xml:space="preserve">È il</w:t>
      </w:r>
      <w:r>
        <w:t xml:space="preserve"> </w:t>
      </w:r>
      <w:r>
        <w:rPr>
          <w:b/>
          <w:bCs/>
        </w:rPr>
        <w:t xml:space="preserve">fenotipo nociplastico</w:t>
      </w:r>
      <w:r>
        <w:t xml:space="preserve">, e lo riconosci dallo scarto: dolore più intenso e più diffuso di quanto la storia meccanica giustifichi, sonno rotto, dolorabilità alla pressione anche fuori dalle articolazioni.</w:t>
      </w:r>
      <w:r>
        <w:t xml:space="preserve"> </w:t>
      </w:r>
      <w:r>
        <w:rPr>
          <w:b/>
          <w:bCs/>
        </w:rPr>
        <w:t xml:space="preserve">Non è un paziente da rimandare a casa, e rimandarlo è l’errore che si fa più spesso:</w:t>
      </w:r>
      <w:r>
        <w:t xml:space="preserve"> </w:t>
      </w:r>
      <w:r>
        <w:t xml:space="preserve">è quello in cui hai più da fare, non meno.</w:t>
      </w:r>
    </w:p>
    <w:p>
      <w:pPr>
        <w:pStyle w:val="BodyText"/>
      </w:pPr>
      <w:r>
        <w:rPr>
          <w:b/>
          <w:bCs/>
        </w:rPr>
        <w:t xml:space="preserve">La leva ha quattro elementi, e sono di forza diversa.</w:t>
      </w:r>
      <w:r>
        <w:t xml:space="preserve"> </w:t>
      </w:r>
      <w:r>
        <w:t xml:space="preserve">L’esposizione graduata al carico ha studi controllati. La mobilizzazione articolare ha uno studio di laboratorio con effetto immediato, misurato proprio su questo fenotipo. Il contatto lento e il tempo dedicato sono il modo in cui consegni i primi due, e valgono come IPOTESI.</w:t>
      </w:r>
    </w:p>
    <w:p>
      <w:pPr>
        <w:pStyle w:val="BodyText"/>
      </w:pPr>
      <w:r>
        <w:rPr>
          <w:b/>
          <w:bCs/>
        </w:rPr>
        <w:t xml:space="preserve">E c’è un confine.</w:t>
      </w:r>
      <w:r>
        <w:t xml:space="preserve"> </w:t>
      </w:r>
      <w:r>
        <w:t xml:space="preserve">Se il dolore è generalizzato e dura da mesi, con fatica, sonno non ristoratore e difficoltà cognitive, quel paziente ha probabilmente una diagnosi medica con un percorso proprio. Lo si nomina al curante come possibile dolore nociplastico, e si lavora in parallelo.</w:t>
      </w:r>
    </w:p>
    <w:p>
      <w:pPr>
        <w:pStyle w:val="BodyText"/>
      </w:pPr>
      <w:r>
        <w:rPr>
          <w:b/>
          <w:bCs/>
        </w:rPr>
        <w:t xml:space="preserve">C · Multisede riferito.</w:t>
      </w:r>
      <w:r>
        <w:t xml:space="preserve"> </w:t>
      </w:r>
      <w:r>
        <w:t xml:space="preserve">Due o tre sedi sono eco di una sola sorgente: la palpazione non riproduce il dolore, il movimento di un’articolazione a monte sì.</w:t>
      </w:r>
      <w:r>
        <w:t xml:space="preserve"> </w:t>
      </w:r>
      <w:r>
        <w:rPr>
          <w:b/>
          <w:bCs/>
        </w:rPr>
        <w:t xml:space="preserve">È il sottotipo con il miglior rapporto fra fatica e risultato</w:t>
      </w:r>
      <w:r>
        <w:t xml:space="preserve">, e si scopre solo testando le articolazioni che il paziente non ha nominato. Prima di chiuderlo escludi il ramo neuropatico: se il dolore segue il territorio di un nervo, brucia, porta formicolii o un deficit, non è un riferito somatico e l’invio è diverso.</w:t>
      </w:r>
    </w:p>
    <w:p>
      <w:pPr>
        <w:pStyle w:val="BodyText"/>
      </w:pPr>
      <w:r>
        <w:rPr>
          <w:b/>
          <w:bCs/>
        </w:rPr>
        <w:t xml:space="preserve">D · Sospetto infiammatorio.</w:t>
      </w:r>
      <w:r>
        <w:t xml:space="preserve"> </w:t>
      </w:r>
      <w:r>
        <w:t xml:space="preserve">Le porte sono due, e la seconda è quella che si perde. La prima è il quadro classico:</w:t>
      </w:r>
      <w:r>
        <w:t xml:space="preserve"> </w:t>
      </w:r>
      <w:r>
        <w:rPr>
          <w:b/>
          <w:bCs/>
        </w:rPr>
        <w:t xml:space="preserve">gonfiore articolare vero</w:t>
      </w:r>
      <w:r>
        <w:t xml:space="preserve"> </w:t>
      </w:r>
      <w:r>
        <w:t xml:space="preserve">— un’articolazione che aumenta di volume e resta così — rigidità oltre i trenta minuti, simmetria su mani e polsi, comparsa recente. La seconda sta</w:t>
      </w:r>
      <w:r>
        <w:t xml:space="preserve"> </w:t>
      </w:r>
      <w:r>
        <w:rPr>
          <w:b/>
          <w:bCs/>
        </w:rPr>
        <w:t xml:space="preserve">fuori dall’articolazione</w:t>
      </w:r>
      <w:r>
        <w:t xml:space="preserve">, ed è asimmetrica: dattilite, entesite, psoriasi cutanea o ungueale, uveite, malattia infiammatoria intestinale, oppure rash, ulcere orali, Raynaud, secchezza di occhi e bocca, febbricola.</w:t>
      </w:r>
      <w:r>
        <w:t xml:space="preserve"> </w:t>
      </w:r>
      <w:r>
        <w:rPr>
          <w:b/>
          <w:bCs/>
        </w:rPr>
        <w:t xml:space="preserve">Qui il tuo atto clinico è il riconoscimento, non il trattamento.</w:t>
      </w:r>
    </w:p>
    <w:p>
      <w:pPr>
        <w:pStyle w:val="BodyText"/>
      </w:pPr>
      <w:r>
        <w:rPr>
          <w:b/>
          <w:bCs/>
        </w:rPr>
        <w:t xml:space="preserve">E · Esogeno o sistemico.</w:t>
      </w:r>
      <w:r>
        <w:t xml:space="preserve"> </w:t>
      </w:r>
      <w:r>
        <w:t xml:space="preserve">Il dolore è comparso entro settimane da un farmaco nuovo, oppure coincide con la fine del ciclo, oppure si accompagna a sintomi generali. Scrivi l’osservazione temporale e la mandi al curante o al prescrittore.</w:t>
      </w:r>
      <w:r>
        <w:t xml:space="preserve"> </w:t>
      </w:r>
      <w:r>
        <w:rPr>
          <w:b/>
          <w:bCs/>
        </w:rPr>
        <w:t xml:space="preserve">Il quadro generale non è il tuo bersaglio; la componente meccanica che hai trovato la tratti, dichiarando che non lo è.</w:t>
      </w:r>
    </w:p>
    <w:p>
      <w:pPr>
        <w:pStyle w:val="BodyText"/>
      </w:pPr>
      <w:r>
        <w:rPr>
          <w:b/>
          <w:bCs/>
        </w:rPr>
        <w:t xml:space="preserve">Come si presume il sottotipo quando gli esami non ci sono.</w:t>
      </w:r>
      <w:r>
        <w:t xml:space="preserve"> </w:t>
      </w:r>
      <w:r>
        <w:t xml:space="preserve">La separazione fra A, B e D si regge su tre reperti che produci tu:</w:t>
      </w:r>
      <w:r>
        <w:t xml:space="preserve"> </w:t>
      </w:r>
      <w:r>
        <w:rPr>
          <w:b/>
          <w:bCs/>
        </w:rPr>
        <w:t xml:space="preserve">rigidità mattutina cronometrata</w:t>
      </w:r>
      <w:r>
        <w:t xml:space="preserve">,</w:t>
      </w:r>
      <w:r>
        <w:t xml:space="preserve"> </w:t>
      </w:r>
      <w:r>
        <w:rPr>
          <w:b/>
          <w:bCs/>
        </w:rPr>
        <w:t xml:space="preserve">tumefazione articolare palpabile e segni extra-articolari</w:t>
      </w:r>
      <w:r>
        <w:t xml:space="preserve">,</w:t>
      </w:r>
      <w:r>
        <w:t xml:space="preserve"> </w:t>
      </w:r>
      <w:r>
        <w:rPr>
          <w:b/>
          <w:bCs/>
        </w:rPr>
        <w:t xml:space="preserve">soglia dolorosa su un sito remoto</w:t>
      </w:r>
      <w:r>
        <w:t xml:space="preserve">. È una presunzione di lavoro: si scrive in cartella come tale e si dice al paziente.</w:t>
      </w:r>
    </w:p>
    <w:p>
      <w:pPr>
        <w:pStyle w:val="BodyText"/>
      </w:pPr>
      <w:r>
        <w:rPr>
          <w:b/>
          <w:bCs/>
        </w:rPr>
        <w:t xml:space="preserve">Come si legge la soglia.</w:t>
      </w:r>
      <w:r>
        <w:t xml:space="preserve"> </w:t>
      </w:r>
      <w:r>
        <w:rPr>
          <w:b/>
          <w:bCs/>
        </w:rPr>
        <w:t xml:space="preserve">Non esiste un valore normativo di popolazione.</w:t>
      </w:r>
      <w:r>
        <w:t xml:space="preserve"> </w:t>
      </w:r>
      <w:r>
        <w:t xml:space="preserve">Il confronto è sempre</w:t>
      </w:r>
      <w:r>
        <w:t xml:space="preserve"> </w:t>
      </w:r>
      <w:r>
        <w:rPr>
          <w:b/>
          <w:bCs/>
        </w:rPr>
        <w:t xml:space="preserve">intra-paziente</w:t>
      </w:r>
      <w:r>
        <w:t xml:space="preserve">: sito sintomatico contro sito remoto nella stessa seduta, e primo rilievo contro i successivi.</w:t>
      </w:r>
      <w:r>
        <w:t xml:space="preserve"> </w:t>
      </w:r>
      <w:r>
        <w:t xml:space="preserve">“Normale”</w:t>
      </w:r>
      <w:r>
        <w:t xml:space="preserve"> </w:t>
      </w:r>
      <w:r>
        <w:t xml:space="preserve">e</w:t>
      </w:r>
      <w:r>
        <w:t xml:space="preserve"> </w:t>
      </w:r>
      <w:r>
        <w:t xml:space="preserve">“nettamente bassa”</w:t>
      </w:r>
      <w:r>
        <w:t xml:space="preserve"> </w:t>
      </w:r>
      <w:r>
        <w:t xml:space="preserve">significano</w:t>
      </w:r>
      <w:r>
        <w:t xml:space="preserve"> </w:t>
      </w:r>
      <w:r>
        <w:rPr>
          <w:i/>
          <w:iCs/>
        </w:rPr>
        <w:t xml:space="preserve">rispetto al suo stesso sito remoto e al suo stesso basale</w:t>
      </w:r>
      <w:r>
        <w:t xml:space="preserve">, mai rispetto a una tabella.</w:t>
      </w:r>
    </w:p>
    <w:p>
      <w:pPr>
        <w:pStyle w:val="BodyText"/>
      </w:pPr>
      <w:r>
        <w:t xml:space="preserve">Senza algometro la soglia si</w:t>
      </w:r>
      <w:r>
        <w:t xml:space="preserve"> </w:t>
      </w:r>
      <w:r>
        <w:rPr>
          <w:b/>
          <w:bCs/>
        </w:rPr>
        <w:t xml:space="preserve">stima</w:t>
      </w:r>
      <w:r>
        <w:t xml:space="preserve"> </w:t>
      </w:r>
      <w:r>
        <w:t xml:space="preserve">con la pressione del pollice. Il surrogato classifica e</w:t>
      </w:r>
      <w:r>
        <w:t xml:space="preserve"> </w:t>
      </w:r>
      <w:r>
        <w:rPr>
          <w:b/>
          <w:bCs/>
        </w:rPr>
        <w:t xml:space="preserve">non regge come marker</w:t>
      </w:r>
      <w:r>
        <w:t xml:space="preserve">, perché non ha una soglia con una provenienza: allora il marker della prova diventa uno degli altri tre. Come si esegue la misura è materia di Procedura. Etichetta: RAGIONAMENTO</w:t>
      </w:r>
      <w:r>
        <w:t xml:space="preserve"> </w:t>
      </w:r>
      <w:r>
        <w:rPr>
          <w:i/>
          <w:iCs/>
        </w:rPr>
        <w:t xml:space="preserve">(cornice clinica, non una prova)</w:t>
      </w:r>
      <w:r>
        <w:t xml:space="preserve">.</w:t>
      </w:r>
    </w:p>
    <w:p>
      <w:pPr>
        <w:pStyle w:val="BodyText"/>
      </w:pPr>
      <w:r>
        <w:rPr>
          <w:b/>
          <w:bCs/>
        </w:rPr>
        <w:t xml:space="preserve">A e B convivono, ed è la regola.</w:t>
      </w:r>
      <w:r>
        <w:t xml:space="preserve"> </w:t>
      </w:r>
      <w:r>
        <w:t xml:space="preserve">Il paziente con l’anca rigida e le sedi tutte a destra ha spessissimo anche la soglia bassa e il sonno rotto. Chi sceglie A tratta il carico e si stupisce che il dolore non scenda; chi sceglie B non tocca l’anca e perde la leva. Quando convivono,</w:t>
      </w:r>
      <w:r>
        <w:t xml:space="preserve"> </w:t>
      </w:r>
      <w:r>
        <w:rPr>
          <w:b/>
          <w:bCs/>
        </w:rPr>
        <w:t xml:space="preserve">B decide i tempi e la progressione, A decide il bersaglio</w:t>
      </w:r>
      <w:r>
        <w:t xml:space="preserve">. Sono il limite di velocità e la destinazione: uno dice in quanto tempo arrivi, l’altra dove vai. Il marker resta quello di B, che è il più lento, e quindi quello che dice se la progressione è sostenibile. Etichetta: RAGIONAMENTO</w:t>
      </w:r>
      <w:r>
        <w:t xml:space="preserve"> </w:t>
      </w:r>
      <w:r>
        <w:rPr>
          <w:i/>
          <w:iCs/>
        </w:rPr>
        <w:t xml:space="preserve">(cornice clinica, non una prova)</w:t>
      </w:r>
      <w:r>
        <w:t xml:space="preserve">.</w:t>
      </w:r>
    </w:p>
    <w:p>
      <w:pPr>
        <w:pStyle w:val="BodyText"/>
      </w:pPr>
      <w:r>
        <w:rPr>
          <w:b/>
          <w:bCs/>
        </w:rPr>
        <w:t xml:space="preserve">Sotto i 45 anni questa tabella non si applica.</w:t>
      </w:r>
      <w:r>
        <w:t xml:space="preserve"> </w:t>
      </w:r>
      <w:r>
        <w:t xml:space="preserve">Il criterio su cui poggia il sottotipo A vale dai 45 in su, e il peso relativo delle forme infiammatorie è diverso. Quindi la presunzione di sottotipo non si fa, e il canale medico si attiva prima e non in parallelo.</w:t>
      </w:r>
    </w:p>
    <w:p>
      <w:pPr>
        <w:pStyle w:val="BodyText"/>
      </w:pPr>
      <w:r>
        <w:rPr>
          <w:b/>
          <w:bCs/>
        </w:rPr>
        <w:t xml:space="preserve">Condizioni spesso associate.</w:t>
      </w:r>
      <w:r>
        <w:t xml:space="preserve"> </w:t>
      </w:r>
      <w:r>
        <w:t xml:space="preserve">Se una sede domina il quadro, la Bibbia di sede ha i meccanismi per esteso: artrosi, cervicalgia, lombalgia, sciatalgia, dorsalgia, dolori mandibolari, ipercifosi. Con disturbi del sonno o allarme stabile, vedi ansia somatizzata e affaticamento cronico: condividono la soglia abbassata.</w:t>
      </w:r>
    </w:p>
    <w:p>
      <w:pPr>
        <w:pStyle w:val="BodyText"/>
      </w:pPr>
      <w:r>
        <w:rPr>
          <w:b/>
          <w:bCs/>
        </w:rPr>
        <w:t xml:space="preserve">Le tre cose da ricordare, più una</w:t>
      </w:r>
    </w:p>
    <w:p>
      <w:pPr>
        <w:pStyle w:val="Compact"/>
        <w:numPr>
          <w:ilvl w:val="0"/>
          <w:numId w:val="1016"/>
        </w:numPr>
      </w:pPr>
      <w:r>
        <w:t xml:space="preserve">Gonfiore vero, rigidità oltre la mezz’ora</w:t>
      </w:r>
      <w:r>
        <w:t xml:space="preserve"> </w:t>
      </w:r>
      <w:r>
        <w:rPr>
          <w:b/>
          <w:bCs/>
        </w:rPr>
        <w:t xml:space="preserve">e segni fuori dall’articolazione</w:t>
      </w:r>
      <w:r>
        <w:t xml:space="preserve"> </w:t>
      </w:r>
      <w:r>
        <w:t xml:space="preserve">sono il confine, e si cercano in ogni primo colloquio.</w:t>
      </w:r>
    </w:p>
    <w:p>
      <w:pPr>
        <w:pStyle w:val="Compact"/>
        <w:numPr>
          <w:ilvl w:val="0"/>
          <w:numId w:val="1016"/>
        </w:numPr>
      </w:pPr>
      <w:r>
        <w:t xml:space="preserve">Il sottotipo a soglia bassa è quello in cui hai più da fare, non meno: cambia il tempo, non l’indicazione.</w:t>
      </w:r>
    </w:p>
    <w:p>
      <w:pPr>
        <w:pStyle w:val="Compact"/>
        <w:numPr>
          <w:ilvl w:val="0"/>
          <w:numId w:val="1016"/>
        </w:numPr>
      </w:pPr>
      <w:r>
        <w:t xml:space="preserve">A e B convivono: B decide i tempi, A decide il bersaglio.</w:t>
      </w:r>
    </w:p>
    <w:p>
      <w:pPr>
        <w:pStyle w:val="Compact"/>
        <w:numPr>
          <w:ilvl w:val="0"/>
          <w:numId w:val="1016"/>
        </w:numPr>
      </w:pPr>
      <w:r>
        <w:rPr>
          <w:b/>
          <w:bCs/>
        </w:rPr>
        <w:t xml:space="preserve">Perché ci sei tu.</w:t>
      </w:r>
      <w:r>
        <w:t xml:space="preserve"> </w:t>
      </w:r>
      <w:r>
        <w:t xml:space="preserve">Duecentoventitré pazienti con artrosi di ginocchio sono stati seguiti fino a un anno dopo la protesi. Chi aveva una funzione somatosensoriale</w:t>
      </w:r>
      <w:r>
        <w:t xml:space="preserve"> </w:t>
      </w:r>
      <w:r>
        <w:rPr>
          <w:b/>
          <w:bCs/>
        </w:rPr>
        <w:t xml:space="preserve">persistentemente alterata</w:t>
      </w:r>
      <w:r>
        <w:t xml:space="preserve"> </w:t>
      </w:r>
      <w:r>
        <w:t xml:space="preserve">— soglie basse, allodinia locale, sommazione facilitata — è migliorato meno, in quattro dei sette raggruppamenti usati. Gli autori chiedono che il risultato sia validato (Vervullens,</w:t>
      </w:r>
      <w:r>
        <w:t xml:space="preserve"> </w:t>
      </w:r>
      <w:r>
        <w:rPr>
          <w:i/>
          <w:iCs/>
        </w:rPr>
        <w:t xml:space="preserve">Clin Rheumatol</w:t>
      </w:r>
      <w:r>
        <w:t xml:space="preserve"> </w:t>
      </w:r>
      <w:r>
        <w:t xml:space="preserve">2024, PMID 38668988).</w:t>
      </w:r>
      <w:r>
        <w:t xml:space="preserve"> </w:t>
      </w:r>
      <w:r>
        <w:rPr>
          <w:b/>
          <w:bCs/>
        </w:rPr>
        <w:t xml:space="preserve">Per te:</w:t>
      </w:r>
      <w:r>
        <w:t xml:space="preserve"> </w:t>
      </w:r>
      <w:r>
        <w:t xml:space="preserve">su questo sottotipo l’intervento più aggressivo che la medicina abbia — sostituire l’articolazione — rende meno. Ti autorizza a misurare la soglia prima di promettere qualunque cosa, e a lavorare con tempi lunghi. Non ti autorizza a offrirti come alternativa alla chirurgia: quello studio misura chi risponde male alla protesi, non chi risponde bene alle tue mani.</w:t>
      </w:r>
    </w:p>
    <w:p>
      <w:r>
        <w:pict>
          <v:rect style="width:0;height:1.5pt" o:hralign="center" o:hrstd="t" o:hr="t"/>
        </w:pict>
      </w:r>
    </w:p>
    <w:bookmarkEnd w:id="30"/>
    <w:bookmarkStart w:id="36" w:name="X09247322a2da79841e87919ec6d62c213d7949d"/>
    <w:p>
      <w:pPr>
        <w:pStyle w:val="Heading2"/>
      </w:pPr>
      <w:r>
        <w:t xml:space="preserve">Capitolo 7 — La lettura osteopatica: i cinque modelli</w:t>
      </w:r>
    </w:p>
    <w:p>
      <w:pPr>
        <w:pStyle w:val="BlockText"/>
      </w:pPr>
      <w:r>
        <w:rPr>
          <w:b/>
          <w:bCs/>
        </w:rPr>
        <w:t xml:space="preserve">In una riga:</w:t>
      </w:r>
      <w:r>
        <w:t xml:space="preserve"> </w:t>
      </w:r>
      <w:r>
        <w:t xml:space="preserve">un modello comanda, due lo accompagnano, uno si valuta e si rinvia, e uno va invocato solo per la metà che ha una misura.</w:t>
      </w:r>
    </w:p>
    <w:p>
      <w:pPr>
        <w:pStyle w:val="FirstParagraph"/>
      </w:pPr>
      <w:r>
        <w:rPr>
          <w:b/>
          <w:bCs/>
        </w:rPr>
        <w:t xml:space="preserve">Come si legge questo capitolo.</w:t>
      </w:r>
      <w:r>
        <w:t xml:space="preserve"> </w:t>
      </w:r>
      <w:r>
        <w:t xml:space="preserve">I modelli non sono meccanismi nuovi: sono i meccanismi di «Cosa si rompe» riletti per piano. Qui si dice</w:t>
      </w:r>
      <w:r>
        <w:t xml:space="preserve"> </w:t>
      </w:r>
      <w:r>
        <w:rPr>
          <w:b/>
          <w:bCs/>
        </w:rPr>
        <w:t xml:space="preserve">quale piano comanda, chi sono gli attori, quale etichetta porta e dove sta la prova per esteso.</w:t>
      </w:r>
      <w:r>
        <w:t xml:space="preserve"> </w:t>
      </w:r>
      <w:r>
        <w:t xml:space="preserve">I segni con cui lo riconosci in stanza stanno in «Come si vede addosso al paziente» e nella colonna «Segnale che lo riconosce» dei sottotipi.</w:t>
      </w:r>
    </w:p>
    <w:bookmarkStart w:id="31" w:name="neurologico-dominante"/>
    <w:p>
      <w:pPr>
        <w:pStyle w:val="Heading3"/>
      </w:pPr>
      <w:r>
        <w:t xml:space="preserve">Neurologico —</w:t>
      </w:r>
      <w:r>
        <w:t xml:space="preserve"> </w:t>
      </w:r>
      <w:r>
        <w:rPr>
          <w:b/>
          <w:bCs/>
        </w:rPr>
        <w:t xml:space="preserve">dominante</w:t>
      </w:r>
    </w:p>
    <w:p>
      <w:pPr>
        <w:pStyle w:val="FirstParagraph"/>
      </w:pPr>
      <w:r>
        <w:rPr>
          <w:b/>
          <w:bCs/>
        </w:rPr>
        <w:t xml:space="preserve">Cosa governa qui.</w:t>
      </w:r>
      <w:r>
        <w:t xml:space="preserve"> </w:t>
      </w:r>
      <w:r>
        <w:t xml:space="preserve">Due cose: la soglia a cui un segnale articolare diventa dolore, e il riflesso che spegne il muscolo attorno a un’articolazione irritata. È il piano che spiega perché due pazienti con la stessa lastra hanno due vite diverse.</w:t>
      </w:r>
    </w:p>
    <w:p>
      <w:pPr>
        <w:pStyle w:val="BodyText"/>
      </w:pPr>
      <w:r>
        <w:rPr>
          <w:b/>
          <w:bCs/>
        </w:rPr>
        <w:t xml:space="preserve">Gli attori:</w:t>
      </w:r>
      <w:r>
        <w:t xml:space="preserve"> </w:t>
      </w:r>
      <w:r>
        <w:t xml:space="preserve">neurone spinale di secondo ordine, controllo discendente del tronco encefalico, recettori capsulari, muscolo estensore.</w:t>
      </w:r>
      <w:r>
        <w:t xml:space="preserve"> </w:t>
      </w:r>
      <w:r>
        <w:rPr>
          <w:b/>
          <w:bCs/>
        </w:rPr>
        <w:t xml:space="preserve">I segnali</w:t>
      </w:r>
      <w:r>
        <w:t xml:space="preserve"> </w:t>
      </w:r>
      <w:r>
        <w:t xml:space="preserve">sono quelli dei meccanismi 1 e 3a, più il</w:t>
      </w:r>
      <w:r>
        <w:t xml:space="preserve"> </w:t>
      </w:r>
      <w:r>
        <w:rPr>
          <w:b/>
          <w:bCs/>
        </w:rPr>
        <w:t xml:space="preserve">sonno disturbato — in questi quadri più spesso un motore che una conseguenza.</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per la sensibilizzazione diffusa (Arendt-Nielsen, PMID 20418016) e per l’inibizione muscolare artrogena (Rice &amp; McNair, PMID 19954822).</w:t>
      </w:r>
      <w:r>
        <w:t xml:space="preserve"> </w:t>
      </w:r>
      <w:r>
        <w:rPr>
          <w:b/>
          <w:bCs/>
        </w:rPr>
        <w:t xml:space="preserve">PROBABILE</w:t>
      </w:r>
      <w:r>
        <w:t xml:space="preserve"> </w:t>
      </w:r>
      <w:r>
        <w:rPr>
          <w:i/>
          <w:iCs/>
        </w:rPr>
        <w:t xml:space="preserve">(razionale forte, prove parziali)</w:t>
      </w:r>
      <w:r>
        <w:t xml:space="preserve"> </w:t>
      </w:r>
      <w:r>
        <w:t xml:space="preserve">per l’ipoalgesia da input meccanico manuale (Coronado, PMID 22296867 — studio e numeri nel capitolo delle mani).</w:t>
      </w:r>
      <w:r>
        <w:t xml:space="preserve"> </w:t>
      </w:r>
      <w:r>
        <w:rPr>
          <w:b/>
          <w:bCs/>
        </w:rPr>
        <w:t xml:space="preserve">Misurato su manipolazione spinale in popolazioni muscolo-scheletriche varie e come effetto immediato, non su mobilizzazione periferica in pazienti multisede: il salto è di intervento, di popolazione e di durata.</w:t>
      </w:r>
      <w:r>
        <w:t xml:space="preserve"> </w:t>
      </w:r>
      <w:r>
        <w:t xml:space="preserve">Sul nostro fenotipo il dato più vicino è il crossover sui pazienti con modulazione condizionata alterata (Courtney, PMID 26721229):</w:t>
      </w:r>
      <w:r>
        <w:t xml:space="preserve"> </w:t>
      </w:r>
      <w:r>
        <w:rPr>
          <w:b/>
          <w:bCs/>
        </w:rPr>
        <w:t xml:space="preserve">il salto è di popolazione e di durata.</w:t>
      </w:r>
    </w:p>
    <w:p>
      <w:pPr>
        <w:pStyle w:val="BlockText"/>
      </w:pPr>
      <w:r>
        <w:rPr>
          <w:b/>
          <w:bCs/>
        </w:rPr>
        <w:t xml:space="preserve">PROBABILE</w:t>
      </w:r>
      <w:r>
        <w:t xml:space="preserve"> </w:t>
      </w:r>
      <w:r>
        <w:t xml:space="preserve">anche per l’anello fra sonno e modulazione endogena, che</w:t>
      </w:r>
      <w:r>
        <w:t xml:space="preserve"> </w:t>
      </w:r>
      <w:r>
        <w:rPr>
          <w:b/>
          <w:bCs/>
        </w:rPr>
        <w:t xml:space="preserve">è stato misurato</w:t>
      </w:r>
      <w:r>
        <w:t xml:space="preserve">. La privazione peggiora la modulazione condizionata e abbassa le soglie (Staffe, PMID 31800612). E a perdere il freno discendente è stato</w:t>
      </w:r>
      <w:r>
        <w:t xml:space="preserve"> </w:t>
      </w:r>
      <w:r>
        <w:rPr>
          <w:b/>
          <w:bCs/>
        </w:rPr>
        <w:t xml:space="preserve">il gruppo con il sonno interrotto, non quello che dormiva semplicemente di meno</w:t>
      </w:r>
      <w:r>
        <w:t xml:space="preserve"> </w:t>
      </w:r>
      <w:r>
        <w:t xml:space="preserve">(Smith MT, PMID 17520794). È la ragione misurata per cui qui si chiede la</w:t>
      </w:r>
      <w:r>
        <w:t xml:space="preserve"> </w:t>
      </w:r>
      <w:r>
        <w:rPr>
          <w:b/>
          <w:bCs/>
        </w:rPr>
        <w:t xml:space="preserve">qualità</w:t>
      </w:r>
      <w:r>
        <w:t xml:space="preserve"> </w:t>
      </w:r>
      <w:r>
        <w:t xml:space="preserve">del sonno e non le ore.</w:t>
      </w:r>
      <w:r>
        <w:t xml:space="preserve"> </w:t>
      </w:r>
      <w:r>
        <w:rPr>
          <w:b/>
          <w:bCs/>
        </w:rPr>
        <w:t xml:space="preserve">Misurato su volontari sani privati del sonno in laboratorio, non su pazienti con dolore articolare multisede — e misura il danno della privazione, non il guadagno del recupero.</w:t>
      </w:r>
      <w:r>
        <w:t xml:space="preserve"> </w:t>
      </w:r>
      <w:r>
        <w:t xml:space="preserve">Resta</w:t>
      </w:r>
      <w:r>
        <w:t xml:space="preserve"> </w:t>
      </w:r>
      <w:r>
        <w:rPr>
          <w:b/>
          <w:bCs/>
        </w:rPr>
        <w:t xml:space="preserve">IPOTESI</w:t>
      </w:r>
      <w:r>
        <w:t xml:space="preserve"> </w:t>
      </w:r>
      <w:r>
        <w:rPr>
          <w:i/>
          <w:iCs/>
        </w:rPr>
        <w:t xml:space="preserve">(meccanismo coerente, nessuno studio)</w:t>
      </w:r>
      <w:r>
        <w:t xml:space="preserve">, invariata, che recuperare il sonno rialzi la soglia di</w:t>
      </w:r>
      <w:r>
        <w:t xml:space="preserve"> </w:t>
      </w:r>
      <w:r>
        <w:rPr>
          <w:b/>
          <w:bCs/>
        </w:rPr>
        <w:t xml:space="preserve">questo</w:t>
      </w:r>
      <w:r>
        <w:t xml:space="preserve"> </w:t>
      </w:r>
      <w:r>
        <w:t xml:space="preserve">paziente, e c’è un dato che ci va contro: dove il sonno è migliorato, le misure di modulazione non si sono mosse (Smith MT, PMID 25623343).</w:t>
      </w:r>
    </w:p>
    <w:bookmarkEnd w:id="31"/>
    <w:bookmarkStart w:id="32" w:name="Xe912715fae511c7a8b3ed9e41ca7ff507243d2a"/>
    <w:p>
      <w:pPr>
        <w:pStyle w:val="Heading3"/>
      </w:pPr>
      <w:r>
        <w:t xml:space="preserve">Comportamentale-biopsicosociale —</w:t>
      </w:r>
      <w:r>
        <w:t xml:space="preserve"> </w:t>
      </w:r>
      <w:r>
        <w:rPr>
          <w:b/>
          <w:bCs/>
        </w:rPr>
        <w:t xml:space="preserve">co-dominante</w:t>
      </w:r>
    </w:p>
    <w:p>
      <w:pPr>
        <w:pStyle w:val="FirstParagraph"/>
      </w:pPr>
      <w:r>
        <w:rPr>
          <w:b/>
          <w:bCs/>
        </w:rPr>
        <w:t xml:space="preserve">Cosa governa qui.</w:t>
      </w:r>
      <w:r>
        <w:t xml:space="preserve"> </w:t>
      </w:r>
      <w:r>
        <w:t xml:space="preserve">Le convinzioni sul carico, il risparmio inconsapevole, il sonno, l’attribuzione causale che il paziente si è dato, e la quota di risultato che dipende da come lavori e non da cosa fai.</w:t>
      </w:r>
    </w:p>
    <w:p>
      <w:pPr>
        <w:pStyle w:val="BodyText"/>
      </w:pPr>
      <w:r>
        <w:rPr>
          <w:b/>
          <w:bCs/>
        </w:rPr>
        <w:t xml:space="preserve">Gli attori:</w:t>
      </w:r>
      <w:r>
        <w:t xml:space="preserve"> </w:t>
      </w:r>
      <w:r>
        <w:t xml:space="preserve">il paziente che ha smesso di camminare, la frase</w:t>
      </w:r>
      <w:r>
        <w:t xml:space="preserve"> </w:t>
      </w:r>
      <w:r>
        <w:rPr>
          <w:i/>
          <w:iCs/>
        </w:rPr>
        <w:t xml:space="preserve">“è l’età”</w:t>
      </w:r>
      <w:r>
        <w:t xml:space="preserve">, la teoria</w:t>
      </w:r>
      <w:r>
        <w:t xml:space="preserve"> </w:t>
      </w:r>
      <w:r>
        <w:rPr>
          <w:i/>
          <w:iCs/>
        </w:rPr>
        <w:t xml:space="preserve">“se lo uso me lo consumo”</w:t>
      </w:r>
      <w:r>
        <w:t xml:space="preserve">, il letto in cui non dorme.</w:t>
      </w:r>
      <w:r>
        <w:t xml:space="preserve"> </w:t>
      </w:r>
      <w:r>
        <w:rPr>
          <w:b/>
          <w:bCs/>
        </w:rPr>
        <w:t xml:space="preserve">I segnali</w:t>
      </w:r>
      <w:r>
        <w:t xml:space="preserve"> </w:t>
      </w:r>
      <w:r>
        <w:t xml:space="preserve">sono quelli del meccanismo 3b.</w:t>
      </w:r>
    </w:p>
    <w:p>
      <w:pPr>
        <w:pStyle w:val="BodyText"/>
      </w:pPr>
      <w:r>
        <w:rPr>
          <w:b/>
          <w:bCs/>
        </w:rPr>
        <w:t xml:space="preserve">Il sonno appartiene a questo modello, con lo stesso scope del peso:</w:t>
      </w:r>
      <w:r>
        <w:t xml:space="preserve"> </w:t>
      </w:r>
      <w:r>
        <w:t xml:space="preserve">si nomina, se ne chiede la qualità e non solo le ore, si rinvia. Non si prescrive igiene del sonno.</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per l’associazione fra numero di sedi, qualità del sonno e salute psicologica (Kamaleri, PMID 18160318 — numeri nel meccanismo 3b; trasversale: associazione, non direzione).</w:t>
      </w:r>
      <w:r>
        <w:t xml:space="preserve"> </w:t>
      </w:r>
      <w:r>
        <w:rPr>
          <w:b/>
          <w:bCs/>
        </w:rPr>
        <w:t xml:space="preserve">DIMOSTRATO</w:t>
      </w:r>
      <w:r>
        <w:t xml:space="preserve"> </w:t>
      </w:r>
      <w:r>
        <w:t xml:space="preserve">anche per l’assenza di differenza in cieco fra statina e placebo in chi le attribuisce i propri sintomi muscolari (Herrett, PMID 33709907 — numeri nel meccanismo 5): è uno studio sulle</w:t>
      </w:r>
      <w:r>
        <w:t xml:space="preserve"> </w:t>
      </w:r>
      <w:r>
        <w:rPr>
          <w:b/>
          <w:bCs/>
        </w:rPr>
        <w:t xml:space="preserve">attribuzioni causali</w:t>
      </w:r>
      <w:r>
        <w:t xml:space="preserve">, e per questo sta qui.</w:t>
      </w:r>
    </w:p>
    <w:p>
      <w:pPr>
        <w:pStyle w:val="BlockText"/>
      </w:pPr>
      <w:r>
        <w:rPr>
          <w:b/>
          <w:bCs/>
        </w:rPr>
        <w:t xml:space="preserve">PROBABILE</w:t>
      </w:r>
      <w:r>
        <w:t xml:space="preserve"> </w:t>
      </w:r>
      <w:r>
        <w:rPr>
          <w:i/>
          <w:iCs/>
        </w:rPr>
        <w:t xml:space="preserve">(razionale forte, prove parziali)</w:t>
      </w:r>
      <w:r>
        <w:t xml:space="preserve"> </w:t>
      </w:r>
      <w:r>
        <w:t xml:space="preserve">per un effetto sulla depressione, con eterogeneità moderata e campioni piccoli dichiarati dagli autori (Gordon, PMID 39920074):</w:t>
      </w:r>
      <w:r>
        <w:t xml:space="preserve"> </w:t>
      </w:r>
      <w:r>
        <w:rPr>
          <w:b/>
          <w:bCs/>
        </w:rPr>
        <w:t xml:space="preserve">misurato su popolazioni miste con dolore, non su pazienti multisede, e su un esito psicologico, non articolare.</w:t>
      </w:r>
      <w:r>
        <w:t xml:space="preserve"> </w:t>
      </w:r>
      <w:r>
        <w:rPr>
          <w:b/>
          <w:bCs/>
        </w:rPr>
        <w:t xml:space="preserve">PROBABILE</w:t>
      </w:r>
      <w:r>
        <w:t xml:space="preserve"> </w:t>
      </w:r>
      <w:r>
        <w:t xml:space="preserve">anche per la frase che regge la co-dominanza di questo modello —</w:t>
      </w:r>
      <w:r>
        <w:t xml:space="preserve"> </w:t>
      </w:r>
      <w:r>
        <w:rPr>
          <w:i/>
          <w:iCs/>
        </w:rPr>
        <w:t xml:space="preserve">«una quota del risultato dipende da come lavori e non da cosa fai»</w:t>
      </w:r>
      <w:r>
        <w:t xml:space="preserve"> </w:t>
      </w:r>
      <w:r>
        <w:t xml:space="preserve">— con i limiti dichiarati dagli autori:</w:t>
      </w:r>
      <w:r>
        <w:t xml:space="preserve"> </w:t>
      </w:r>
      <w:r>
        <w:rPr>
          <w:b/>
          <w:bCs/>
        </w:rPr>
        <w:t xml:space="preserve">disegno osservazionale annidato dentro un randomizzato, alleanza misurata alla seconda seduta, esiti primari a otto settimane</w:t>
      </w:r>
      <w:r>
        <w:t xml:space="preserve"> </w:t>
      </w:r>
      <w:r>
        <w:t xml:space="preserve">(Ferreira PH, PMID 23139428).</w:t>
      </w:r>
      <w:r>
        <w:t xml:space="preserve"> </w:t>
      </w:r>
      <w:r>
        <w:rPr>
          <w:b/>
          <w:bCs/>
        </w:rPr>
        <w:t xml:space="preserve">Misurato su lombalgia cronica trattata da fisioterapisti, non su dolore multisede trattato da osteopati, e come associazione, non come effetto randomizzato dell’alleanza.</w:t>
      </w:r>
    </w:p>
    <w:p>
      <w:pPr>
        <w:pStyle w:val="BlockText"/>
      </w:pPr>
      <w:r>
        <w:rPr>
          <w:b/>
          <w:bCs/>
        </w:rPr>
        <w:t xml:space="preserve">DIMOSTRATO</w:t>
      </w:r>
      <w:r>
        <w:t xml:space="preserve"> </w:t>
      </w:r>
      <w:r>
        <w:t xml:space="preserve">per la componente non specifica del risultato (Zou, PMID 26882927 — numeri in «Cosa dice la scienza»):</w:t>
      </w:r>
      <w:r>
        <w:t xml:space="preserve"> </w:t>
      </w:r>
      <w:r>
        <w:rPr>
          <w:b/>
          <w:bCs/>
        </w:rPr>
        <w:t xml:space="preserve">misurato su artrosi di singola sede, non sul quadro multisede.</w:t>
      </w:r>
      <w:r>
        <w:t xml:space="preserve"> </w:t>
      </w:r>
      <w:r>
        <w:t xml:space="preserve">Dentro quel numero, dicono gli autori, ci sono placebo, decorso spontaneo e regressione alla media.</w:t>
      </w:r>
      <w:r>
        <w:t xml:space="preserve"> </w:t>
      </w:r>
      <w:r>
        <w:rPr>
          <w:b/>
          <w:bCs/>
        </w:rPr>
        <w:t xml:space="preserve">Non autorizza a rivendicare quella quota: obbliga a scontarla dal proprio risultato prima di attribuirselo.</w:t>
      </w:r>
    </w:p>
    <w:bookmarkEnd w:id="32"/>
    <w:bookmarkStart w:id="33" w:name="biomeccanico-strutturale-co-dominante"/>
    <w:p>
      <w:pPr>
        <w:pStyle w:val="Heading3"/>
      </w:pPr>
      <w:r>
        <w:t xml:space="preserve">Biomeccanico-strutturale —</w:t>
      </w:r>
      <w:r>
        <w:t xml:space="preserve"> </w:t>
      </w:r>
      <w:r>
        <w:rPr>
          <w:b/>
          <w:bCs/>
        </w:rPr>
        <w:t xml:space="preserve">co-dominante</w:t>
      </w:r>
    </w:p>
    <w:p>
      <w:pPr>
        <w:pStyle w:val="FirstParagraph"/>
      </w:pPr>
      <w:r>
        <w:rPr>
          <w:b/>
          <w:bCs/>
        </w:rPr>
        <w:t xml:space="preserve">Cosa governa qui.</w:t>
      </w:r>
      <w:r>
        <w:t xml:space="preserve"> </w:t>
      </w:r>
      <w:r>
        <w:t xml:space="preserve">La distribuzione del carico fra le articolazioni, l’escursione disponibile in ciascuna, il gesto con cui il paziente compie le azioni che gli fanno male.</w:t>
      </w:r>
    </w:p>
    <w:p>
      <w:pPr>
        <w:pStyle w:val="BodyText"/>
      </w:pPr>
      <w:r>
        <w:rPr>
          <w:b/>
          <w:bCs/>
        </w:rPr>
        <w:t xml:space="preserve">Gli attori:</w:t>
      </w:r>
      <w:r>
        <w:t xml:space="preserve"> </w:t>
      </w:r>
      <w:r>
        <w:t xml:space="preserve">articolazioni vicine a quelle dolenti, muscoli estensori delle articolazioni portanti, capsula.</w:t>
      </w:r>
      <w:r>
        <w:t xml:space="preserve"> </w:t>
      </w:r>
      <w:r>
        <w:rPr>
          <w:b/>
          <w:bCs/>
        </w:rPr>
        <w:t xml:space="preserve">I segnali</w:t>
      </w:r>
      <w:r>
        <w:t xml:space="preserve"> </w:t>
      </w:r>
      <w:r>
        <w:t xml:space="preserve">sono quelli dei meccanismi 2 e 4.</w:t>
      </w:r>
    </w:p>
    <w:p>
      <w:pPr>
        <w:pStyle w:val="BlockText"/>
      </w:pPr>
      <w:r>
        <w:rPr>
          <w:b/>
          <w:bCs/>
        </w:rPr>
        <w:t xml:space="preserve">Quanto è solido:</w:t>
      </w:r>
      <w:r>
        <w:t xml:space="preserve"> </w:t>
      </w:r>
      <w:r>
        <w:t xml:space="preserve">l’etichetta si spezza.</w:t>
      </w:r>
      <w:r>
        <w:t xml:space="preserve"> </w:t>
      </w:r>
      <w:r>
        <w:rPr>
          <w:b/>
          <w:bCs/>
        </w:rPr>
        <w:t xml:space="preserve">PROBABILE</w:t>
      </w:r>
      <w:r>
        <w:t xml:space="preserve"> </w:t>
      </w:r>
      <w:r>
        <w:rPr>
          <w:i/>
          <w:iCs/>
        </w:rPr>
        <w:t xml:space="preserve">(razionale forte, prove parziali)</w:t>
      </w:r>
      <w:r>
        <w:t xml:space="preserve"> </w:t>
      </w:r>
      <w:r>
        <w:t xml:space="preserve">che la debolezza degli estensori preceda l’artrosi sintomatica, con certezza dichiarata bassa dagli autori (Øiestad, PMID 34916210).</w:t>
      </w:r>
      <w:r>
        <w:t xml:space="preserve"> </w:t>
      </w:r>
      <w:r>
        <w:rPr>
          <w:b/>
          <w:bCs/>
        </w:rPr>
        <w:t xml:space="preserve">PROBABILE</w:t>
      </w:r>
      <w:r>
        <w:t xml:space="preserve"> </w:t>
      </w:r>
      <w:r>
        <w:t xml:space="preserve">anche per il recupero di escursione come effetto della terapia manuale su una singola sede (Hoeksma, PMID 15478147 — studio e numeri nel capitolo delle mani).</w:t>
      </w:r>
      <w:r>
        <w:t xml:space="preserve"> </w:t>
      </w:r>
      <w:r>
        <w:rPr>
          <w:b/>
          <w:bCs/>
        </w:rPr>
        <w:t xml:space="preserve">IPOTESI</w:t>
      </w:r>
      <w:r>
        <w:t xml:space="preserve"> </w:t>
      </w:r>
      <w:r>
        <w:rPr>
          <w:i/>
          <w:iCs/>
        </w:rPr>
        <w:t xml:space="preserve">(meccanismo coerente, nessuno studio)</w:t>
      </w:r>
      <w:r>
        <w:t xml:space="preserve"> </w:t>
      </w:r>
      <w:r>
        <w:t xml:space="preserve">che un guadagno di escursione a monte riduca il carico a valle, e qui con prove contrarie (Bennell, PMID 20175973).</w:t>
      </w:r>
    </w:p>
    <w:bookmarkEnd w:id="33"/>
    <w:bookmarkStart w:id="34" w:name="X8b4edeafe728cd6ab50fa08edb6c5c2d65094c4"/>
    <w:p>
      <w:pPr>
        <w:pStyle w:val="Heading3"/>
      </w:pPr>
      <w:r>
        <w:t xml:space="preserve">Metabolico-energetico —</w:t>
      </w:r>
      <w:r>
        <w:t xml:space="preserve"> </w:t>
      </w:r>
      <w:r>
        <w:rPr>
          <w:b/>
          <w:bCs/>
        </w:rPr>
        <w:t xml:space="preserve">secondario forte, e non si lavora con le mani</w:t>
      </w:r>
    </w:p>
    <w:p>
      <w:pPr>
        <w:pStyle w:val="FirstParagraph"/>
      </w:pPr>
      <w:r>
        <w:rPr>
          <w:b/>
          <w:bCs/>
        </w:rPr>
        <w:t xml:space="preserve">Cosa governa qui.</w:t>
      </w:r>
      <w:r>
        <w:t xml:space="preserve"> </w:t>
      </w:r>
      <w:r>
        <w:t xml:space="preserve">Peso, assetto ormonale, comorbilità, e i farmaci che possono produrre il quadro.</w:t>
      </w:r>
    </w:p>
    <w:p>
      <w:pPr>
        <w:pStyle w:val="BodyText"/>
      </w:pPr>
      <w:r>
        <w:rPr>
          <w:b/>
          <w:bCs/>
        </w:rPr>
        <w:t xml:space="preserve">Gli attori:</w:t>
      </w:r>
      <w:r>
        <w:t xml:space="preserve"> </w:t>
      </w:r>
      <w:r>
        <w:t xml:space="preserve">il tessuto adiposo, l’assetto estrogenico, il farmaco che il paziente assume, le comorbilità che ne allungano la lista.</w:t>
      </w:r>
      <w:r>
        <w:t xml:space="preserve"> </w:t>
      </w:r>
      <w:r>
        <w:rPr>
          <w:b/>
          <w:bCs/>
        </w:rPr>
        <w:t xml:space="preserve">I segnali</w:t>
      </w:r>
      <w:r>
        <w:t xml:space="preserve"> </w:t>
      </w:r>
      <w:r>
        <w:t xml:space="preserve">sono quelli del meccanismo 5.</w:t>
      </w:r>
    </w:p>
    <w:p>
      <w:pPr>
        <w:pStyle w:val="BodyText"/>
      </w:pPr>
      <w:r>
        <w:rPr>
          <w:b/>
          <w:bCs/>
        </w:rPr>
        <w:t xml:space="preserve">Lo scope non si negozia:</w:t>
      </w:r>
      <w:r>
        <w:t xml:space="preserve"> </w:t>
      </w:r>
      <w:r>
        <w:t xml:space="preserve">qui si</w:t>
      </w:r>
      <w:r>
        <w:t xml:space="preserve"> </w:t>
      </w:r>
      <w:r>
        <w:rPr>
          <w:b/>
          <w:bCs/>
        </w:rPr>
        <w:t xml:space="preserve">valuta</w:t>
      </w:r>
      <w:r>
        <w:t xml:space="preserve">, si</w:t>
      </w:r>
      <w:r>
        <w:t xml:space="preserve"> </w:t>
      </w:r>
      <w:r>
        <w:rPr>
          <w:b/>
          <w:bCs/>
        </w:rPr>
        <w:t xml:space="preserve">nomina</w:t>
      </w:r>
      <w:r>
        <w:t xml:space="preserve"> </w:t>
      </w:r>
      <w:r>
        <w:t xml:space="preserve">e si</w:t>
      </w:r>
      <w:r>
        <w:t xml:space="preserve"> </w:t>
      </w:r>
      <w:r>
        <w:rPr>
          <w:b/>
          <w:bCs/>
        </w:rPr>
        <w:t xml:space="preserve">rinvia</w:t>
      </w:r>
      <w:r>
        <w:t xml:space="preserve"> </w:t>
      </w:r>
      <w:r>
        <w:t xml:space="preserve">a medico o dietista. Non si prescrive e non si commenta una terapia.</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per quattro fatti, con i numeri nel meccanismo 5: l’effetto meccanico del peso sul carico articolare (Messier, PMID 15986358); l’artralgia da inibitori dell’aromatasi (Irwin, PMID 25452437); la frequenza del dolore muscolo-scheletrico nella transizione menopausale (Lu, PMID 33299396); l’associazione fra peso e artrosi della mano (Yusuf, PMID 19487215).</w:t>
      </w:r>
      <w:r>
        <w:t xml:space="preserve"> </w:t>
      </w:r>
      <w:r>
        <w:rPr>
          <w:b/>
          <w:bCs/>
        </w:rPr>
        <w:t xml:space="preserve">IPOTESI</w:t>
      </w:r>
      <w:r>
        <w:t xml:space="preserve"> </w:t>
      </w:r>
      <w:r>
        <w:rPr>
          <w:i/>
          <w:iCs/>
        </w:rPr>
        <w:t xml:space="preserve">(meccanismo coerente, nessuno studio)</w:t>
      </w:r>
      <w:r>
        <w:t xml:space="preserve"> </w:t>
      </w:r>
      <w:r>
        <w:t xml:space="preserve">per la via metabolica del tessuto adiposo e per la causalità estrogenica.</w:t>
      </w:r>
    </w:p>
    <w:bookmarkEnd w:id="34"/>
    <w:bookmarkStart w:id="35" w:name="X9208c0d870fc797438cc73fd80662aa19c0e1fc"/>
    <w:p>
      <w:pPr>
        <w:pStyle w:val="Heading3"/>
      </w:pPr>
      <w:r>
        <w:t xml:space="preserve">Respiratorio-circolatorio —</w:t>
      </w:r>
      <w:r>
        <w:t xml:space="preserve"> </w:t>
      </w:r>
      <w:r>
        <w:rPr>
          <w:b/>
          <w:bCs/>
        </w:rPr>
        <w:t xml:space="preserve">accessorio, con scope ristretto</w:t>
      </w:r>
    </w:p>
    <w:p>
      <w:pPr>
        <w:pStyle w:val="FirstParagraph"/>
      </w:pPr>
      <w:r>
        <w:rPr>
          <w:b/>
          <w:bCs/>
        </w:rPr>
        <w:t xml:space="preserve">Cosa governa qui.</w:t>
      </w:r>
      <w:r>
        <w:t xml:space="preserve"> </w:t>
      </w:r>
      <w:r>
        <w:t xml:space="preserve">Poco, e va dichiarato.</w:t>
      </w:r>
      <w:r>
        <w:t xml:space="preserve"> </w:t>
      </w:r>
      <w:r>
        <w:rPr>
          <w:b/>
          <w:bCs/>
        </w:rPr>
        <w:t xml:space="preserve">Si usa la sola capacità aerobica generale.</w:t>
      </w:r>
      <w:r>
        <w:t xml:space="preserve"> </w:t>
      </w:r>
      <w:r>
        <w:t xml:space="preserve">La metà circolatoria del modello comprende drenaggio articolare, ritorno venoso e linfatico del segmento. Non è mai stata misurata prima e dopo un trattamento manuale su un’articolazione dolente, e qui non viene invocata. La restrizione è motivata dall’assenza di misura, non di interesse.</w:t>
      </w:r>
    </w:p>
    <w:p>
      <w:pPr>
        <w:pStyle w:val="BodyText"/>
      </w:pPr>
      <w:r>
        <w:t xml:space="preserve">Per la stessa ragione</w:t>
      </w:r>
      <w:r>
        <w:t xml:space="preserve"> </w:t>
      </w:r>
      <w:r>
        <w:rPr>
          <w:b/>
          <w:bCs/>
        </w:rPr>
        <w:t xml:space="preserve">il ritmo del respiro non compare come leva</w:t>
      </w:r>
      <w:r>
        <w:t xml:space="preserve">: non ha né una fonte su questa condizione né un modello che lo rivendichi.</w:t>
      </w:r>
    </w:p>
    <w:p>
      <w:pPr>
        <w:pStyle w:val="BodyText"/>
      </w:pPr>
      <w:r>
        <w:rPr>
          <w:b/>
          <w:bCs/>
        </w:rPr>
        <w:t xml:space="preserve">Gli attori:</w:t>
      </w:r>
      <w:r>
        <w:t xml:space="preserve"> </w:t>
      </w:r>
      <w:r>
        <w:t xml:space="preserve">il sistema aerobico generale e la tolleranza al compito continuo.</w:t>
      </w:r>
      <w:r>
        <w:t xml:space="preserve"> </w:t>
      </w:r>
      <w:r>
        <w:rPr>
          <w:b/>
          <w:bCs/>
        </w:rPr>
        <w:t xml:space="preserve">Il segnale che resta:</w:t>
      </w:r>
      <w:r>
        <w:t xml:space="preserve"> </w:t>
      </w:r>
      <w:r>
        <w:t xml:space="preserve">quanta attività continua il paziente sostiene prima di fermarsi.</w:t>
      </w:r>
    </w:p>
    <w:p>
      <w:pPr>
        <w:pStyle w:val="BlockText"/>
      </w:pPr>
      <w:r>
        <w:rPr>
          <w:b/>
          <w:bCs/>
        </w:rPr>
        <w:t xml:space="preserve">Quanto è solido:</w:t>
      </w:r>
      <w:r>
        <w:t xml:space="preserve"> </w:t>
      </w:r>
      <w:r>
        <w:rPr>
          <w:b/>
          <w:bCs/>
        </w:rPr>
        <w:t xml:space="preserve">IPOTESI</w:t>
      </w:r>
      <w:r>
        <w:t xml:space="preserve"> </w:t>
      </w:r>
      <w:r>
        <w:rPr>
          <w:i/>
          <w:iCs/>
        </w:rPr>
        <w:t xml:space="preserve">(meccanismo coerente, nessuno studio)</w:t>
      </w:r>
      <w:r>
        <w:t xml:space="preserve"> </w:t>
      </w:r>
      <w:r>
        <w:t xml:space="preserve">per qualunque effetto circolatorio o linfatico locale del gesto manuale su un’articolazione dolente. L’esercizio aerobico ha un effetto misurato sul dolore, ma quell’effetto viaggia con l’esercizio e appartiene agli altri modelli.</w:t>
      </w:r>
    </w:p>
    <w:p>
      <w:pPr>
        <w:pStyle w:val="FirstParagraph"/>
      </w:pPr>
      <w:r>
        <w:rPr>
          <w:b/>
          <w:bCs/>
        </w:rPr>
        <w:t xml:space="preserve">Le tre cose da ricordare, più una</w:t>
      </w:r>
    </w:p>
    <w:p>
      <w:pPr>
        <w:pStyle w:val="Compact"/>
        <w:numPr>
          <w:ilvl w:val="0"/>
          <w:numId w:val="1017"/>
        </w:numPr>
      </w:pPr>
      <w:r>
        <w:t xml:space="preserve">Un modello comanda — il neurologico — e due lo accompagnano: tre dominanti equivalgono a nessuno.</w:t>
      </w:r>
    </w:p>
    <w:p>
      <w:pPr>
        <w:pStyle w:val="Compact"/>
        <w:numPr>
          <w:ilvl w:val="0"/>
          <w:numId w:val="1017"/>
        </w:numPr>
      </w:pPr>
      <w:r>
        <w:t xml:space="preserve">Il metabolico si valuta e si rinvia, e il sonno e il peso hanno lo stesso scope.</w:t>
      </w:r>
    </w:p>
    <w:p>
      <w:pPr>
        <w:pStyle w:val="Compact"/>
        <w:numPr>
          <w:ilvl w:val="0"/>
          <w:numId w:val="1017"/>
        </w:numPr>
      </w:pPr>
      <w:r>
        <w:t xml:space="preserve">Un modello ristretto e dichiarato rafforza il documento; uno invocato per intero senza misure lo indebolisce.</w:t>
      </w:r>
    </w:p>
    <w:p>
      <w:pPr>
        <w:pStyle w:val="Compact"/>
        <w:numPr>
          <w:ilvl w:val="0"/>
          <w:numId w:val="1017"/>
        </w:numPr>
      </w:pPr>
      <w:r>
        <w:rPr>
          <w:b/>
          <w:bCs/>
        </w:rPr>
        <w:t xml:space="preserve">Perché ci sei tu.</w:t>
      </w:r>
      <w:r>
        <w:t xml:space="preserve"> </w:t>
      </w:r>
      <w:r>
        <w:t xml:space="preserve">Chi attribuisce alla statina i propri sintomi muscolari, in cieco contro placebo, non mostra nessuna differenza media (Herrett, PMID 33709907).</w:t>
      </w:r>
      <w:r>
        <w:t xml:space="preserve"> </w:t>
      </w:r>
      <w:r>
        <w:rPr>
          <w:b/>
          <w:bCs/>
        </w:rPr>
        <w:t xml:space="preserve">Per te:</w:t>
      </w:r>
      <w:r>
        <w:t xml:space="preserve"> </w:t>
      </w:r>
      <w:r>
        <w:t xml:space="preserve">sei spesso la prima persona che ascolta l’attribuzione del paziente per intero, e la cosa peggiore che puoi fare è confermarla. Ti autorizza a registrare la sequenza temporale e a mandarla al prescrittore. Non ti autorizza a dire che il farmaco non c’entra: gli stessi autori scrivono che in un piccolo numero di persone può contribuire.</w:t>
      </w:r>
    </w:p>
    <w:p>
      <w:r>
        <w:pict>
          <v:rect style="width:0;height:1.5pt" o:hralign="center" o:hrstd="t" o:hr="t"/>
        </w:pict>
      </w:r>
    </w:p>
    <w:bookmarkEnd w:id="35"/>
    <w:bookmarkEnd w:id="36"/>
    <w:bookmarkStart w:id="43" w:name="Xacbba54d860775f2f0fb1d74db74f6f80647774"/>
    <w:p>
      <w:pPr>
        <w:pStyle w:val="Heading2"/>
      </w:pPr>
      <w:r>
        <w:t xml:space="preserve">Capitolo 8 — Come ragiono davanti a questo paziente</w:t>
      </w:r>
    </w:p>
    <w:p>
      <w:pPr>
        <w:pStyle w:val="BlockText"/>
      </w:pPr>
      <w:r>
        <w:rPr>
          <w:b/>
          <w:bCs/>
        </w:rPr>
        <w:t xml:space="preserve">In una riga:</w:t>
      </w:r>
      <w:r>
        <w:t xml:space="preserve"> </w:t>
      </w:r>
      <w:r>
        <w:t xml:space="preserve">con quattro sedi dolenti e un’ora a disposizione, la domanda non è cosa tratti — è quale sistema sta consumando la capacità di adattamento di questo paziente.</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per tutto questo capitolo. È il modo in cui si sceglie, e la scelta si verifica sul paziente.</w:t>
      </w:r>
    </w:p>
    <w:bookmarkStart w:id="37" w:name="la-punta-e-il-sommerso"/>
    <w:p>
      <w:pPr>
        <w:pStyle w:val="Heading3"/>
      </w:pPr>
      <w:r>
        <w:t xml:space="preserve">La punta e il sommerso</w:t>
      </w:r>
    </w:p>
    <w:p>
      <w:pPr>
        <w:pStyle w:val="FirstParagraph"/>
      </w:pPr>
      <w:r>
        <w:t xml:space="preserve">L’elenco è la punta. Sotto ci sono processi diversi che lo producono, e trattare la punta significa trattare quattro sedi con un quinto del tempo ciascuna.</w:t>
      </w:r>
    </w:p>
    <w:p>
      <w:pPr>
        <w:pStyle w:val="BlockText"/>
      </w:pPr>
      <w:r>
        <w:rPr>
          <w:b/>
          <w:bCs/>
        </w:rPr>
        <w:t xml:space="preserve">Definizione.</w:t>
      </w:r>
      <w:r>
        <w:t xml:space="preserve"> </w:t>
      </w:r>
      <w:r>
        <w:t xml:space="preserve">Il</w:t>
      </w:r>
      <w:r>
        <w:t xml:space="preserve"> </w:t>
      </w:r>
      <w:r>
        <w:rPr>
          <w:b/>
          <w:bCs/>
        </w:rPr>
        <w:t xml:space="preserve">sistema dominante</w:t>
      </w:r>
      <w:r>
        <w:t xml:space="preserve"> </w:t>
      </w:r>
      <w:r>
        <w:t xml:space="preserve">è il piano che, in questo paziente, sta consumando più capacità di adattamento degli altri. È l’ipotesi di lavoro che decide su cosa agire per primo, non un fatto misurato: per questo porta sempre l’etichetta RAGIONAMENTO.</w:t>
      </w:r>
    </w:p>
    <w:p>
      <w:pPr>
        <w:pStyle w:val="FirstParagraph"/>
      </w:pPr>
      <w:r>
        <w:rPr>
          <w:b/>
          <w:bCs/>
        </w:rPr>
        <w:t xml:space="preserve">Quattro pazienti con lo stesso elenco.</w:t>
      </w:r>
    </w:p>
    <w:p>
      <w:pPr>
        <w:pStyle w:val="BodyText"/>
      </w:pPr>
      <w:r>
        <w:t xml:space="preserve">Quattro volte la stessa griglia — rigidità, soglia, escursione, sonno, farmaci — e quattro dominanti diversi.</w:t>
      </w:r>
    </w:p>
    <w:p>
      <w:pPr>
        <w:pStyle w:val="BodyText"/>
      </w:pPr>
      <w:r>
        <w:rPr>
          <w:b/>
          <w:bCs/>
        </w:rPr>
        <w:t xml:space="preserve">Giovanna, 58 anni. Mani, ginocchia, spalle, collo.</w:t>
      </w:r>
      <w:r>
        <w:t xml:space="preserve"> </w:t>
      </w:r>
      <w:r>
        <w:t xml:space="preserve">Rigidità di dieci minuti, dolore da attività, sonno intatto, soglia normale. L’escursione d’anca è ridotta di trenta gradi in rotazione interna a destra, e le tre sedi peggiori sono tutte a destra.</w:t>
      </w:r>
      <w:r>
        <w:t xml:space="preserve"> </w:t>
      </w:r>
      <w:r>
        <w:rPr>
          <w:b/>
          <w:bCs/>
        </w:rPr>
        <w:t xml:space="preserve">Il dominante è il biomeccanico.</w:t>
      </w:r>
      <w:r>
        <w:t xml:space="preserve"> </w:t>
      </w:r>
      <w:r>
        <w:t xml:space="preserve">Lavori sull’anca destra e sulla dorsale, e consegni un carico progressivo per gli estensori.</w:t>
      </w:r>
      <w:r>
        <w:t xml:space="preserve"> </w:t>
      </w:r>
      <w:r>
        <w:rPr>
          <w:b/>
          <w:bCs/>
        </w:rPr>
        <w:t xml:space="preserve">Il marker della prova non è l’escursione:</w:t>
      </w:r>
      <w:r>
        <w:t xml:space="preserve"> </w:t>
      </w:r>
      <w:r>
        <w:t xml:space="preserve">è la soglia su un sito remoto, oppure i minuti sul compito che le costa. Cioè una misura di un altro piano.</w:t>
      </w:r>
    </w:p>
    <w:p>
      <w:pPr>
        <w:pStyle w:val="BodyText"/>
      </w:pPr>
      <w:r>
        <w:rPr>
          <w:b/>
          <w:bCs/>
        </w:rPr>
        <w:t xml:space="preserve">Marco, 51 anni. Stesso elenco.</w:t>
      </w:r>
      <w:r>
        <w:t xml:space="preserve"> </w:t>
      </w:r>
      <w:r>
        <w:t xml:space="preserve">Rigidità di quindici minuti, dolore anche a riposo, sonno rotto da due anni, soglia ai siti remoti nettamente più bassa che ai siti sintomatici. I dolori sono comparsi nell’anno in cui è morto suo padre.</w:t>
      </w:r>
      <w:r>
        <w:t xml:space="preserve"> </w:t>
      </w:r>
      <w:r>
        <w:rPr>
          <w:b/>
          <w:bCs/>
        </w:rPr>
        <w:t xml:space="preserve">Il dominante è il neurologico.</w:t>
      </w:r>
      <w:r>
        <w:t xml:space="preserve"> </w:t>
      </w:r>
      <w:r>
        <w:rPr>
          <w:b/>
          <w:bCs/>
        </w:rPr>
        <w:t xml:space="preserve">Hai più da fare qui che con Giovanna, non meno.</w:t>
      </w:r>
    </w:p>
    <w:p>
      <w:pPr>
        <w:pStyle w:val="BodyText"/>
      </w:pPr>
      <w:r>
        <w:t xml:space="preserve">Per prima la leva con l’etichetta più alta su quel meccanismo, cioè la</w:t>
      </w:r>
      <w:r>
        <w:t xml:space="preserve"> </w:t>
      </w:r>
      <w:r>
        <w:rPr>
          <w:b/>
          <w:bCs/>
        </w:rPr>
        <w:t xml:space="preserve">mobilizzazione articolare</w:t>
      </w:r>
      <w:r>
        <w:t xml:space="preserve">, misurata proprio su pazienti con modulazione condizionata alterata. Poi l’esposizione al carico, che parte sotto la sua soglia di reazione invece di sfidarla. Per ultimo il modo in cui consegni le prime due — contatto lento, tempo dedicato — che è IPOTESI e va detto come tale.</w:t>
      </w:r>
    </w:p>
    <w:p>
      <w:pPr>
        <w:pStyle w:val="BodyText"/>
      </w:pPr>
      <w:r>
        <w:t xml:space="preserve">E dichiari i tempi: la mano apre una finestra di minuti-ore, lo spostamento durevole della soglia appartiene alla ripetizione.</w:t>
      </w:r>
      <w:r>
        <w:t xml:space="preserve"> </w:t>
      </w:r>
      <w:r>
        <w:rPr>
          <w:b/>
          <w:bCs/>
        </w:rPr>
        <w:t xml:space="preserve">Il marker della prova sono le alzate in trenta secondi o i minuti sul compito</w:t>
      </w:r>
      <w:r>
        <w:t xml:space="preserve">, non la soglia: la soglia misura ciò che hai appena trattato. Quello che non fai è concludere che</w:t>
      </w:r>
      <w:r>
        <w:t xml:space="preserve"> </w:t>
      </w:r>
      <w:r>
        <w:t xml:space="preserve">“su un sistema così non tiene niente”</w:t>
      </w:r>
      <w:r>
        <w:t xml:space="preserve">.</w:t>
      </w:r>
    </w:p>
    <w:p>
      <w:pPr>
        <w:pStyle w:val="BodyText"/>
      </w:pPr>
      <w:r>
        <w:rPr>
          <w:b/>
          <w:bCs/>
        </w:rPr>
        <w:t xml:space="preserve">Anna, 76 anni. Stesso elenco.</w:t>
      </w:r>
      <w:r>
        <w:t xml:space="preserve"> </w:t>
      </w:r>
      <w:r>
        <w:t xml:space="preserve">Rigidità di dieci minuti, soglia normale, escursioni conservate, nessuna asimmetria. Ma ha smesso di camminare due anni fa:</w:t>
      </w:r>
      <w:r>
        <w:t xml:space="preserve"> </w:t>
      </w:r>
      <w:r>
        <w:rPr>
          <w:i/>
          <w:iCs/>
        </w:rPr>
        <w:t xml:space="preserve">“mi hanno detto che è l’età, e se lo uso me lo consumo”</w:t>
      </w:r>
      <w:r>
        <w:t xml:space="preserve">. È caduta lo scorso inverno. E prende sei farmaci, fra cui un anticoagulante, un antiriassorbitivo per l’osso e un antinfiammatorio quotidiano che nessuno le ha prescritto.</w:t>
      </w:r>
    </w:p>
    <w:p>
      <w:pPr>
        <w:pStyle w:val="BodyText"/>
      </w:pPr>
      <w:r>
        <w:rPr>
          <w:b/>
          <w:bCs/>
        </w:rPr>
        <w:t xml:space="preserve">Il dominante è il comportamentale</w:t>
      </w:r>
      <w:r>
        <w:t xml:space="preserve">, e il quadro è fragile. Il bersaglio è la convinzione e l’attività abbandonata, non un’articolazione. Il marker è</w:t>
      </w:r>
      <w:r>
        <w:t xml:space="preserve"> </w:t>
      </w:r>
      <w:r>
        <w:rPr>
          <w:b/>
          <w:bCs/>
        </w:rPr>
        <w:t xml:space="preserve">il tempo su un compito che le costa</w:t>
      </w:r>
      <w:r>
        <w:t xml:space="preserve">. La qualità del suo osso non è stata misurata, e questo cambia il gesto. Farmaci, caduta e cronologia vanno al curante prima della prima seduta: qui il canale medico non è parallelo, è prioritario.</w:t>
      </w:r>
    </w:p>
    <w:p>
      <w:pPr>
        <w:pStyle w:val="BodyText"/>
      </w:pPr>
      <w:r>
        <w:rPr>
          <w:b/>
          <w:bCs/>
        </w:rPr>
        <w:t xml:space="preserve">Rita, 63 anni. Stesso elenco.</w:t>
      </w:r>
      <w:r>
        <w:t xml:space="preserve"> </w:t>
      </w:r>
      <w:r>
        <w:t xml:space="preserve">Rigidità di cinquanta minuti, nocche gonfie da tre mesi in modo simmetrico, dolori comparsi in due mesi.</w:t>
      </w:r>
      <w:r>
        <w:t xml:space="preserve"> </w:t>
      </w:r>
      <w:r>
        <w:rPr>
          <w:b/>
          <w:bCs/>
        </w:rPr>
        <w:t xml:space="preserve">Il dominante non è un tuo modello.</w:t>
      </w:r>
      <w:r>
        <w:t xml:space="preserve"> </w:t>
      </w:r>
      <w:r>
        <w:t xml:space="preserve">La mandi, per iscritto, con la nota che il quadro è recente e simmetrico. E le dici perché, oggi, senza aspettare la fine del colloquio.</w:t>
      </w:r>
    </w:p>
    <w:bookmarkEnd w:id="37"/>
    <w:bookmarkStart w:id="38" w:name="perché-si-indaga-da-monte"/>
    <w:p>
      <w:pPr>
        <w:pStyle w:val="Heading3"/>
      </w:pPr>
      <w:r>
        <w:t xml:space="preserve">Perché si indaga da monte</w:t>
      </w:r>
    </w:p>
    <w:p>
      <w:pPr>
        <w:pStyle w:val="FirstParagraph"/>
      </w:pPr>
      <w:r>
        <w:rPr>
          <w:b/>
          <w:bCs/>
        </w:rPr>
        <w:t xml:space="preserve">Un sistema in allarme accorcia la durata di ogni effetto locale — non lo annulla.</w:t>
      </w:r>
      <w:r>
        <w:t xml:space="preserve"> </w:t>
      </w:r>
      <w:r>
        <w:t xml:space="preserve">La differenza decide se lavori o ti arrendi: il guadagno c’è dentro la seduta, e non si consolida finché il piano alto non si muove. È lo stipendio che a metà mese è già finito: entra davvero, ma non resta. Quindi il locale si fa, ma non è il bersaglio primario e non è il marker.</w:t>
      </w:r>
    </w:p>
    <w:p>
      <w:pPr>
        <w:pStyle w:val="BodyText"/>
      </w:pPr>
      <w:r>
        <w:t xml:space="preserve">Da qui la regola d’ordine:</w:t>
      </w:r>
      <w:r>
        <w:t xml:space="preserve"> </w:t>
      </w:r>
      <w:r>
        <w:rPr>
          <w:b/>
          <w:bCs/>
        </w:rPr>
        <w:t xml:space="preserve">si indaga dal piano più alto che risulta disfunzionale</w:t>
      </w:r>
      <w:r>
        <w:t xml:space="preserve">, perché comanda su quelli sotto. E chi ha una funzione somatosensoriale persistentemente alterata migliora meno</w:t>
      </w:r>
      <w:r>
        <w:t xml:space="preserve"> </w:t>
      </w:r>
      <w:r>
        <w:rPr>
          <w:b/>
          <w:bCs/>
        </w:rPr>
        <w:t xml:space="preserve">anche dopo che gli hanno sostituito l’articolazione</w:t>
      </w:r>
      <w:r>
        <w:t xml:space="preserve"> </w:t>
      </w:r>
      <w:r>
        <w:t xml:space="preserve">(Vervullens, PMID 38668988). Sostituire l’esecutore non basta quando il regolatore comanda.</w:t>
      </w:r>
    </w:p>
    <w:p>
      <w:pPr>
        <w:pStyle w:val="BodyText"/>
      </w:pPr>
      <w:r>
        <w:rPr>
          <w:b/>
          <w:bCs/>
        </w:rPr>
        <w:t xml:space="preserve">“Da monte”</w:t>
      </w:r>
      <w:r>
        <w:rPr>
          <w:b/>
          <w:bCs/>
        </w:rPr>
        <w:t xml:space="preserve"> </w:t>
      </w:r>
      <w:r>
        <w:rPr>
          <w:b/>
          <w:bCs/>
        </w:rPr>
        <w:t xml:space="preserve">non è una coordinata anatomica</w:t>
      </w:r>
      <w:r>
        <w:t xml:space="preserve">, è il piano che regola gli altri: prima l’esogeno, poi la soglia e le convinzioni, poi il carico, poi la struttura locale. E</w:t>
      </w:r>
      <w:r>
        <w:t xml:space="preserve"> </w:t>
      </w:r>
      <w:r>
        <w:rPr>
          <w:b/>
          <w:bCs/>
        </w:rPr>
        <w:t xml:space="preserve">lavoro locale non è lavoro manuale</w:t>
      </w:r>
      <w:r>
        <w:t xml:space="preserve">: lavorare sul piano alto è lavoro manuale a tutti gli effetti, mirato altrove.</w:t>
      </w:r>
    </w:p>
    <w:p>
      <w:pPr>
        <w:pStyle w:val="BodyText"/>
      </w:pPr>
      <w:r>
        <w:rPr>
          <w:b/>
          <w:bCs/>
        </w:rPr>
        <w:t xml:space="preserve">Una regola del metodo, qui, viene tolta.</w:t>
      </w:r>
      <w:r>
        <w:t xml:space="preserve"> </w:t>
      </w:r>
      <w:r>
        <w:t xml:space="preserve">La regola che vieta di trattare il punto in cui il paziente sente non si applica alla scelta del bersaglio su questa condizione. Non viene attenuata: viene tolta. Il motivo è un fatto, non una preferenza — la leva manuale con l’etichetta più alta su quel meccanismo è la</w:t>
      </w:r>
      <w:r>
        <w:t xml:space="preserve"> </w:t>
      </w:r>
      <w:r>
        <w:rPr>
          <w:b/>
          <w:bCs/>
        </w:rPr>
        <w:t xml:space="preserve">mobilizzazione dell’articolazione che fa male</w:t>
      </w:r>
      <w:r>
        <w:t xml:space="preserve"> </w:t>
      </w:r>
      <w:r>
        <w:t xml:space="preserve">(Courtney, PMID 26721229).</w:t>
      </w:r>
    </w:p>
    <w:p>
      <w:pPr>
        <w:pStyle w:val="BodyText"/>
      </w:pPr>
      <w:r>
        <w:rPr>
          <w:b/>
          <w:bCs/>
        </w:rPr>
        <w:t xml:space="preserve">Quello che resta, intatto e con potere di discriminare, è la regola di verifica: il marker con cui rivaluti appartiene a un piano che non hai trattato.</w:t>
      </w:r>
      <w:r>
        <w:t xml:space="preserve"> </w:t>
      </w:r>
      <w:r>
        <w:t xml:space="preserve">Le due frasi vanno lette insieme: la prima da sola è un permesso, la seconda da sola è un dettaglio tecnico.</w:t>
      </w:r>
    </w:p>
    <w:bookmarkEnd w:id="38"/>
    <w:bookmarkStart w:id="39" w:name="la-prova-della-chiave-di-volta"/>
    <w:p>
      <w:pPr>
        <w:pStyle w:val="Heading3"/>
      </w:pPr>
      <w:r>
        <w:t xml:space="preserve">La prova della chiave di volta</w:t>
      </w:r>
    </w:p>
    <w:p>
      <w:pPr>
        <w:pStyle w:val="FirstParagraph"/>
      </w:pPr>
      <w:r>
        <w:t xml:space="preserve">Tratti in prova il piano che sospetti dominante. Poi</w:t>
      </w:r>
      <w:r>
        <w:t xml:space="preserve"> </w:t>
      </w:r>
      <w:r>
        <w:rPr>
          <w:b/>
          <w:bCs/>
        </w:rPr>
        <w:t xml:space="preserve">rivaluti gli altri</w:t>
      </w:r>
      <w:r>
        <w:t xml:space="preserve">. Se cedono anche loro, hai trovato la chiave.</w:t>
      </w:r>
    </w:p>
    <w:p>
      <w:pPr>
        <w:pStyle w:val="BlockText"/>
      </w:pPr>
      <w:r>
        <w:rPr>
          <w:b/>
          <w:bCs/>
        </w:rPr>
        <w:t xml:space="preserve">Definizione.</w:t>
      </w:r>
      <w:r>
        <w:t xml:space="preserve"> </w:t>
      </w: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FirstParagraph"/>
      </w:pPr>
      <w:r>
        <w:t xml:space="preserve">Se cedono, quella era la</w:t>
      </w:r>
      <w:r>
        <w:t xml:space="preserve"> </w:t>
      </w:r>
      <w:r>
        <w:rPr>
          <w:b/>
          <w:bCs/>
        </w:rPr>
        <w:t xml:space="preserve">lesione primaria</w:t>
      </w:r>
      <w:r>
        <w:t xml:space="preserve"> </w:t>
      </w:r>
      <w:r>
        <w:t xml:space="preserve">della ricostruzione — un’ipotesi, non un fatto.</w:t>
      </w:r>
    </w:p>
    <w:p>
      <w:pPr>
        <w:pStyle w:val="BodyText"/>
      </w:pPr>
      <w:r>
        <w:t xml:space="preserve">Il dettaglio che separa una verifica da un auto-inganno è uno:</w:t>
      </w:r>
      <w:r>
        <w:t xml:space="preserve"> </w:t>
      </w:r>
      <w:r>
        <w:rPr>
          <w:b/>
          <w:bCs/>
        </w:rPr>
        <w:t xml:space="preserve">il marker con cui rivaluti appartiene a un piano che non hai trattato, non semplicemente a una sede che non hai toccato.</w:t>
      </w:r>
      <w:r>
        <w:t xml:space="preserve"> </w:t>
      </w:r>
      <w:r>
        <w:t xml:space="preserve">Tratti l’anca e rimisuri l’escursione di un’altra articolazione? Hai cambiato sede restando sul piano biomeccanico: verifichi che il tessuto si è mosso, non che comandava. Tratti la soglia e la rimisuri sull’altro braccio? Stesso errore, altro piano.</w:t>
      </w:r>
    </w:p>
    <w:bookmarkEnd w:id="39"/>
    <w:bookmarkStart w:id="40" w:name="i-marker-di-questa-condizione"/>
    <w:p>
      <w:pPr>
        <w:pStyle w:val="Heading3"/>
      </w:pPr>
      <w:r>
        <w:t xml:space="preserve">I marker di questa condizione</w:t>
      </w:r>
    </w:p>
    <w:p>
      <w:pPr>
        <w:pStyle w:val="FirstParagraph"/>
      </w:pPr>
      <w:r>
        <w:t xml:space="preserve">Sono quattro, ciascuno con il piano a cui appartiene, la soglia e la provenienza della soglia.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Marker</w:t>
            </w:r>
          </w:p>
        </w:tc>
        <w:tc>
          <w:tcPr/>
          <w:p>
            <w:pPr>
              <w:pStyle w:val="Compact"/>
            </w:pPr>
            <w:r>
              <w:t xml:space="preserve">Piano</w:t>
            </w:r>
          </w:p>
        </w:tc>
        <w:tc>
          <w:tcPr/>
          <w:p>
            <w:pPr>
              <w:pStyle w:val="Compact"/>
            </w:pPr>
            <w:r>
              <w:t xml:space="preserve">Come si misura</w:t>
            </w:r>
          </w:p>
        </w:tc>
        <w:tc>
          <w:tcPr/>
          <w:p>
            <w:pPr>
              <w:pStyle w:val="Compact"/>
            </w:pPr>
            <w:r>
              <w:t xml:space="preserve">Soglia che conta</w:t>
            </w:r>
          </w:p>
        </w:tc>
      </w:tr>
      <w:tr>
        <w:tc>
          <w:tcPr/>
          <w:p>
            <w:pPr>
              <w:pStyle w:val="Compact"/>
            </w:pPr>
            <w:r>
              <w:t xml:space="preserve">Alzate dalla sedia in 30 s</w:t>
            </w:r>
          </w:p>
        </w:tc>
        <w:tc>
          <w:tcPr/>
          <w:p>
            <w:pPr>
              <w:pStyle w:val="Compact"/>
            </w:pPr>
            <w:r>
              <w:t xml:space="preserve">Biomeccanico</w:t>
            </w:r>
          </w:p>
        </w:tc>
        <w:tc>
          <w:tcPr/>
          <w:p>
            <w:pPr>
              <w:pStyle w:val="Compact"/>
            </w:pPr>
            <w:r>
              <w:t xml:space="preserve">Numero, senza braccia</w:t>
            </w:r>
          </w:p>
        </w:tc>
        <w:tc>
          <w:tcPr/>
          <w:p>
            <w:pPr>
              <w:pStyle w:val="Compact"/>
            </w:pPr>
            <w:r>
              <w:t xml:space="preserve">2 alzate</w:t>
            </w:r>
          </w:p>
        </w:tc>
      </w:tr>
      <w:tr>
        <w:tc>
          <w:tcPr/>
          <w:p>
            <w:pPr>
              <w:pStyle w:val="Compact"/>
            </w:pPr>
            <w:r>
              <w:t xml:space="preserve">Escursione di un’articolazione</w:t>
            </w:r>
          </w:p>
        </w:tc>
        <w:tc>
          <w:tcPr/>
          <w:p>
            <w:pPr>
              <w:pStyle w:val="Compact"/>
            </w:pPr>
            <w:r>
              <w:t xml:space="preserve">Biomeccanico</w:t>
            </w:r>
          </w:p>
        </w:tc>
        <w:tc>
          <w:tcPr/>
          <w:p>
            <w:pPr>
              <w:pStyle w:val="Compact"/>
            </w:pPr>
            <w:r>
              <w:t xml:space="preserve">Goniometro, stesso metodo</w:t>
            </w:r>
          </w:p>
        </w:tc>
        <w:tc>
          <w:tcPr/>
          <w:p>
            <w:pPr>
              <w:pStyle w:val="Compact"/>
            </w:pPr>
            <w:r>
              <w:t xml:space="preserve">10 gradi</w:t>
            </w:r>
          </w:p>
        </w:tc>
      </w:tr>
      <w:tr>
        <w:tc>
          <w:tcPr/>
          <w:p>
            <w:pPr>
              <w:pStyle w:val="Compact"/>
            </w:pPr>
            <w:r>
              <w:t xml:space="preserve">Soglia dolorosa su sito remoto</w:t>
            </w:r>
          </w:p>
        </w:tc>
        <w:tc>
          <w:tcPr/>
          <w:p>
            <w:pPr>
              <w:pStyle w:val="Compact"/>
            </w:pPr>
            <w:r>
              <w:t xml:space="preserve">Neurologico</w:t>
            </w:r>
          </w:p>
        </w:tc>
        <w:tc>
          <w:tcPr/>
          <w:p>
            <w:pPr>
              <w:pStyle w:val="Compact"/>
            </w:pPr>
            <w:r>
              <w:t xml:space="preserve">Algometro, avambraccio</w:t>
            </w:r>
          </w:p>
        </w:tc>
        <w:tc>
          <w:tcPr/>
          <w:p>
            <w:pPr>
              <w:pStyle w:val="Compact"/>
            </w:pPr>
            <w:r>
              <w:t xml:space="preserve">20% del basale</w:t>
            </w:r>
          </w:p>
        </w:tc>
      </w:tr>
      <w:tr>
        <w:tc>
          <w:tcPr/>
          <w:p>
            <w:pPr>
              <w:pStyle w:val="Compact"/>
            </w:pPr>
            <w:r>
              <w:t xml:space="preserve">Tempo su un compito che gli costa</w:t>
            </w:r>
          </w:p>
        </w:tc>
        <w:tc>
          <w:tcPr/>
          <w:p>
            <w:pPr>
              <w:pStyle w:val="Compact"/>
            </w:pPr>
            <w:r>
              <w:t xml:space="preserve">Comportamentale</w:t>
            </w:r>
          </w:p>
        </w:tc>
        <w:tc>
          <w:tcPr/>
          <w:p>
            <w:pPr>
              <w:pStyle w:val="Compact"/>
            </w:pPr>
            <w:r>
              <w:t xml:space="preserve">Minuti prima di fermarsi</w:t>
            </w:r>
          </w:p>
        </w:tc>
        <w:tc>
          <w:tcPr/>
          <w:p>
            <w:pPr>
              <w:pStyle w:val="Compact"/>
            </w:pPr>
            <w:r>
              <w:t xml:space="preserve">20% del basale</w:t>
            </w:r>
          </w:p>
        </w:tc>
      </w:tr>
    </w:tbl>
    <w:p>
      <w:pPr>
        <w:pStyle w:val="BodyText"/>
      </w:pPr>
      <w:r>
        <w:rPr>
          <w:b/>
          <w:bCs/>
        </w:rPr>
        <w:t xml:space="preserve">La regola d’uso, in una riga: il marker della prova si prende sempre da una riga di un piano diverso da quello che hai trattato.</w:t>
      </w:r>
    </w:p>
    <w:p>
      <w:pPr>
        <w:pStyle w:val="BodyText"/>
      </w:pPr>
      <w:r>
        <w:rPr>
          <w:b/>
          <w:bCs/>
        </w:rPr>
        <w:t xml:space="preserve">Da dove vengono le soglie, e va dichiarato.</w:t>
      </w:r>
      <w:r>
        <w:t xml:space="preserve"> </w:t>
      </w:r>
      <w:r>
        <w:t xml:space="preserve">Il test delle alzate in trenta secondi appartiene al set raccomandato a livello internazionale per anca e ginocchio (Dobson,</w:t>
      </w:r>
      <w:r>
        <w:t xml:space="preserve"> </w:t>
      </w:r>
      <w:r>
        <w:rPr>
          <w:i/>
          <w:iCs/>
        </w:rPr>
        <w:t xml:space="preserve">Osteoarthritis Cartilage</w:t>
      </w:r>
      <w:r>
        <w:t xml:space="preserve"> </w:t>
      </w:r>
      <w:r>
        <w:t xml:space="preserve">2013, PMID 23680877). Lo studio che ha definito il miglioramento clinicamente importante ne ha prodotti</w:t>
      </w:r>
      <w:r>
        <w:t xml:space="preserve"> </w:t>
      </w:r>
      <w:r>
        <w:rPr>
          <w:b/>
          <w:bCs/>
        </w:rPr>
        <w:t xml:space="preserve">tre valori diversi: 2,0, 2,6 e 2,1 alzate.</w:t>
      </w:r>
      <w:r>
        <w:t xml:space="preserve"> </w:t>
      </w:r>
      <w:r>
        <w:t xml:space="preserve">E</w:t>
      </w:r>
      <w:r>
        <w:t xml:space="preserve"> </w:t>
      </w:r>
      <w:r>
        <w:rPr>
          <w:b/>
          <w:bCs/>
        </w:rPr>
        <w:t xml:space="preserve">conclude che va riportato un intervallo, non un numero</w:t>
      </w:r>
      <w:r>
        <w:t xml:space="preserve"> </w:t>
      </w:r>
      <w:r>
        <w:t xml:space="preserve">(Wright,</w:t>
      </w:r>
      <w:r>
        <w:t xml:space="preserve"> </w:t>
      </w:r>
      <w:r>
        <w:rPr>
          <w:i/>
          <w:iCs/>
        </w:rPr>
        <w:t xml:space="preserve">J Orthop Sports Phys Ther</w:t>
      </w:r>
      <w:r>
        <w:t xml:space="preserve"> </w:t>
      </w:r>
      <w:r>
        <w:t xml:space="preserve">2011, PMID 21335930). Qui si adotta</w:t>
      </w:r>
      <w:r>
        <w:t xml:space="preserve"> </w:t>
      </w:r>
      <w:r>
        <w:rPr>
          <w:b/>
          <w:bCs/>
        </w:rPr>
        <w:t xml:space="preserve">2, dichiarato come limite inferiore dell’intervallo pubblicato</w:t>
      </w:r>
      <w:r>
        <w:t xml:space="preserve">. Sono soglie sviluppate su anca e ginocchio, e qui si parla di più sedi: il trasferimento è dichiarato, non dimostrato. I dieci gradi di escursione e il 20% su soglia e tempo non vengono da uno studio: vengono dall’errore tipico della misura raddoppiato, e sono dichiarati per questo.</w:t>
      </w:r>
    </w:p>
    <w:p>
      <w:pPr>
        <w:pStyle w:val="BodyText"/>
      </w:pPr>
      <w:r>
        <w:rPr>
          <w:b/>
          <w:bCs/>
        </w:rPr>
        <w:t xml:space="preserve">E c’è una cosa che la soglia fa e che gli altri tre marker non fanno: il suo valore di partenza predice come andrà.</w:t>
      </w:r>
      <w:r>
        <w:t xml:space="preserve"> </w:t>
      </w:r>
      <w:r>
        <w:t xml:space="preserve">Su 37 studi e 3.860 partecipanti con condizioni muscolo-scheletriche varie, il test sensoriale quantitativo basale predice il dolore al follow-up (0,31; 0,23–0,38) e la disabilità (0,30; 0,19–0,40); sommazione temporale e modulazione condizionata predicono meglio il dolore, le soglie meccaniche la disabilità (Georgopoulos,</w:t>
      </w:r>
      <w:r>
        <w:t xml:space="preserve"> </w:t>
      </w:r>
      <w:r>
        <w:rPr>
          <w:i/>
          <w:iCs/>
        </w:rPr>
        <w:t xml:space="preserve">Pain</w:t>
      </w:r>
      <w:r>
        <w:t xml:space="preserve"> </w:t>
      </w:r>
      <w:r>
        <w:t xml:space="preserve">2019, PMID 31045746).</w:t>
      </w:r>
      <w:r>
        <w:t xml:space="preserve"> </w:t>
      </w:r>
      <w:r>
        <w:rPr>
          <w:b/>
          <w:bCs/>
        </w:rPr>
        <w:t xml:space="preserve">Misurato come valore predittivo del dato di partenza, non come responsività di quel marker al trattamento manuale: l’asse del salto è il bersaglio della misura, prima ancora della popolazione.</w:t>
      </w:r>
      <w:r>
        <w:t xml:space="preserve"> </w:t>
      </w:r>
      <w:r>
        <w:t xml:space="preserve">Etichetta:</w:t>
      </w:r>
      <w:r>
        <w:t xml:space="preserve"> </w:t>
      </w:r>
      <w:r>
        <w:rPr>
          <w:b/>
          <w:bCs/>
        </w:rPr>
        <w:t xml:space="preserve">PROBABILE</w:t>
      </w:r>
      <w:r>
        <w:t xml:space="preserve"> </w:t>
      </w:r>
      <w:r>
        <w:rPr>
          <w:i/>
          <w:iCs/>
        </w:rPr>
        <w:t xml:space="preserve">(razionale forte, prove parziali)</w:t>
      </w:r>
      <w:r>
        <w:t xml:space="preserve"> </w:t>
      </w:r>
      <w:r>
        <w:t xml:space="preserve">sul valore prognostico.</w:t>
      </w:r>
      <w:r>
        <w:t xml:space="preserve"> </w:t>
      </w:r>
      <w:r>
        <w:rPr>
          <w:b/>
          <w:bCs/>
        </w:rPr>
        <w:t xml:space="preserve">La soglia predice l’esito, non misura il tuo effetto</w:t>
      </w:r>
      <w:r>
        <w:t xml:space="preserve"> </w:t>
      </w:r>
      <w:r>
        <w:t xml:space="preserve">— ed è esattamente il muro che regge l’intera architettura dei marker per piano.</w:t>
      </w:r>
    </w:p>
    <w:p>
      <w:pPr>
        <w:pStyle w:val="BodyText"/>
      </w:pPr>
      <w:r>
        <w:rPr>
          <w:b/>
          <w:bCs/>
        </w:rPr>
        <w:t xml:space="preserve">Due assi che non vanno confusi.</w:t>
      </w:r>
      <w:r>
        <w:t xml:space="preserve"> </w:t>
      </w:r>
      <w:r>
        <w:t xml:space="preserve">La</w:t>
      </w:r>
      <w:r>
        <w:t xml:space="preserve"> </w:t>
      </w:r>
      <w:r>
        <w:rPr>
          <w:b/>
          <w:bCs/>
        </w:rPr>
        <w:t xml:space="preserve">soglia</w:t>
      </w:r>
      <w:r>
        <w:t xml:space="preserve"> </w:t>
      </w:r>
      <w:r>
        <w:t xml:space="preserve">si misura con la pressione e si muove in settimane. Il</w:t>
      </w:r>
      <w:r>
        <w:t xml:space="preserve"> </w:t>
      </w:r>
      <w:r>
        <w:rPr>
          <w:b/>
          <w:bCs/>
        </w:rPr>
        <w:t xml:space="preserve">livello di attivazione</w:t>
      </w:r>
      <w:r>
        <w:t xml:space="preserve"> </w:t>
      </w:r>
      <w:r>
        <w:t xml:space="preserve">è quanto il paziente è in allarme dentro la seduta. Si osserva, e non ha nessuna misura che regga: le misure autonomiche non concordano fra loro. Per questo la Road Map chiede la soglia.</w:t>
      </w:r>
    </w:p>
    <w:p>
      <w:pPr>
        <w:pStyle w:val="BodyText"/>
      </w:pPr>
      <w:r>
        <w:rPr>
          <w:b/>
          <w:bCs/>
        </w:rPr>
        <w:t xml:space="preserve">Cosa non è un marker qui.</w:t>
      </w:r>
      <w:r>
        <w:t xml:space="preserve"> </w:t>
      </w:r>
      <w:r>
        <w:t xml:space="preserve">I</w:t>
      </w:r>
      <w:r>
        <w:t xml:space="preserve"> </w:t>
      </w:r>
      <w:r>
        <w:rPr>
          <w:b/>
          <w:bCs/>
        </w:rPr>
        <w:t xml:space="preserve">minuti di rigidità mattutina</w:t>
      </w:r>
      <w:r>
        <w:t xml:space="preserve"> </w:t>
      </w:r>
      <w:r>
        <w:t xml:space="preserve">sono il criterio che separa il quadro meccanico da quello infiammatorio (NICE NG226, 1.1.1). Una grandezza che decide se il paziente resta o va non può essere anche quella che ti dà ragione: resta un</w:t>
      </w:r>
      <w:r>
        <w:t xml:space="preserve"> </w:t>
      </w:r>
      <w:r>
        <w:rPr>
          <w:b/>
          <w:bCs/>
        </w:rPr>
        <w:t xml:space="preserve">criterio di smistamento</w:t>
      </w:r>
      <w:r>
        <w:t xml:space="preserve">, si rimisura a ogni controllo, e se si allunga il paziente torna al triage. E il</w:t>
      </w:r>
      <w:r>
        <w:t xml:space="preserve"> </w:t>
      </w:r>
      <w:r>
        <w:rPr>
          <w:b/>
          <w:bCs/>
        </w:rPr>
        <w:t xml:space="preserve">numero di sedi dolorose</w:t>
      </w:r>
      <w:r>
        <w:t xml:space="preserve"> </w:t>
      </w:r>
      <w:r>
        <w:t xml:space="preserve">è una</w:t>
      </w:r>
      <w:r>
        <w:t xml:space="preserve"> </w:t>
      </w:r>
      <w:r>
        <w:rPr>
          <w:b/>
          <w:bCs/>
        </w:rPr>
        <w:t xml:space="preserve">misura di esito della condizione</w:t>
      </w:r>
      <w:r>
        <w:t xml:space="preserve">: è il sintomo, si muove lentamente, e va nominato perché è il metro con cui il paziente giudica il tuo lavoro.</w:t>
      </w:r>
    </w:p>
    <w:bookmarkEnd w:id="40"/>
    <w:bookmarkStart w:id="41" w:name="la-road-map"/>
    <w:p>
      <w:pPr>
        <w:pStyle w:val="Heading3"/>
      </w:pPr>
      <w:r>
        <w:t xml:space="preserve">La Road Map</w:t>
      </w:r>
    </w:p>
    <w:p>
      <w:pPr>
        <w:pStyle w:val="Compact"/>
        <w:numPr>
          <w:ilvl w:val="0"/>
          <w:numId w:val="1018"/>
        </w:numPr>
      </w:pPr>
      <w:r>
        <w:rPr>
          <w:b/>
          <w:bCs/>
        </w:rPr>
        <w:t xml:space="preserve">C’è un addebito da fuori?</w:t>
      </w:r>
      <w:r>
        <w:t xml:space="preserve"> </w:t>
      </w:r>
      <w:r>
        <w:t xml:space="preserve">Farmaco nuovo, transizione menopausale, malattia sistemica: l’osservazione va al prescrittore o al curante prima di tutto il resto.</w:t>
      </w:r>
    </w:p>
    <w:p>
      <w:pPr>
        <w:pStyle w:val="Compact"/>
        <w:numPr>
          <w:ilvl w:val="0"/>
          <w:numId w:val="1018"/>
        </w:numPr>
      </w:pPr>
      <w:r>
        <w:rPr>
          <w:b/>
          <w:bCs/>
        </w:rPr>
        <w:t xml:space="preserve">È un quadro infiammatorio?</w:t>
      </w:r>
      <w:r>
        <w:t xml:space="preserve"> </w:t>
      </w:r>
      <w:r>
        <w:t xml:space="preserve">Gonfiore, rigidità oltre la mezz’ora, simmetria, esordio recente,</w:t>
      </w:r>
      <w:r>
        <w:t xml:space="preserve"> </w:t>
      </w:r>
      <w:r>
        <w:rPr>
          <w:b/>
          <w:bCs/>
        </w:rPr>
        <w:t xml:space="preserve">o un segno fuori dall’articolazione</w:t>
      </w:r>
      <w:r>
        <w:t xml:space="preserve">: si va al triage e si esce da questo capitolo.</w:t>
      </w:r>
    </w:p>
    <w:p>
      <w:pPr>
        <w:pStyle w:val="Compact"/>
        <w:numPr>
          <w:ilvl w:val="0"/>
          <w:numId w:val="1018"/>
        </w:numPr>
      </w:pPr>
      <w:r>
        <w:rPr>
          <w:b/>
          <w:bCs/>
        </w:rPr>
        <w:t xml:space="preserve">Qual è la soglia?</w:t>
      </w:r>
      <w:r>
        <w:t xml:space="preserve"> </w:t>
      </w:r>
      <w:r>
        <w:t xml:space="preserve">Sito sintomatico contro sito remoto, sonno, sproporzione fra reperto e dolore. Se è bassa comanda il neurologico, e comanda i</w:t>
      </w:r>
      <w:r>
        <w:t xml:space="preserve"> </w:t>
      </w:r>
      <w:r>
        <w:rPr>
          <w:b/>
          <w:bCs/>
        </w:rPr>
        <w:t xml:space="preserve">tempi</w:t>
      </w:r>
      <w:r>
        <w:t xml:space="preserve"> </w:t>
      </w:r>
      <w:r>
        <w:t xml:space="preserve">di tutto il resto.</w:t>
      </w:r>
    </w:p>
    <w:p>
      <w:pPr>
        <w:pStyle w:val="Compact"/>
        <w:numPr>
          <w:ilvl w:val="0"/>
          <w:numId w:val="1018"/>
        </w:numPr>
      </w:pPr>
      <w:r>
        <w:rPr>
          <w:b/>
          <w:bCs/>
        </w:rPr>
        <w:t xml:space="preserve">Cosa crede, e cosa ha smesso di fare?</w:t>
      </w:r>
      <w:r>
        <w:t xml:space="preserve"> </w:t>
      </w:r>
      <w:r>
        <w:t xml:space="preserve">Attività abbandonate una a una, teoria causale sua, evitamento anticipatorio, limitazione più grande del reperto. Se il divario è grande e il resto è normale, comanda il comportamentale.</w:t>
      </w:r>
    </w:p>
    <w:p>
      <w:pPr>
        <w:pStyle w:val="Compact"/>
        <w:numPr>
          <w:ilvl w:val="0"/>
          <w:numId w:val="1018"/>
        </w:numPr>
      </w:pPr>
      <w:r>
        <w:rPr>
          <w:b/>
          <w:bCs/>
        </w:rPr>
        <w:t xml:space="preserve">Quante sedi sono eco?</w:t>
      </w:r>
      <w:r>
        <w:t xml:space="preserve"> </w:t>
      </w:r>
      <w:r>
        <w:t xml:space="preserve">Si testano le articolazioni non nominate: ogni sede che si spiega altrove esce dall’elenco.</w:t>
      </w:r>
    </w:p>
    <w:p>
      <w:pPr>
        <w:pStyle w:val="Compact"/>
        <w:numPr>
          <w:ilvl w:val="0"/>
          <w:numId w:val="1018"/>
        </w:numPr>
      </w:pPr>
      <w:r>
        <w:rPr>
          <w:b/>
          <w:bCs/>
        </w:rPr>
        <w:t xml:space="preserve">Dove si concentra il carico?</w:t>
      </w:r>
      <w:r>
        <w:t xml:space="preserve"> </w:t>
      </w:r>
      <w:r>
        <w:t xml:space="preserve">Escursione regionale, asimmetria, gesto che riproduce.</w:t>
      </w:r>
    </w:p>
    <w:p>
      <w:pPr>
        <w:pStyle w:val="Compact"/>
        <w:numPr>
          <w:ilvl w:val="0"/>
          <w:numId w:val="1018"/>
        </w:numPr>
      </w:pPr>
      <w:r>
        <w:rPr>
          <w:b/>
          <w:bCs/>
        </w:rPr>
        <w:t xml:space="preserve">Cosa può fare lui.</w:t>
      </w:r>
      <w:r>
        <w:t xml:space="preserve"> </w:t>
      </w:r>
      <w:r>
        <w:t xml:space="preserve">Forza degli estensori, carico progressivo, cammino.</w:t>
      </w:r>
      <w:r>
        <w:t xml:space="preserve"> </w:t>
      </w:r>
      <w:r>
        <w:rPr>
          <w:b/>
          <w:bCs/>
        </w:rPr>
        <w:t xml:space="preserve">In tutti i sottotipi che restano con te — non nel sospetto infiammatorio, dove l’unico atto è l’invio.</w:t>
      </w:r>
    </w:p>
    <w:p>
      <w:pPr>
        <w:pStyle w:val="FirstParagraph"/>
      </w:pPr>
      <w:r>
        <w:rPr>
          <w:b/>
          <w:bCs/>
        </w:rPr>
        <w:t xml:space="preserve">L’ordine di questa lista non è l’ordine dei meccanismi del capitolo precedente, e i due criteri sono diversi.</w:t>
      </w:r>
      <w:r>
        <w:t xml:space="preserve"> </w:t>
      </w:r>
      <w:r>
        <w:t xml:space="preserve">Là l’ordine è la solidità delle prove. Qui è la priorità di condotta: prima ciò che ti fa uscire dal caso, poi ciò che comanda sugli altri piani.</w:t>
      </w:r>
    </w:p>
    <w:bookmarkEnd w:id="41"/>
    <w:bookmarkStart w:id="42" w:name="i-tre-stati-del-paziente"/>
    <w:p>
      <w:pPr>
        <w:pStyle w:val="Heading3"/>
      </w:pPr>
      <w:r>
        <w:t xml:space="preserve">I tre stati del paziente</w:t>
      </w:r>
    </w:p>
    <w:p>
      <w:pPr>
        <w:pStyle w:val="Compact"/>
        <w:numPr>
          <w:ilvl w:val="0"/>
          <w:numId w:val="1019"/>
        </w:numPr>
      </w:pPr>
      <w:r>
        <w:rPr>
          <w:b/>
          <w:bCs/>
        </w:rPr>
        <w:t xml:space="preserve">In difesa</w:t>
      </w:r>
      <w:r>
        <w:t xml:space="preserve"> </w:t>
      </w:r>
      <w:r>
        <w:t xml:space="preserve">— teso, monosillabi: parla al bisogno di sicurezza, e dichiara cosa stai per fare prima di farlo.</w:t>
      </w:r>
    </w:p>
    <w:p>
      <w:pPr>
        <w:pStyle w:val="Compact"/>
        <w:numPr>
          <w:ilvl w:val="0"/>
          <w:numId w:val="1019"/>
        </w:numPr>
      </w:pPr>
      <w:r>
        <w:rPr>
          <w:b/>
          <w:bCs/>
        </w:rPr>
        <w:t xml:space="preserve">Emotivo</w:t>
      </w:r>
      <w:r>
        <w:t xml:space="preserve"> </w:t>
      </w:r>
      <w:r>
        <w:t xml:space="preserve">— associa i dolori a un periodo della vita: parla al bisogno di essere capito.</w:t>
      </w:r>
    </w:p>
    <w:p>
      <w:pPr>
        <w:pStyle w:val="Compact"/>
        <w:numPr>
          <w:ilvl w:val="0"/>
          <w:numId w:val="1019"/>
        </w:numPr>
      </w:pPr>
      <w:r>
        <w:rPr>
          <w:b/>
          <w:bCs/>
        </w:rPr>
        <w:t xml:space="preserve">Razionale</w:t>
      </w:r>
      <w:r>
        <w:t xml:space="preserve"> </w:t>
      </w:r>
      <w:r>
        <w:t xml:space="preserve">— chiede i numeri: mostragli il prima e il dopo del marker, e la soglia.</w:t>
      </w:r>
    </w:p>
    <w:p>
      <w:pPr>
        <w:pStyle w:val="FirstParagraph"/>
      </w:pPr>
      <w:r>
        <w:rPr>
          <w:b/>
          <w:bCs/>
        </w:rPr>
        <w:t xml:space="preserve">Le tre cose da ricordare, più una</w:t>
      </w:r>
    </w:p>
    <w:p>
      <w:pPr>
        <w:pStyle w:val="Compact"/>
        <w:numPr>
          <w:ilvl w:val="0"/>
          <w:numId w:val="1020"/>
        </w:numPr>
      </w:pPr>
      <w:r>
        <w:t xml:space="preserve">Due domande ti fanno uscire dal caso prima di trattare: c’è un farmaco o un cambiamento ormonale, e c’è infiammazione.</w:t>
      </w:r>
    </w:p>
    <w:p>
      <w:pPr>
        <w:pStyle w:val="Compact"/>
        <w:numPr>
          <w:ilvl w:val="0"/>
          <w:numId w:val="1020"/>
        </w:numPr>
      </w:pPr>
      <w:r>
        <w:t xml:space="preserve">Il marker della prova sta su un</w:t>
      </w:r>
      <w:r>
        <w:t xml:space="preserve"> </w:t>
      </w:r>
      <w:r>
        <w:rPr>
          <w:b/>
          <w:bCs/>
        </w:rPr>
        <w:t xml:space="preserve">piano</w:t>
      </w:r>
      <w:r>
        <w:t xml:space="preserve"> </w:t>
      </w:r>
      <w:r>
        <w:t xml:space="preserve">che non hai trattato, non su una sede che non hai toccato.</w:t>
      </w:r>
    </w:p>
    <w:p>
      <w:pPr>
        <w:pStyle w:val="Compact"/>
        <w:numPr>
          <w:ilvl w:val="0"/>
          <w:numId w:val="1020"/>
        </w:numPr>
      </w:pPr>
      <w:r>
        <w:t xml:space="preserve">Il paziente con la soglia bassa è quello in cui hai più da fare, con tempi diversi e con la sua etichetta reale.</w:t>
      </w:r>
    </w:p>
    <w:p>
      <w:pPr>
        <w:pStyle w:val="Compact"/>
        <w:numPr>
          <w:ilvl w:val="0"/>
          <w:numId w:val="1020"/>
        </w:numPr>
      </w:pPr>
      <w:r>
        <w:rPr>
          <w:b/>
          <w:bCs/>
        </w:rPr>
        <w:t xml:space="preserve">Perché ci sei tu.</w:t>
      </w:r>
      <w:r>
        <w:t xml:space="preserve"> </w:t>
      </w:r>
      <w:r>
        <w:t xml:space="preserve">In 12.408 adulti oltre i 50 anni il dolore è stato contato su un manichino corporeo, e la mediana era di quattro sedi.</w:t>
      </w:r>
      <w:r>
        <w:t xml:space="preserve"> </w:t>
      </w:r>
      <w:r>
        <w:rPr>
          <w:b/>
          <w:bCs/>
        </w:rPr>
        <w:t xml:space="preserve">Ogni sede in più costava 0,63 punti sulla componente fisica della qualità di vita e 0,28 su quella mentale</w:t>
      </w:r>
      <w:r>
        <w:t xml:space="preserve">, aggiustando per età, comportamenti e comorbilità (Lacey,</w:t>
      </w:r>
      <w:r>
        <w:t xml:space="preserve"> </w:t>
      </w:r>
      <w:r>
        <w:rPr>
          <w:i/>
          <w:iCs/>
        </w:rPr>
        <w:t xml:space="preserve">Rheumatology</w:t>
      </w:r>
      <w:r>
        <w:t xml:space="preserve"> </w:t>
      </w:r>
      <w:r>
        <w:t xml:space="preserve">2014, PMID 24925881).</w:t>
      </w:r>
      <w:r>
        <w:t xml:space="preserve"> </w:t>
      </w:r>
      <w:r>
        <w:rPr>
          <w:b/>
          <w:bCs/>
        </w:rPr>
        <w:t xml:space="preserve">Per te:</w:t>
      </w:r>
      <w:r>
        <w:t xml:space="preserve"> </w:t>
      </w:r>
      <w:r>
        <w:t xml:space="preserve">il conteggio delle sedi è una misura che nessuno raccoglie, e predice come sta questa persona meglio di qualunque referto. Ti autorizza a farne il primo dato della cartella. Non ti autorizza a promettere di ridurlo: è un’associazione, non la prova che togliendo una sede la qualità di vita salga.</w:t>
      </w:r>
    </w:p>
    <w:p>
      <w:r>
        <w:pict>
          <v:rect style="width:0;height:1.5pt" o:hralign="center" o:hrstd="t" o:hr="t"/>
        </w:pict>
      </w:r>
    </w:p>
    <w:bookmarkEnd w:id="42"/>
    <w:bookmarkEnd w:id="43"/>
    <w:bookmarkStart w:id="49" w:name="capitolo-9-dove-finisce-il-nostro-campo"/>
    <w:p>
      <w:pPr>
        <w:pStyle w:val="Heading2"/>
      </w:pPr>
      <w:r>
        <w:t xml:space="preserve">Capitolo 9 — Dove finisce il nostro campo</w:t>
      </w:r>
    </w:p>
    <w:p>
      <w:pPr>
        <w:pStyle w:val="BlockText"/>
      </w:pPr>
      <w:r>
        <w:rPr>
          <w:b/>
          <w:bCs/>
        </w:rPr>
        <w:t xml:space="preserve">In una riga:</w:t>
      </w:r>
      <w:r>
        <w:t xml:space="preserve"> </w:t>
      </w:r>
      <w:r>
        <w:t xml:space="preserve">su questa condizione il confine non è una linea intorno al tuo lavoro, è una domanda che fai a ogni primo colloquio e che ha una risposta a quattro uscite.</w:t>
      </w:r>
    </w:p>
    <w:bookmarkStart w:id="44" w:name="le-bandiere-rosse"/>
    <w:p>
      <w:pPr>
        <w:pStyle w:val="Heading3"/>
      </w:pPr>
      <w:r>
        <w:t xml:space="preserve">Le bandiere rosse</w:t>
      </w:r>
    </w:p>
    <w:p>
      <w:pPr>
        <w:pStyle w:val="FirstParagraph"/>
      </w:pPr>
      <w:r>
        <w:rPr>
          <w:b/>
          <w:bCs/>
        </w:rPr>
        <w:t xml:space="preserve">Da dove viene questa tabella, e come si usa.</w:t>
      </w:r>
      <w:r>
        <w:t xml:space="preserve"> </w:t>
      </w:r>
      <w:r>
        <w:t xml:space="preserve">Le righe vengono dalle linee guida delle condizioni che vanno escluse, non da un consenso su</w:t>
      </w:r>
      <w:r>
        <w:t xml:space="preserve"> </w:t>
      </w:r>
      <w:r>
        <w:t xml:space="preserve">“dolori articolari”</w:t>
      </w:r>
      <w:r>
        <w:t xml:space="preserve">, che non esiste. Le fonti sono quattro: caratteristiche atipiche dell’artrosi (NICE NG226, 1.1.2), tempo dell’invio nell’artrite precoce, segni extra-articolari delle spondiloartriti (NICE NG65), e le urgenze di polimialgia reumatica, arterite a cellule giganti e articolazione calda e gonfia.</w:t>
      </w:r>
    </w:p>
    <w:p>
      <w:pPr>
        <w:pStyle w:val="BodyText"/>
      </w:pPr>
      <w:r>
        <w:rPr>
          <w:b/>
          <w:bCs/>
        </w:rPr>
        <w:t xml:space="preserve">Questa lista è la migliore disponibile e non è uno strumento validato: la usi come rete, non come filtro.</w:t>
      </w:r>
      <w:r>
        <w:t xml:space="preserve"> </w:t>
      </w:r>
      <w:r>
        <w:t xml:space="preserve">Una riga presente ti fa fermare; tutte assenti non ti autorizzano a escludere niente. E in cartella scrivi che l’hai passata in rassegna, non che il paziente è negativo.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Bandiera rossa</w:t>
            </w:r>
          </w:p>
        </w:tc>
        <w:tc>
          <w:tcPr/>
          <w:p>
            <w:pPr>
              <w:pStyle w:val="Compact"/>
            </w:pPr>
            <w:r>
              <w:t xml:space="preserve">A chi si manda</w:t>
            </w:r>
          </w:p>
        </w:tc>
        <w:tc>
          <w:tcPr/>
          <w:p>
            <w:pPr>
              <w:pStyle w:val="Compact"/>
            </w:pPr>
            <w:r>
              <w:t xml:space="preserve">Tempi</w:t>
            </w:r>
          </w:p>
        </w:tc>
        <w:tc>
          <w:tcPr/>
          <w:p>
            <w:pPr>
              <w:pStyle w:val="Compact"/>
            </w:pPr>
            <w:r>
              <w:t xml:space="preserve">Uscita</w:t>
            </w:r>
          </w:p>
        </w:tc>
      </w:tr>
      <w:tr>
        <w:tc>
          <w:tcPr/>
          <w:p>
            <w:pPr>
              <w:pStyle w:val="Compact"/>
            </w:pPr>
            <w:r>
              <w:t xml:space="preserve">Articolazione calda, rossa, gonfia</w:t>
            </w:r>
          </w:p>
        </w:tc>
        <w:tc>
          <w:tcPr/>
          <w:p>
            <w:pPr>
              <w:pStyle w:val="Compact"/>
            </w:pPr>
            <w:r>
              <w:t xml:space="preserve">Pronto soccorso</w:t>
            </w:r>
          </w:p>
        </w:tc>
        <w:tc>
          <w:tcPr/>
          <w:p>
            <w:pPr>
              <w:pStyle w:val="Compact"/>
            </w:pPr>
            <w:r>
              <w:t xml:space="preserve">In giornata</w:t>
            </w:r>
          </w:p>
        </w:tc>
        <w:tc>
          <w:tcPr/>
          <w:p>
            <w:pPr>
              <w:pStyle w:val="Compact"/>
            </w:pPr>
            <w:r>
              <w:t xml:space="preserve">ROSSO</w:t>
            </w:r>
          </w:p>
        </w:tc>
      </w:tr>
      <w:tr>
        <w:tc>
          <w:tcPr/>
          <w:p>
            <w:pPr>
              <w:pStyle w:val="Compact"/>
            </w:pPr>
            <w:r>
              <w:t xml:space="preserve">Perdita del visus, anche transitoria, o diplopia</w:t>
            </w:r>
          </w:p>
        </w:tc>
        <w:tc>
          <w:tcPr/>
          <w:p>
            <w:pPr>
              <w:pStyle w:val="Compact"/>
            </w:pPr>
            <w:r>
              <w:t xml:space="preserve">112 o pronto soccorso</w:t>
            </w:r>
          </w:p>
        </w:tc>
        <w:tc>
          <w:tcPr/>
          <w:p>
            <w:pPr>
              <w:pStyle w:val="Compact"/>
            </w:pPr>
            <w:r>
              <w:t xml:space="preserve">In giornata</w:t>
            </w:r>
          </w:p>
        </w:tc>
        <w:tc>
          <w:tcPr/>
          <w:p>
            <w:pPr>
              <w:pStyle w:val="Compact"/>
            </w:pPr>
            <w:r>
              <w:t xml:space="preserve">ROSSO</w:t>
            </w:r>
          </w:p>
        </w:tc>
      </w:tr>
      <w:tr>
        <w:tc>
          <w:tcPr/>
          <w:p>
            <w:pPr>
              <w:pStyle w:val="Compact"/>
            </w:pPr>
            <w:r>
              <w:t xml:space="preserve">Cefalea nuova oltre i 50 con dolore mandibolare</w:t>
            </w:r>
          </w:p>
        </w:tc>
        <w:tc>
          <w:tcPr/>
          <w:p>
            <w:pPr>
              <w:pStyle w:val="Compact"/>
            </w:pPr>
            <w:r>
              <w:t xml:space="preserve">Pronto soccorso o curante</w:t>
            </w:r>
          </w:p>
        </w:tc>
        <w:tc>
          <w:tcPr/>
          <w:p>
            <w:pPr>
              <w:pStyle w:val="Compact"/>
            </w:pPr>
            <w:r>
              <w:t xml:space="preserve">Urgente</w:t>
            </w:r>
          </w:p>
        </w:tc>
        <w:tc>
          <w:tcPr/>
          <w:p>
            <w:pPr>
              <w:pStyle w:val="Compact"/>
            </w:pPr>
            <w:r>
              <w:t xml:space="preserve">ROSSO</w:t>
            </w:r>
          </w:p>
        </w:tc>
      </w:tr>
      <w:tr>
        <w:tc>
          <w:tcPr/>
          <w:p>
            <w:pPr>
              <w:pStyle w:val="Compact"/>
            </w:pPr>
            <w:r>
              <w:t xml:space="preserve">Gonfiore articolare con dolore o rigidità</w:t>
            </w:r>
          </w:p>
        </w:tc>
        <w:tc>
          <w:tcPr/>
          <w:p>
            <w:pPr>
              <w:pStyle w:val="Compact"/>
            </w:pPr>
            <w:r>
              <w:t xml:space="preserve">Reumatologo</w:t>
            </w:r>
          </w:p>
        </w:tc>
        <w:tc>
          <w:tcPr/>
          <w:p>
            <w:pPr>
              <w:pStyle w:val="Compact"/>
            </w:pPr>
            <w:r>
              <w:t xml:space="preserve">Invio, non attendere</w:t>
            </w:r>
          </w:p>
        </w:tc>
        <w:tc>
          <w:tcPr/>
          <w:p>
            <w:pPr>
              <w:pStyle w:val="Compact"/>
            </w:pPr>
            <w:r>
              <w:t xml:space="preserve">ROSSO</w:t>
            </w:r>
          </w:p>
        </w:tc>
      </w:tr>
      <w:tr>
        <w:tc>
          <w:tcPr/>
          <w:p>
            <w:pPr>
              <w:pStyle w:val="Compact"/>
            </w:pPr>
            <w:r>
              <w:t xml:space="preserve">Dattilite, entesite, psoriasi, uveite o MICI</w:t>
            </w:r>
          </w:p>
        </w:tc>
        <w:tc>
          <w:tcPr/>
          <w:p>
            <w:pPr>
              <w:pStyle w:val="Compact"/>
            </w:pPr>
            <w:r>
              <w:t xml:space="preserve">Reumatologo</w:t>
            </w:r>
          </w:p>
        </w:tc>
        <w:tc>
          <w:tcPr/>
          <w:p>
            <w:pPr>
              <w:pStyle w:val="Compact"/>
            </w:pPr>
            <w:r>
              <w:t xml:space="preserve">Invio, non attendere</w:t>
            </w:r>
          </w:p>
        </w:tc>
        <w:tc>
          <w:tcPr/>
          <w:p>
            <w:pPr>
              <w:pStyle w:val="Compact"/>
            </w:pPr>
            <w:r>
              <w:t xml:space="preserve">ROSSO</w:t>
            </w:r>
          </w:p>
        </w:tc>
      </w:tr>
      <w:tr>
        <w:tc>
          <w:tcPr/>
          <w:p>
            <w:pPr>
              <w:pStyle w:val="Compact"/>
            </w:pPr>
            <w:r>
              <w:t xml:space="preserve">Rash, ulcere orali, Raynaud, secchezza, febbricola</w:t>
            </w:r>
          </w:p>
        </w:tc>
        <w:tc>
          <w:tcPr/>
          <w:p>
            <w:pPr>
              <w:pStyle w:val="Compact"/>
            </w:pPr>
            <w:r>
              <w:t xml:space="preserve">Reumatologo o curante</w:t>
            </w:r>
          </w:p>
        </w:tc>
        <w:tc>
          <w:tcPr/>
          <w:p>
            <w:pPr>
              <w:pStyle w:val="Compact"/>
            </w:pPr>
            <w:r>
              <w:t xml:space="preserve">Invio, non attendere</w:t>
            </w:r>
          </w:p>
        </w:tc>
        <w:tc>
          <w:tcPr/>
          <w:p>
            <w:pPr>
              <w:pStyle w:val="Compact"/>
            </w:pPr>
            <w:r>
              <w:t xml:space="preserve">ROSSO</w:t>
            </w:r>
          </w:p>
        </w:tc>
      </w:tr>
      <w:tr>
        <w:tc>
          <w:tcPr/>
          <w:p>
            <w:pPr>
              <w:pStyle w:val="Compact"/>
            </w:pPr>
            <w:r>
              <w:t xml:space="preserve">Cingoli dolenti sopra i 50 anni, esordio rapido</w:t>
            </w:r>
          </w:p>
        </w:tc>
        <w:tc>
          <w:tcPr/>
          <w:p>
            <w:pPr>
              <w:pStyle w:val="Compact"/>
            </w:pPr>
            <w:r>
              <w:t xml:space="preserve">Reumatologo o curante</w:t>
            </w:r>
          </w:p>
        </w:tc>
        <w:tc>
          <w:tcPr/>
          <w:p>
            <w:pPr>
              <w:pStyle w:val="Compact"/>
            </w:pPr>
            <w:r>
              <w:t xml:space="preserve">Urgente</w:t>
            </w:r>
          </w:p>
        </w:tc>
        <w:tc>
          <w:tcPr/>
          <w:p>
            <w:pPr>
              <w:pStyle w:val="Compact"/>
            </w:pPr>
            <w:r>
              <w:t xml:space="preserve">ROSSO</w:t>
            </w:r>
          </w:p>
        </w:tc>
      </w:tr>
      <w:tr>
        <w:tc>
          <w:tcPr/>
          <w:p>
            <w:pPr>
              <w:pStyle w:val="Compact"/>
            </w:pPr>
            <w:r>
              <w:t xml:space="preserve">Calo di peso, febbre, dolore notturno fisso</w:t>
            </w:r>
          </w:p>
        </w:tc>
        <w:tc>
          <w:tcPr/>
          <w:p>
            <w:pPr>
              <w:pStyle w:val="Compact"/>
            </w:pPr>
            <w:r>
              <w:t xml:space="preserve">Medico curante</w:t>
            </w:r>
          </w:p>
        </w:tc>
        <w:tc>
          <w:tcPr/>
          <w:p>
            <w:pPr>
              <w:pStyle w:val="Compact"/>
            </w:pPr>
            <w:r>
              <w:t xml:space="preserve">Invio, non attendere</w:t>
            </w:r>
          </w:p>
        </w:tc>
        <w:tc>
          <w:tcPr/>
          <w:p>
            <w:pPr>
              <w:pStyle w:val="Compact"/>
            </w:pPr>
            <w:r>
              <w:t xml:space="preserve">ROSSO</w:t>
            </w:r>
          </w:p>
        </w:tc>
      </w:tr>
      <w:tr>
        <w:tc>
          <w:tcPr/>
          <w:p>
            <w:pPr>
              <w:pStyle w:val="Compact"/>
            </w:pPr>
            <w:r>
              <w:t xml:space="preserve">Rigidità mattutina oltre 30 minuti, simmetrica</w:t>
            </w:r>
          </w:p>
        </w:tc>
        <w:tc>
          <w:tcPr/>
          <w:p>
            <w:pPr>
              <w:pStyle w:val="Compact"/>
            </w:pPr>
            <w:r>
              <w:t xml:space="preserve">Reumatologo</w:t>
            </w:r>
          </w:p>
        </w:tc>
        <w:tc>
          <w:tcPr/>
          <w:p>
            <w:pPr>
              <w:pStyle w:val="Compact"/>
            </w:pPr>
            <w:r>
              <w:t xml:space="preserve">Invio</w:t>
            </w:r>
          </w:p>
        </w:tc>
        <w:tc>
          <w:tcPr/>
          <w:p>
            <w:pPr>
              <w:pStyle w:val="Compact"/>
            </w:pPr>
            <w:r>
              <w:t xml:space="preserve">GIALLO prioritario</w:t>
            </w:r>
          </w:p>
        </w:tc>
      </w:tr>
      <w:tr>
        <w:tc>
          <w:tcPr/>
          <w:p>
            <w:pPr>
              <w:pStyle w:val="Compact"/>
            </w:pPr>
            <w:r>
              <w:t xml:space="preserve">Dolore comparso dopo un farmaco nuovo</w:t>
            </w:r>
          </w:p>
        </w:tc>
        <w:tc>
          <w:tcPr/>
          <w:p>
            <w:pPr>
              <w:pStyle w:val="Compact"/>
            </w:pPr>
            <w:r>
              <w:t xml:space="preserve">Prescrittore</w:t>
            </w:r>
          </w:p>
        </w:tc>
        <w:tc>
          <w:tcPr/>
          <w:p>
            <w:pPr>
              <w:pStyle w:val="Compact"/>
            </w:pPr>
            <w:r>
              <w:t xml:space="preserve">Invio</w:t>
            </w:r>
          </w:p>
        </w:tc>
        <w:tc>
          <w:tcPr/>
          <w:p>
            <w:pPr>
              <w:pStyle w:val="Compact"/>
            </w:pPr>
            <w:r>
              <w:t xml:space="preserve">GIALLO prioritario</w:t>
            </w:r>
          </w:p>
        </w:tc>
      </w:tr>
      <w:tr>
        <w:tc>
          <w:tcPr/>
          <w:p>
            <w:pPr>
              <w:pStyle w:val="Compact"/>
            </w:pPr>
            <w:r>
              <w:t xml:space="preserve">Osso fragile noto o sospetto, storia oncologica</w:t>
            </w:r>
          </w:p>
        </w:tc>
        <w:tc>
          <w:tcPr/>
          <w:p>
            <w:pPr>
              <w:pStyle w:val="Compact"/>
            </w:pPr>
            <w:r>
              <w:t xml:space="preserve">Curante, prima di iniziare</w:t>
            </w:r>
          </w:p>
        </w:tc>
        <w:tc>
          <w:tcPr/>
          <w:p>
            <w:pPr>
              <w:pStyle w:val="Compact"/>
            </w:pPr>
            <w:r>
              <w:t xml:space="preserve">Invio programmato</w:t>
            </w:r>
          </w:p>
        </w:tc>
        <w:tc>
          <w:tcPr/>
          <w:p>
            <w:pPr>
              <w:pStyle w:val="Compact"/>
            </w:pPr>
            <w:r>
              <w:t xml:space="preserve">GIALLO prioritario</w:t>
            </w:r>
          </w:p>
        </w:tc>
      </w:tr>
    </w:tbl>
    <w:p>
      <w:pPr>
        <w:pStyle w:val="BodyText"/>
      </w:pPr>
      <w:r>
        <w:rPr>
          <w:b/>
          <w:bCs/>
        </w:rPr>
        <w:t xml:space="preserve">Sei righe, per esteso.</w:t>
      </w:r>
    </w:p>
    <w:p>
      <w:pPr>
        <w:pStyle w:val="BodyText"/>
      </w:pPr>
      <w:r>
        <w:rPr>
          <w:b/>
          <w:bCs/>
        </w:rPr>
        <w:t xml:space="preserve">Articolazione calda, rossa e gonfia.</w:t>
      </w:r>
      <w:r>
        <w:t xml:space="preserve"> </w:t>
      </w:r>
      <w:r>
        <w:t xml:space="preserve">Con le mani non si distingue un’articolazione infetta da un attacco da cristalli, e la prima danneggia la cartilagine in giorni.</w:t>
      </w:r>
      <w:r>
        <w:t xml:space="preserve"> </w:t>
      </w:r>
      <w:r>
        <w:rPr>
          <w:b/>
          <w:bCs/>
        </w:rPr>
        <w:t xml:space="preserve">Il quadro florido lo riconoscerebbe chiunque: il problema è l’altro.</w:t>
      </w:r>
    </w:p>
    <w:p>
      <w:pPr>
        <w:pStyle w:val="BodyText"/>
      </w:pPr>
      <w:r>
        <w:t xml:space="preserve">Questi elementi alzano il rischio e abbassano la soglia per mandare, nell’ordine:</w:t>
      </w:r>
      <w:r>
        <w:t xml:space="preserve"> </w:t>
      </w:r>
      <w:r>
        <w:rPr>
          <w:b/>
          <w:bCs/>
        </w:rPr>
        <w:t xml:space="preserve">protesi articolare e infiltrazione recente per primi</w:t>
      </w:r>
      <w:r>
        <w:t xml:space="preserve">, poi chirurgia articolare pregressa, artrite reumatoide, diabete, immunosoppressione o terapia steroidea, infezione cutanea, età avanzata. E in queste persone</w:t>
      </w:r>
      <w:r>
        <w:t xml:space="preserve"> </w:t>
      </w:r>
      <w:r>
        <w:rPr>
          <w:b/>
          <w:bCs/>
        </w:rPr>
        <w:t xml:space="preserve">la presentazione può essere sfumata e la febbre mancare</w:t>
      </w:r>
      <w:r>
        <w:t xml:space="preserve">: se il sospetto è alto si tratta come settica lo stesso (Weston &amp; Coakley,</w:t>
      </w:r>
      <w:r>
        <w:t xml:space="preserve"> </w:t>
      </w:r>
      <w:r>
        <w:rPr>
          <w:i/>
          <w:iCs/>
        </w:rPr>
        <w:t xml:space="preserve">J Antimicrob Chemother</w:t>
      </w:r>
      <w:r>
        <w:t xml:space="preserve"> </w:t>
      </w:r>
      <w:r>
        <w:t xml:space="preserve">2006, PMID 16857687).</w:t>
      </w:r>
    </w:p>
    <w:p>
      <w:pPr>
        <w:pStyle w:val="BodyText"/>
      </w:pPr>
      <w:r>
        <w:t xml:space="preserve">A parte, un caso che non segue la corsia ordinaria:</w:t>
      </w:r>
      <w:r>
        <w:t xml:space="preserve"> </w:t>
      </w:r>
      <w:r>
        <w:rPr>
          <w:b/>
          <w:bCs/>
        </w:rPr>
        <w:t xml:space="preserve">un ginocchio gonfio senza trauma in un paziente in anticoagulante orale</w:t>
      </w:r>
      <w:r>
        <w:t xml:space="preserve"> </w:t>
      </w:r>
      <w:r>
        <w:t xml:space="preserve">non è una corsia reumatologica a sei settimane, è una valutazione urgente per emartro.</w:t>
      </w:r>
    </w:p>
    <w:p>
      <w:pPr>
        <w:pStyle w:val="BodyText"/>
      </w:pPr>
      <w:r>
        <w:rPr>
          <w:b/>
          <w:bCs/>
        </w:rPr>
        <w:t xml:space="preserve">Arterite a cellule giganti, due righe e non una.</w:t>
      </w:r>
      <w:r>
        <w:t xml:space="preserve"> </w:t>
      </w:r>
      <w:r>
        <w:t xml:space="preserve">Con</w:t>
      </w:r>
      <w:r>
        <w:t xml:space="preserve"> </w:t>
      </w:r>
      <w:r>
        <w:rPr>
          <w:b/>
          <w:bCs/>
        </w:rPr>
        <w:t xml:space="preserve">perdita del visus anche transitoria o diplopia</w:t>
      </w:r>
      <w:r>
        <w:t xml:space="preserve"> </w:t>
      </w:r>
      <w:r>
        <w:t xml:space="preserve">oltre i cinquanta si va dall’oculista</w:t>
      </w:r>
      <w:r>
        <w:t xml:space="preserve"> </w:t>
      </w:r>
      <w:r>
        <w:rPr>
          <w:b/>
          <w:bCs/>
        </w:rPr>
        <w:t xml:space="preserve">nella stessa giornata di calendario</w:t>
      </w:r>
      <w:r>
        <w:t xml:space="preserve">, perché quella perdita è irreversibile.</w:t>
      </w:r>
    </w:p>
    <w:p>
      <w:pPr>
        <w:pStyle w:val="BodyText"/>
      </w:pPr>
      <w:r>
        <w:t xml:space="preserve">Ma la riga che conta è l’altra.</w:t>
      </w:r>
      <w:r>
        <w:t xml:space="preserve"> </w:t>
      </w:r>
      <w:r>
        <w:rPr>
          <w:b/>
          <w:bCs/>
        </w:rPr>
        <w:t xml:space="preserve">Cefalea nuova oltre i 50 con dolore alla mandibola masticando, o dolorabilità del cuoio capelluto.</w:t>
      </w:r>
      <w:r>
        <w:t xml:space="preserve"> </w:t>
      </w:r>
      <w:r>
        <w:t xml:space="preserve">È la stessa malattia</w:t>
      </w:r>
      <w:r>
        <w:t xml:space="preserve"> </w:t>
      </w:r>
      <w:r>
        <w:rPr>
          <w:b/>
          <w:bCs/>
        </w:rPr>
        <w:t xml:space="preserve">prima</w:t>
      </w:r>
      <w:r>
        <w:t xml:space="preserve"> </w:t>
      </w:r>
      <w:r>
        <w:t xml:space="preserve">che tocchi l’occhio, ed è l’unico momento in cui la si può fermare. La linea guida chiede che il sospetto</w:t>
      </w:r>
      <w:r>
        <w:t xml:space="preserve"> </w:t>
      </w:r>
      <w:r>
        <w:rPr>
          <w:b/>
          <w:bCs/>
        </w:rPr>
        <w:t xml:space="preserve">senza sintomi oftalmici</w:t>
      </w:r>
      <w:r>
        <w:t xml:space="preserve"> </w:t>
      </w:r>
      <w:r>
        <w:t xml:space="preserve">sia valutato dallo specialista entro tre giorni lavorativi, idealmente in giornata (Mackie,</w:t>
      </w:r>
      <w:r>
        <w:t xml:space="preserve"> </w:t>
      </w:r>
      <w:r>
        <w:rPr>
          <w:i/>
          <w:iCs/>
        </w:rPr>
        <w:t xml:space="preserve">Rheumatology</w:t>
      </w:r>
      <w:r>
        <w:t xml:space="preserve"> </w:t>
      </w:r>
      <w:r>
        <w:t xml:space="preserve">2020, PMID 31970410).</w:t>
      </w:r>
      <w:r>
        <w:t xml:space="preserve"> </w:t>
      </w:r>
      <w:r>
        <w:rPr>
          <w:b/>
          <w:bCs/>
        </w:rPr>
        <w:t xml:space="preserve">Quella riga non richiede il sintomo visivo per accendersi:</w:t>
      </w:r>
      <w:r>
        <w:t xml:space="preserve"> </w:t>
      </w:r>
      <w:r>
        <w:t xml:space="preserve">la coesistenza con il quadro dei cingoli aumenta il sospetto, la sua assenza non lo abbassa.</w:t>
      </w:r>
    </w:p>
    <w:p>
      <w:pPr>
        <w:pStyle w:val="BodyText"/>
      </w:pPr>
      <w:r>
        <w:rPr>
          <w:b/>
          <w:bCs/>
        </w:rPr>
        <w:t xml:space="preserve">Gonfiore articolare con dolore o rigidità.</w:t>
      </w:r>
      <w:r>
        <w:t xml:space="preserve"> </w:t>
      </w:r>
      <w:r>
        <w:t xml:space="preserve">Vale qualunque tumefazione vera, non un edema declive della sera. La raccomandazione europea sull’artrite precoce ha un obiettivo per la catena di invio: il paziente va</w:t>
      </w:r>
      <w:r>
        <w:t xml:space="preserve"> </w:t>
      </w:r>
      <w:r>
        <w:rPr>
          <w:b/>
          <w:bCs/>
        </w:rPr>
        <w:t xml:space="preserve">visto da un reumatologo entro sei settimane dall’esordio</w:t>
      </w:r>
      <w:r>
        <w:t xml:space="preserve"> </w:t>
      </w:r>
      <w:r>
        <w:t xml:space="preserve">(Combe,</w:t>
      </w:r>
      <w:r>
        <w:t xml:space="preserve"> </w:t>
      </w:r>
      <w:r>
        <w:rPr>
          <w:i/>
          <w:iCs/>
        </w:rPr>
        <w:t xml:space="preserve">Ann Rheum Dis</w:t>
      </w:r>
      <w:r>
        <w:t xml:space="preserve"> </w:t>
      </w:r>
      <w:r>
        <w:t xml:space="preserve">2017, PMID 27979873). È un obiettivo di sistema, non una scadenza che, superata, riduce l’indicazione:</w:t>
      </w:r>
      <w:r>
        <w:t xml:space="preserve"> </w:t>
      </w:r>
      <w:r>
        <w:rPr>
          <w:b/>
          <w:bCs/>
        </w:rPr>
        <w:t xml:space="preserve">un esordio più remoto non abbassa l’urgenza, la aumenta.</w:t>
      </w:r>
      <w:r>
        <w:t xml:space="preserve"> </w:t>
      </w:r>
      <w:r>
        <w:t xml:space="preserve">Chi ha iniziato la terapia nei primi mesi è migliorato di più e ha progredito meno a tre anni (Nell,</w:t>
      </w:r>
      <w:r>
        <w:t xml:space="preserve"> </w:t>
      </w:r>
      <w:r>
        <w:rPr>
          <w:i/>
          <w:iCs/>
        </w:rPr>
        <w:t xml:space="preserve">Rheumatology</w:t>
      </w:r>
      <w:r>
        <w:t xml:space="preserve"> </w:t>
      </w:r>
      <w:r>
        <w:t xml:space="preserve">2004, PMID 15113999).</w:t>
      </w:r>
    </w:p>
    <w:p>
      <w:pPr>
        <w:pStyle w:val="BodyText"/>
      </w:pPr>
      <w:r>
        <w:rPr>
          <w:b/>
          <w:bCs/>
        </w:rPr>
        <w:t xml:space="preserve">Dattilite, entesite persistente, psoriasi cutanea o ungueale, uveite o malattia infiammatoria intestinale.</w:t>
      </w:r>
      <w:r>
        <w:t xml:space="preserve"> </w:t>
      </w:r>
      <w:r>
        <w:t xml:space="preserve">È la porta delle spondiloartriti, e</w:t>
      </w:r>
      <w:r>
        <w:t xml:space="preserve"> </w:t>
      </w:r>
      <w:r>
        <w:rPr>
          <w:b/>
          <w:bCs/>
        </w:rPr>
        <w:t xml:space="preserve">non passa dai tre segni dell’artrite reumatoide</w:t>
      </w:r>
      <w:r>
        <w:t xml:space="preserve">: il quadro è asimmetrico, riguarda poche articolazioni, e la rigidità è breve. La linea guida prevede l’invio urgente al reumatologo per artrite infiammatoria di nuova insorgenza, dattilite o entesite persistente, tanto più con uveite o psoriasi (NICE NG65). Si trova guardando unghie, cuoio capelluto e talloni.</w:t>
      </w:r>
    </w:p>
    <w:p>
      <w:pPr>
        <w:pStyle w:val="BodyText"/>
      </w:pPr>
      <w:r>
        <w:rPr>
          <w:b/>
          <w:bCs/>
        </w:rPr>
        <w:t xml:space="preserve">Rigidità mattutina oltre i trenta minuti, simmetrica, senza gonfiore.</w:t>
      </w:r>
      <w:r>
        <w:t xml:space="preserve"> </w:t>
      </w:r>
      <w:r>
        <w:rPr>
          <w:b/>
          <w:bCs/>
        </w:rPr>
        <w:t xml:space="preserve">Deriva dal rovesciamento di un criterio diagnostico, non da una raccomandazione di invio.</w:t>
      </w:r>
      <w:r>
        <w:t xml:space="preserve"> </w:t>
      </w:r>
      <w:r>
        <w:t xml:space="preserve">La rigidità prolungata è frequente anche nell’artrosi avanzata, e da sola manderebbe fuori pazienti per cui questa Bibbia è scritta. Isolata è GIALLO prioritario;</w:t>
      </w:r>
      <w:r>
        <w:t xml:space="preserve"> </w:t>
      </w:r>
      <w:r>
        <w:rPr>
          <w:b/>
          <w:bCs/>
        </w:rPr>
        <w:t xml:space="preserve">con gonfiore o esordio recente è ROSSO</w:t>
      </w:r>
      <w:r>
        <w:t xml:space="preserve">. Il paziente la cronometra, non la stima.</w:t>
      </w:r>
    </w:p>
    <w:p>
      <w:pPr>
        <w:pStyle w:val="BodyText"/>
      </w:pPr>
      <w:r>
        <w:rPr>
          <w:b/>
          <w:bCs/>
        </w:rPr>
        <w:t xml:space="preserve">Osso fragile noto o sospetto.</w:t>
      </w:r>
      <w:r>
        <w:t xml:space="preserve"> </w:t>
      </w:r>
      <w:r>
        <w:t xml:space="preserve">“Noto”</w:t>
      </w:r>
      <w:r>
        <w:t xml:space="preserve"> </w:t>
      </w:r>
      <w:r>
        <w:t xml:space="preserve">cattura la minoranza che lo sa già. Senza densitometria la fragilità si sospetta con uno solo di questi elementi:</w:t>
      </w:r>
      <w:r>
        <w:t xml:space="preserve"> </w:t>
      </w:r>
      <w:r>
        <w:rPr>
          <w:b/>
          <w:bCs/>
        </w:rPr>
        <w:t xml:space="preserve">età ≥70, frattura da fragilità per trauma minimo, statura persa, terapia steroidea prolungata per via generale, menopausa precoce, basso peso corporeo, uso cronico di inibitori di pompa.</w:t>
      </w:r>
    </w:p>
    <w:bookmarkEnd w:id="44"/>
    <w:bookmarkStart w:id="45" w:name="il-cancello-dingresso"/>
    <w:p>
      <w:pPr>
        <w:pStyle w:val="Heading3"/>
      </w:pPr>
      <w:r>
        <w:t xml:space="preserve">Il cancello d’ingresso</w:t>
      </w:r>
    </w:p>
    <w:p>
      <w:pPr>
        <w:pStyle w:val="FirstParagraph"/>
      </w:pPr>
      <w:r>
        <w:t xml:space="preserve">Il cancello stabilisce</w:t>
      </w:r>
      <w:r>
        <w:t xml:space="preserve"> </w:t>
      </w:r>
      <w:r>
        <w:rPr>
          <w:b/>
          <w:bCs/>
        </w:rPr>
        <w:t xml:space="preserve">quale delle quattro situazioni hai davanti</w:t>
      </w:r>
      <w:r>
        <w:t xml:space="preserve">.</w:t>
      </w:r>
      <w:r>
        <w:t xml:space="preserve"> </w:t>
      </w:r>
      <w:r>
        <w:rPr>
          <w:b/>
          <w:bCs/>
        </w:rPr>
        <w:t xml:space="preserve">Il mandato clinico</w:t>
      </w:r>
      <w:r>
        <w:t xml:space="preserve"> </w:t>
      </w:r>
      <w:r>
        <w:t xml:space="preserve">— avere qualcosa da trattare oggi — nasce da un reperto disfunzionale documentato e da un marker che si muove quando lo tratti.</w:t>
      </w:r>
      <w:r>
        <w:t xml:space="preserve"> </w:t>
      </w:r>
      <w:r>
        <w:rPr>
          <w:b/>
          <w:bCs/>
        </w:rPr>
        <w:t xml:space="preserve">Senza reperto e marker non hai un motivo per lavorare, nemmeno con la diagnosi in mano.</w:t>
      </w:r>
    </w:p>
    <w:p>
      <w:pPr>
        <w:pStyle w:val="BlockText"/>
      </w:pPr>
      <w:r>
        <w:rPr>
          <w:b/>
          <w:bCs/>
        </w:rPr>
        <w:t xml:space="preserve">Definizione.</w:t>
      </w:r>
      <w:r>
        <w:t xml:space="preserve"> </w:t>
      </w:r>
      <w:r>
        <w:t xml:space="preserve">Il</w:t>
      </w:r>
      <w:r>
        <w:t xml:space="preserve"> </w:t>
      </w:r>
      <w:r>
        <w:rPr>
          <w:b/>
          <w:bCs/>
        </w:rPr>
        <w:t xml:space="preserve">reperto disfunzionale</w:t>
      </w:r>
      <w:r>
        <w:t xml:space="preserve"> </w:t>
      </w:r>
      <w:r>
        <w:t xml:space="preserve">è quello che trovi tu con le mani e con i test, e che scrivi in cartella: una zona che si muove meno, un tessuto che risponde diversamente, una funzione che non si esprime. Non è la diagnosi del paziente — è il bersaglio del tuo lavoro.</w:t>
      </w:r>
    </w:p>
    <w:p>
      <w:pPr>
        <w:pStyle w:val="FirstParagraph"/>
      </w:pPr>
      <w:r>
        <w:t xml:space="preserve">E il contrappeso:</w:t>
      </w:r>
      <w:r>
        <w:t xml:space="preserve"> </w:t>
      </w:r>
      <w:r>
        <w:rPr>
          <w:b/>
          <w:bCs/>
        </w:rPr>
        <w:t xml:space="preserve">un reperto positivo giustifica il tuo lavoro, non sostituisce l’inquadramento medico.</w:t>
      </w:r>
      <w:r>
        <w:t xml:space="preserve"> </w:t>
      </w:r>
      <w:r>
        <w:t xml:space="preserve">Hai qualcosa da trattare, non sai cosa ha il paziente, e le due cose vanno dette al paziente come conviventi.</w:t>
      </w:r>
    </w:p>
    <w:p>
      <w:pPr>
        <w:pStyle w:val="BodyText"/>
      </w:pPr>
      <w:r>
        <w:rPr>
          <w:b/>
          <w:bCs/>
        </w:rPr>
        <w:t xml:space="preserve">Quale reperto fonda il mandato qui:</w:t>
      </w:r>
      <w:r>
        <w:t xml:space="preserve"> </w:t>
      </w:r>
      <w:r>
        <w:t xml:space="preserve">non il numero di sedi, che è il sintomo, ma</w:t>
      </w:r>
      <w:r>
        <w:t xml:space="preserve"> </w:t>
      </w:r>
      <w:r>
        <w:rPr>
          <w:b/>
          <w:bCs/>
        </w:rPr>
        <w:t xml:space="preserve">escursione in gradi, alzate in trenta secondi, soglia su sito remoto, tempo su un compito, test di provocazione positivi.</w:t>
      </w:r>
      <w:r>
        <w:t xml:space="preserve"> </w:t>
      </w:r>
      <w:r>
        <w:t xml:space="preserve">Se il tuo unico reperto è un elenco, hai un’anamnesi, non un mandato.</w:t>
      </w:r>
    </w:p>
    <w:p>
      <w:pPr>
        <w:pStyle w:val="BodyText"/>
      </w:pPr>
      <w:r>
        <w:rPr>
          <w:b/>
          <w:bCs/>
        </w:rPr>
        <w:t xml:space="preserve">🔴 ROSSO — Stop.</w:t>
      </w:r>
      <w:r>
        <w:t xml:space="preserve"> </w:t>
      </w:r>
      <w:r>
        <w:t xml:space="preserve">Basta una sola bandiera rossa: il paziente esce con un’indicazione medica</w:t>
      </w:r>
      <w:r>
        <w:t xml:space="preserve"> </w:t>
      </w:r>
      <w:r>
        <w:rPr>
          <w:b/>
          <w:bCs/>
        </w:rPr>
        <w:t xml:space="preserve">esplicita e scritta</w:t>
      </w:r>
      <w:r>
        <w:t xml:space="preserve"> </w:t>
      </w:r>
      <w:r>
        <w:t xml:space="preserve">e con i tempi dichiarati, e</w:t>
      </w:r>
      <w:r>
        <w:t xml:space="preserve"> </w:t>
      </w:r>
      <w:r>
        <w:rPr>
          <w:b/>
          <w:bCs/>
        </w:rPr>
        <w:t xml:space="preserve">nessun reperto positivo scavalca questa uscita.</w:t>
      </w:r>
    </w:p>
    <w:p>
      <w:pPr>
        <w:pStyle w:val="BodyText"/>
      </w:pPr>
      <w:r>
        <w:t xml:space="preserve">Se coesiste una</w:t>
      </w:r>
      <w:r>
        <w:t xml:space="preserve"> </w:t>
      </w:r>
      <w:r>
        <w:rPr>
          <w:b/>
          <w:bCs/>
        </w:rPr>
        <w:t xml:space="preserve">disfunzione somatica</w:t>
      </w:r>
      <w:r>
        <w:t xml:space="preserve"> </w:t>
      </w:r>
      <w:r>
        <w:t xml:space="preserve">indipendente dal quadro articolare la si può trattare. Ma il documento dichiara che il quadro articolare è in attesa di inquadramento e</w:t>
      </w:r>
      <w:r>
        <w:t xml:space="preserve"> </w:t>
      </w:r>
      <w:r>
        <w:rPr>
          <w:b/>
          <w:bCs/>
        </w:rPr>
        <w:t xml:space="preserve">non è il bersaglio</w:t>
      </w:r>
      <w:r>
        <w:t xml:space="preserve">; e quel trattamento</w:t>
      </w:r>
      <w:r>
        <w:t xml:space="preserve"> </w:t>
      </w:r>
      <w:r>
        <w:rPr>
          <w:b/>
          <w:bCs/>
        </w:rPr>
        <w:t xml:space="preserve">non sospende, non rinvia e non sostituisce l’invio, e non si programma in modo da far slittare la visita.</w:t>
      </w:r>
      <w:r>
        <w:t xml:space="preserve"> </w:t>
      </w:r>
      <w:r>
        <w:t xml:space="preserve">Data dell’invio ed esito si scrivono in cartella prima di fissare qualunque seduta.</w:t>
      </w:r>
      <w:r>
        <w:t xml:space="preserve"> </w:t>
      </w:r>
      <w:r>
        <w:rPr>
          <w:b/>
          <w:bCs/>
        </w:rPr>
        <w:t xml:space="preserve">Su tutte le righe con tempistica «in giornata» o «urgente» non si tratta nulla, in nessun distretto, quel giorno.</w:t>
      </w:r>
    </w:p>
    <w:p>
      <w:pPr>
        <w:pStyle w:val="BodyText"/>
      </w:pPr>
      <w:r>
        <w:rPr>
          <w:b/>
          <w:bCs/>
        </w:rPr>
        <w:t xml:space="preserve">🟡 GIALLO — Si lavora, in parallelo.</w:t>
      </w:r>
      <w:r>
        <w:t xml:space="preserve"> </w:t>
      </w:r>
      <w:r>
        <w:t xml:space="preserve">Nessuna bandiera rossa, inquadramento assente o incompleto.</w:t>
      </w:r>
      <w:r>
        <w:t xml:space="preserve"> </w:t>
      </w:r>
      <w:r>
        <w:rPr>
          <w:b/>
          <w:bCs/>
        </w:rPr>
        <w:t xml:space="preserve">È la situazione più frequente, e non è un motivo per rimandare il paziente fuori.</w:t>
      </w:r>
      <w:r>
        <w:t xml:space="preserve"> </w:t>
      </w:r>
      <w:r>
        <w:t xml:space="preserve">Le condizioni sono quattro, tutte verificabili:</w:t>
      </w:r>
    </w:p>
    <w:p>
      <w:pPr>
        <w:pStyle w:val="Compact"/>
        <w:numPr>
          <w:ilvl w:val="0"/>
          <w:numId w:val="1021"/>
        </w:numPr>
      </w:pPr>
      <w:r>
        <w:rPr>
          <w:b/>
          <w:bCs/>
        </w:rPr>
        <w:t xml:space="preserve">Un reperto tuo, positivo e scritto in cartella:</w:t>
      </w:r>
      <w:r>
        <w:t xml:space="preserve"> </w:t>
      </w:r>
      <w:r>
        <w:t xml:space="preserve">l’escursione, il numero di alzate, la soglia. Non</w:t>
      </w:r>
      <w:r>
        <w:t xml:space="preserve"> </w:t>
      </w:r>
      <w:r>
        <w:t xml:space="preserve">“il paziente ha dolori articolari”</w:t>
      </w:r>
      <w:r>
        <w:t xml:space="preserve">.</w:t>
      </w:r>
    </w:p>
    <w:p>
      <w:pPr>
        <w:pStyle w:val="Compact"/>
        <w:numPr>
          <w:ilvl w:val="0"/>
          <w:numId w:val="1021"/>
        </w:numPr>
      </w:pPr>
      <w:r>
        <w:rPr>
          <w:b/>
          <w:bCs/>
        </w:rPr>
        <w:t xml:space="preserve">Il paziente sa cosa tratti e cosa no:</w:t>
      </w:r>
      <w:r>
        <w:t xml:space="preserve"> </w:t>
      </w:r>
      <w:r>
        <w:rPr>
          <w:i/>
          <w:iCs/>
        </w:rPr>
        <w:t xml:space="preserve">«io lavoro sulla componente meccanica che ho trovato. Il quadro articolare nel suo insieme va comunque inquadrato dal suo medico, e nel frattempo io non aspetto.»</w:t>
      </w:r>
    </w:p>
    <w:p>
      <w:pPr>
        <w:pStyle w:val="Compact"/>
        <w:numPr>
          <w:ilvl w:val="0"/>
          <w:numId w:val="1021"/>
        </w:numPr>
      </w:pPr>
      <w:r>
        <w:rPr>
          <w:b/>
          <w:bCs/>
        </w:rPr>
        <w:t xml:space="preserve">Canale medico attivato senza interrompere il lavoro</w:t>
      </w:r>
      <w:r>
        <w:t xml:space="preserve">, cioè una comunicazione scritta al curante e non un rinvio del paziente.</w:t>
      </w:r>
      <w:r>
        <w:t xml:space="preserve"> </w:t>
      </w:r>
      <w:r>
        <w:rPr>
          <w:i/>
          <w:iCs/>
        </w:rPr>
        <w:t xml:space="preserve">“Trattato per disfunzione somatica”</w:t>
      </w:r>
      <w:r>
        <w:t xml:space="preserve"> </w:t>
      </w:r>
      <w:r>
        <w:t xml:space="preserve">non è informazione. Quella lettera contiene quattro cose. Le misure con le loro unità. I farmaci,</w:t>
      </w:r>
      <w:r>
        <w:t xml:space="preserve"> </w:t>
      </w:r>
      <w:r>
        <w:rPr>
          <w:b/>
          <w:bCs/>
        </w:rPr>
        <w:t xml:space="preserve">compresi quelli comprati da sé, con dose e durata</w:t>
      </w:r>
      <w:r>
        <w:t xml:space="preserve">. Una eventuale caduta nell’ultimo anno. E la domanda a cui vuoi risposta.</w:t>
      </w:r>
    </w:p>
    <w:p>
      <w:pPr>
        <w:pStyle w:val="Compact"/>
        <w:numPr>
          <w:ilvl w:val="0"/>
          <w:numId w:val="1021"/>
        </w:numPr>
      </w:pPr>
      <w:r>
        <w:rPr>
          <w:b/>
          <w:bCs/>
        </w:rPr>
        <w:t xml:space="preserve">Tempo definito, contato in calendario e non in sedute.</w:t>
      </w:r>
      <w:r>
        <w:t xml:space="preserve"> </w:t>
      </w:r>
      <w:r>
        <w:t xml:space="preserve">La data della revisione si scrive in cartella il giorno in cui si apre il GIALLO, e cade</w:t>
      </w:r>
      <w:r>
        <w:t xml:space="preserve"> </w:t>
      </w:r>
      <w:r>
        <w:rPr>
          <w:b/>
          <w:bCs/>
        </w:rPr>
        <w:t xml:space="preserve">entro sei settimane</w:t>
      </w:r>
      <w:r>
        <w:t xml:space="preserve"> </w:t>
      </w:r>
      <w:r>
        <w:t xml:space="preserve">dalla prima seduta, qualunque sia il numero di sedute fatte. Il numero di sedute lo decide la Procedura; il tetto in settimane vive qui.</w:t>
      </w:r>
    </w:p>
    <w:p>
      <w:pPr>
        <w:pStyle w:val="FirstParagraph"/>
      </w:pPr>
      <w:r>
        <w:rPr>
          <w:b/>
          <w:bCs/>
        </w:rPr>
        <w:t xml:space="preserve">Se il tempo scade e il marker non si è mosso</w:t>
      </w:r>
      <w:r>
        <w:t xml:space="preserve">, non è una rinuncia: è un’informazione. Il tuo reperto non era quello che comandava, e la spinta sul canale medico da parallela diventa prioritaria.</w:t>
      </w:r>
    </w:p>
    <w:p>
      <w:pPr>
        <w:pStyle w:val="BodyText"/>
      </w:pPr>
      <w:r>
        <w:rPr>
          <w:b/>
          <w:bCs/>
        </w:rPr>
        <w:t xml:space="preserve">🟠 GIALLO prioritario — Si lavora, con due condizioni in più.</w:t>
      </w:r>
      <w:r>
        <w:t xml:space="preserve"> </w:t>
      </w:r>
      <w:r>
        <w:t xml:space="preserve">Riguarda farmaco sospetto, rigidità prolungata isolata, osso fragile noto o sospetto, storia oncologica remota con quadro stabile. Valgono tutte le condizioni del GIALLO, più</w:t>
      </w:r>
      <w:r>
        <w:t xml:space="preserve"> </w:t>
      </w:r>
      <w:r>
        <w:rPr>
          <w:b/>
          <w:bCs/>
        </w:rPr>
        <w:t xml:space="preserve">il canale medico attivato prima della prima seduta</w:t>
      </w:r>
      <w:r>
        <w:t xml:space="preserve"> </w:t>
      </w:r>
      <w:r>
        <w:t xml:space="preserve">e</w:t>
      </w:r>
      <w:r>
        <w:t xml:space="preserve"> </w:t>
      </w:r>
      <w:r>
        <w:rPr>
          <w:b/>
          <w:bCs/>
        </w:rPr>
        <w:t xml:space="preserve">la fragilità o il farmaco nominati in cartella</w:t>
      </w:r>
      <w:r>
        <w:t xml:space="preserve">. Il tetto di tempo si dimezza a tre settimane.</w:t>
      </w:r>
    </w:p>
    <w:p>
      <w:pPr>
        <w:pStyle w:val="BodyText"/>
      </w:pPr>
      <w:r>
        <w:rPr>
          <w:b/>
          <w:bCs/>
        </w:rPr>
        <w:t xml:space="preserve">🟢 VERDE — Si procede.</w:t>
      </w:r>
      <w:r>
        <w:t xml:space="preserve"> </w:t>
      </w:r>
      <w:r>
        <w:t xml:space="preserve">Nessuna bandiera rossa e una fra queste tre: quadro già valutato dal reumatologo in tempi recenti; accertamenti coerenti con un quadro meccanico; ciclo di terapia già in corso su indicazione medica.</w:t>
      </w:r>
    </w:p>
    <w:p>
      <w:pPr>
        <w:pStyle w:val="BodyText"/>
      </w:pPr>
      <w:r>
        <w:rPr>
          <w:b/>
          <w:bCs/>
        </w:rPr>
        <w:t xml:space="preserve">Perché quattro uscite e non due.</w:t>
      </w:r>
      <w:r>
        <w:t xml:space="preserve"> </w:t>
      </w:r>
      <w:r>
        <w:rPr>
          <w:b/>
          <w:bCs/>
        </w:rPr>
        <w:t xml:space="preserve">Un cancello che dichiara un requisito e poi viene aggirato vale meno di nessun cancello</w:t>
      </w:r>
      <w:r>
        <w:t xml:space="preserve">, perché fa credere che un controllo esista. Un cancello binario, su una condizione in cui l’inquadramento manca quasi sempre, viene disatteso il primo giorno. Il cancello di questo documento ne dichiara quattro perché dichiara</w:t>
      </w:r>
      <w:r>
        <w:t xml:space="preserve"> </w:t>
      </w:r>
      <w:r>
        <w:rPr>
          <w:b/>
          <w:bCs/>
        </w:rPr>
        <w:t xml:space="preserve">cosa fai davvero</w:t>
      </w:r>
      <w:r>
        <w:t xml:space="preserve"> </w:t>
      </w:r>
      <w:r>
        <w:t xml:space="preserve">in ciascuna, tiene il ROSSO rigido e senza eccezioni, e mette per iscritto le sole cose che rendono difendibile il GIALLO: il reperto tuo, il marker, il canale medico attivato, la data di revisione.</w:t>
      </w:r>
    </w:p>
    <w:p>
      <w:pPr>
        <w:pStyle w:val="BodyText"/>
      </w:pPr>
      <w:r>
        <w:rPr>
          <w:b/>
          <w:bCs/>
        </w:rPr>
        <w:t xml:space="preserve">La scadenza.</w:t>
      </w:r>
      <w:r>
        <w:t xml:space="preserve"> </w:t>
      </w:r>
      <w:r>
        <w:t xml:space="preserve">Qualunque sia l’uscita, l’inquadramento</w:t>
      </w:r>
      <w:r>
        <w:t xml:space="preserve"> </w:t>
      </w:r>
      <w:r>
        <w:rPr>
          <w:b/>
          <w:bCs/>
        </w:rPr>
        <w:t xml:space="preserve">decade</w:t>
      </w:r>
      <w:r>
        <w:t xml:space="preserve"> </w:t>
      </w:r>
      <w:r>
        <w:t xml:space="preserve">se il dolore cambia carattere, sede o intensità, e in particolare</w:t>
      </w:r>
      <w:r>
        <w:t xml:space="preserve"> </w:t>
      </w:r>
      <w:r>
        <w:rPr>
          <w:b/>
          <w:bCs/>
        </w:rPr>
        <w:t xml:space="preserve">se compare gonfiore o se la rigidità mattutina si allunga</w:t>
      </w:r>
      <w:r>
        <w:t xml:space="preserve">. Un quadro che cambia forma torna al triage, dall’inizio.</w:t>
      </w:r>
    </w:p>
    <w:bookmarkEnd w:id="45"/>
    <w:bookmarkStart w:id="46" w:name="X1ebe736069f9da408a6d755107cfd3601a3783b"/>
    <w:p>
      <w:pPr>
        <w:pStyle w:val="Heading3"/>
      </w:pPr>
      <w:r>
        <w:t xml:space="preserve">I farmaci e le cadute: cosa non fai, e cosa devi sapere</w:t>
      </w:r>
    </w:p>
    <w:p>
      <w:pPr>
        <w:pStyle w:val="FirstParagraph"/>
      </w:pPr>
      <w:r>
        <w:rPr>
          <w:b/>
          <w:bCs/>
        </w:rPr>
        <w:t xml:space="preserve">Sui farmaci non commenti, non valuti, non suggerisci di ridurre</w:t>
      </w:r>
      <w:r>
        <w:t xml:space="preserve"> </w:t>
      </w:r>
      <w:r>
        <w:t xml:space="preserve">— nemmeno in forma dubitativa, nemmeno quando il paziente sta meglio. Questo paziente è spesso in terapia antinfiammatoria continuativa da anni, e la decisione è di chi l’ha prescritta.</w:t>
      </w:r>
    </w:p>
    <w:p>
      <w:pPr>
        <w:pStyle w:val="BodyText"/>
      </w:pPr>
      <w:r>
        <w:rPr>
          <w:b/>
          <w:bCs/>
        </w:rPr>
        <w:t xml:space="preserve">Ma devi sapere cosa fanno, altrimenti non hai motivo di chiederlo.</w:t>
      </w:r>
      <w:r>
        <w:t xml:space="preserve"> </w:t>
      </w:r>
      <w:r>
        <w:t xml:space="preserve">Nell’anziano l’uso continuativo di antinfiammatori non steroidei aumenta il rischio su tre fronti insieme:</w:t>
      </w:r>
      <w:r>
        <w:t xml:space="preserve"> </w:t>
      </w:r>
      <w:r>
        <w:rPr>
          <w:b/>
          <w:bCs/>
        </w:rPr>
        <w:t xml:space="preserve">sanguinamento gastrico, danno renale ed eventi cardiovascolari.</w:t>
      </w:r>
      <w:r>
        <w:t xml:space="preserve"> </w:t>
      </w:r>
      <w:r>
        <w:t xml:space="preserve">La linea guida chiede dose minima efficace, ciclo più breve e gastroprotezione (Cadet &amp; Maheu,</w:t>
      </w:r>
      <w:r>
        <w:t xml:space="preserve"> </w:t>
      </w:r>
      <w:r>
        <w:rPr>
          <w:i/>
          <w:iCs/>
        </w:rPr>
        <w:t xml:space="preserve">Ther Adv Musculoskelet Dis</w:t>
      </w:r>
      <w:r>
        <w:t xml:space="preserve"> </w:t>
      </w:r>
      <w:r>
        <w:t xml:space="preserve">2021, PMID 34211591; NICE NG226).</w:t>
      </w:r>
      <w:r>
        <w:t xml:space="preserve"> </w:t>
      </w:r>
      <w:r>
        <w:rPr>
          <w:b/>
          <w:bCs/>
        </w:rPr>
        <w:t xml:space="preserve">Dose, durata e prescrittore si scrivono in cartella e finiscono nella lettera al curante</w:t>
      </w:r>
      <w:r>
        <w:t xml:space="preserve">, compreso quello che il paziente si è comprato da sé. Non è commentare una terapia: è consegnare al medico un dato che lui non ha.</w:t>
      </w:r>
    </w:p>
    <w:p>
      <w:pPr>
        <w:pStyle w:val="BodyText"/>
      </w:pPr>
      <w:r>
        <w:rPr>
          <w:b/>
          <w:bCs/>
        </w:rPr>
        <w:t xml:space="preserve">Le cadute sono l’esito che conta nel fragile</w:t>
      </w:r>
      <w:r>
        <w:t xml:space="preserve">, e vanno chieste. Cadute e quasi-cadute nell’ultimo anno entrano fra i dati di partenza e nella lettera. Il dato spinge a fare, non a fermarsi: negli anziani a domicilio l’esercizio</w:t>
      </w:r>
      <w:r>
        <w:t xml:space="preserve"> </w:t>
      </w:r>
      <w:r>
        <w:rPr>
          <w:b/>
          <w:bCs/>
        </w:rPr>
        <w:t xml:space="preserve">riduce</w:t>
      </w:r>
      <w:r>
        <w:t xml:space="preserve"> </w:t>
      </w:r>
      <w:r>
        <w:t xml:space="preserve">il tasso di cadute del 23%, con certezza dichiarata alta (Sherrington,</w:t>
      </w:r>
      <w:r>
        <w:t xml:space="preserve"> </w:t>
      </w:r>
      <w:r>
        <w:rPr>
          <w:i/>
          <w:iCs/>
        </w:rPr>
        <w:t xml:space="preserve">Cochrane Database Syst Rev</w:t>
      </w:r>
      <w:r>
        <w:t xml:space="preserve"> </w:t>
      </w:r>
      <w:r>
        <w:t xml:space="preserve">2019, PMID 30703272).</w:t>
      </w:r>
    </w:p>
    <w:bookmarkEnd w:id="46"/>
    <w:bookmarkStart w:id="47" w:name="X1ac5a1b3cdf7e22e51df529af64ae60c55cc369"/>
    <w:p>
      <w:pPr>
        <w:pStyle w:val="Heading3"/>
      </w:pPr>
      <w:r>
        <w:t xml:space="preserve">Cosa dichiari nel consenso, su questa condizione</w:t>
      </w:r>
    </w:p>
    <w:p>
      <w:pPr>
        <w:pStyle w:val="FirstParagraph"/>
      </w:pPr>
      <w:r>
        <w:t xml:space="preserve">Sono tre righe che qui aggiungi e che in un’altra Bibbia non scriveresti.</w:t>
      </w:r>
    </w:p>
    <w:p>
      <w:pPr>
        <w:pStyle w:val="BodyText"/>
      </w:pPr>
      <w:r>
        <w:t xml:space="preserve">Che l’oggetto del trattamento è la</w:t>
      </w:r>
      <w:r>
        <w:t xml:space="preserve"> </w:t>
      </w:r>
      <w:r>
        <w:rPr>
          <w:b/>
          <w:bCs/>
        </w:rPr>
        <w:t xml:space="preserve">componente meccanica documentata</w:t>
      </w:r>
      <w:r>
        <w:t xml:space="preserve"> </w:t>
      </w:r>
      <w:r>
        <w:t xml:space="preserve">— escursione, forza, tolleranza al carico — e non il quadro articolare né la sua causa. Che</w:t>
      </w:r>
      <w:r>
        <w:t xml:space="preserve"> </w:t>
      </w:r>
      <w:r>
        <w:rPr>
          <w:b/>
          <w:bCs/>
        </w:rPr>
        <w:t xml:space="preserve">il numero di sedi dolorose non è l’esito dichiarato</w:t>
      </w:r>
      <w:r>
        <w:t xml:space="preserve">: gli esiti sono l’escursione, il tempo su un compito e la soglia. Che</w:t>
      </w:r>
      <w:r>
        <w:t xml:space="preserve"> </w:t>
      </w:r>
      <w:r>
        <w:rPr>
          <w:b/>
          <w:bCs/>
        </w:rPr>
        <w:t xml:space="preserve">una forma infiammatoria non si esclude con l’esame manuale</w:t>
      </w:r>
      <w:r>
        <w:t xml:space="preserve">, e che il trattamento si affianca all’inquadramento medico senza sostituirlo.</w:t>
      </w:r>
    </w:p>
    <w:p>
      <w:pPr>
        <w:pStyle w:val="BodyText"/>
      </w:pPr>
      <w:r>
        <w:t xml:space="preserve">Il riferimento normativo è uno e sta in una riga:</w:t>
      </w:r>
      <w:r>
        <w:t xml:space="preserve"> </w:t>
      </w:r>
      <w:r>
        <w:rPr>
          <w:b/>
          <w:bCs/>
        </w:rPr>
        <w:t xml:space="preserve">l’art. 2 del DPR 131/2021</w:t>
      </w:r>
      <w:r>
        <w:t xml:space="preserve">, che inquadra l’osteopata come professionista sanitario operante in riferimento alla diagnosi di competenza medica, con tecniche esclusivamente manuali, non invasive ed esterne.</w:t>
      </w:r>
    </w:p>
    <w:bookmarkEnd w:id="47"/>
    <w:bookmarkStart w:id="48" w:name="il-confine-di-atto"/>
    <w:p>
      <w:pPr>
        <w:pStyle w:val="Heading3"/>
      </w:pPr>
      <w:r>
        <w:t xml:space="preserve">Il confine di atto</w:t>
      </w:r>
    </w:p>
    <w:p>
      <w:pPr>
        <w:pStyle w:val="FirstParagraph"/>
      </w:pPr>
      <w:r>
        <w:rPr>
          <w:b/>
          <w:bCs/>
        </w:rPr>
        <w:t xml:space="preserve">Il confine non è il gesto, è l’unità in cui scrivi l’esito.</w:t>
      </w:r>
      <w:r>
        <w:t xml:space="preserve"> </w:t>
      </w:r>
      <w:r>
        <w:t xml:space="preserve">Cronometrare la rigidità, contare le alzate, misurare la soglia sono atti tuoi, e il loro esito si scrive in minuti, alzate, kilopascal.</w:t>
      </w:r>
      <w:r>
        <w:t xml:space="preserve"> </w:t>
      </w:r>
      <w:r>
        <w:rPr>
          <w:b/>
          <w:bCs/>
        </w:rPr>
        <w:t xml:space="preserve">Dire che quei numeri escludono un’artrite, no:</w:t>
      </w:r>
      <w:r>
        <w:t xml:space="preserve"> </w:t>
      </w:r>
      <w:r>
        <w:t xml:space="preserve">l’esclusione si scrive in unità di laboratorio e di imaging, e quelle non sono nostre.</w:t>
      </w:r>
    </w:p>
    <w:p>
      <w:pPr>
        <w:pStyle w:val="BodyText"/>
      </w:pPr>
      <w:r>
        <w:rPr>
          <w:b/>
          <w:bCs/>
        </w:rPr>
        <w:t xml:space="preserve">Se sbagli campo</w:t>
      </w:r>
      <w:r>
        <w:t xml:space="preserve"> </w:t>
      </w:r>
      <w:r>
        <w:t xml:space="preserve">— se tieni in studio per sei settimane un quadro infiammatorio all’esordio — il danno non è al tuo perimetro. È alla finestra terapeutica di quel paziente, e quella finestra si chiude.</w:t>
      </w:r>
    </w:p>
    <w:p>
      <w:pPr>
        <w:pStyle w:val="BodyText"/>
      </w:pPr>
      <w:r>
        <w:rPr>
          <w:b/>
          <w:bCs/>
        </w:rPr>
        <w:t xml:space="preserve">Le tre cose da ricordare, più una</w:t>
      </w:r>
    </w:p>
    <w:p>
      <w:pPr>
        <w:pStyle w:val="Compact"/>
        <w:numPr>
          <w:ilvl w:val="0"/>
          <w:numId w:val="1022"/>
        </w:numPr>
      </w:pPr>
      <w:r>
        <w:t xml:space="preserve">Gonfiore, durata della rigidità e uno sguardo a unghie e talloni: a ogni primo colloquio.</w:t>
      </w:r>
    </w:p>
    <w:p>
      <w:pPr>
        <w:pStyle w:val="Compact"/>
        <w:numPr>
          <w:ilvl w:val="0"/>
          <w:numId w:val="1022"/>
        </w:numPr>
      </w:pPr>
      <w:r>
        <w:t xml:space="preserve">Il GIALLO si conta in calendario, non in sedute: sei settimane, tre se è prioritario.</w:t>
      </w:r>
    </w:p>
    <w:p>
      <w:pPr>
        <w:pStyle w:val="Compact"/>
        <w:numPr>
          <w:ilvl w:val="0"/>
          <w:numId w:val="1022"/>
        </w:numPr>
      </w:pPr>
      <w:r>
        <w:t xml:space="preserve">L’esito si scrive nell’unità del tuo marker, mai nell’unità della diagnosi.</w:t>
      </w:r>
    </w:p>
    <w:p>
      <w:pPr>
        <w:pStyle w:val="Compact"/>
        <w:numPr>
          <w:ilvl w:val="0"/>
          <w:numId w:val="1022"/>
        </w:numPr>
      </w:pPr>
      <w:r>
        <w:rPr>
          <w:b/>
          <w:bCs/>
        </w:rPr>
        <w:t xml:space="preserve">Perché ci sei tu.</w:t>
      </w:r>
      <w:r>
        <w:t xml:space="preserve"> </w:t>
      </w:r>
      <w:r>
        <w:t xml:space="preserve">L’obiettivo delle sei settimane per chi ha gonfiore articolare con dolore o rigidità, e la ragione misurata che lo regge (Combe, PMID 27979873; Nell, PMID 15113999 — per esteso nella lettura estesa di quella riga).</w:t>
      </w:r>
      <w:r>
        <w:t xml:space="preserve"> </w:t>
      </w:r>
      <w:r>
        <w:rPr>
          <w:b/>
          <w:bCs/>
        </w:rPr>
        <w:t xml:space="preserve">Per te:</w:t>
      </w:r>
      <w:r>
        <w:t xml:space="preserve"> </w:t>
      </w:r>
      <w:r>
        <w:t xml:space="preserve">su una parte dei pazienti che ti siedono davanti non ci sei — e sei però la persona che li vede per prima, spesso settimane prima del reumatologo. Ti autorizza a riconoscerli e a mandarli, oggi e per iscritto. Non ti autorizza a trattarli in parallelo</w:t>
      </w:r>
      <w:r>
        <w:t xml:space="preserve"> </w:t>
      </w:r>
      <w:r>
        <w:t xml:space="preserve">“intanto che aspettano”</w:t>
      </w:r>
      <w:r>
        <w:t xml:space="preserve">: lì il tempo è la terapia, e occuparne una parte è un danno.</w:t>
      </w:r>
    </w:p>
    <w:p>
      <w:r>
        <w:pict>
          <v:rect style="width:0;height:1.5pt" o:hralign="center" o:hrstd="t" o:hr="t"/>
        </w:pict>
      </w:r>
    </w:p>
    <w:bookmarkEnd w:id="48"/>
    <w:bookmarkEnd w:id="49"/>
    <w:bookmarkStart w:id="55" w:name="capitolo-10-cosa-dice-la-scienza"/>
    <w:p>
      <w:pPr>
        <w:pStyle w:val="Heading2"/>
      </w:pPr>
      <w:r>
        <w:t xml:space="preserve">Capitolo 10 — Cosa dice la scienza</w:t>
      </w:r>
    </w:p>
    <w:p>
      <w:pPr>
        <w:pStyle w:val="BlockText"/>
      </w:pPr>
      <w:r>
        <w:rPr>
          <w:b/>
          <w:bCs/>
        </w:rPr>
        <w:t xml:space="preserve">In una riga:</w:t>
      </w:r>
      <w:r>
        <w:t xml:space="preserve"> </w:t>
      </w:r>
      <w:r>
        <w:t xml:space="preserve">sulla fisiopatologia del dolore articolare multisede le prove sono ottime, sull’intervento manuale su</w:t>
      </w:r>
      <w:r>
        <w:t xml:space="preserve"> </w:t>
      </w:r>
      <w:r>
        <w:rPr>
          <w:b/>
          <w:bCs/>
        </w:rPr>
        <w:t xml:space="preserve">questa</w:t>
      </w:r>
      <w:r>
        <w:t xml:space="preserve"> </w:t>
      </w:r>
      <w:r>
        <w:t xml:space="preserve">presentazione non esistono, e le due cose vanno dette nella stessa riga.</w:t>
      </w:r>
    </w:p>
    <w:bookmarkStart w:id="50" w:name="le-due-ancore"/>
    <w:p>
      <w:pPr>
        <w:pStyle w:val="Heading3"/>
      </w:pPr>
      <w:r>
        <w:t xml:space="preserve">Le due ancore</w:t>
      </w:r>
    </w:p>
    <w:p>
      <w:pPr>
        <w:pStyle w:val="FirstParagraph"/>
      </w:pPr>
      <w:r>
        <w:rPr>
          <w:b/>
          <w:bCs/>
        </w:rPr>
        <w:t xml:space="preserve">L’ancora clinica è Krysia Dziedzic</w:t>
      </w:r>
      <w:r>
        <w:t xml:space="preserve">, Keele University. Ha misurato la prevalenza del dolore articolare multisede nella medicina di base. E ha testato se una consultazione costruita sulla linea guida cambiasse la funzione di questi pazienti (numeri in «Come si usa questa Bibbia»). Il suo contributo non è aver dimostrato che funziona: è aver pubblicato il risultato scomodo.</w:t>
      </w:r>
    </w:p>
    <w:p>
      <w:pPr>
        <w:pStyle w:val="BodyText"/>
      </w:pPr>
      <w:r>
        <w:rPr>
          <w:b/>
          <w:bCs/>
        </w:rPr>
        <w:t xml:space="preserve">L’ancora fisiologica è Lars Arendt-Nielsen</w:t>
      </w:r>
      <w:r>
        <w:t xml:space="preserve">, Aalborg University. Ha stabilito, misurando, che nel dolore articolare cronico la soglia scende anche lontano dall’articolazione malata (numeri nel meccanismo 1).</w:t>
      </w:r>
    </w:p>
    <w:p>
      <w:pPr>
        <w:pStyle w:val="BodyText"/>
      </w:pPr>
      <w:r>
        <w:rPr>
          <w:b/>
          <w:bCs/>
        </w:rPr>
        <w:t xml:space="preserve">Qui la fisiopatologia è molto più solida dell’intervento manuale, ed è più onesto dichiararlo che gonfiare.</w:t>
      </w:r>
    </w:p>
    <w:bookmarkEnd w:id="50"/>
    <w:bookmarkStart w:id="51" w:name="gli-studi-cardine"/>
    <w:p>
      <w:pPr>
        <w:pStyle w:val="Heading3"/>
      </w:pPr>
      <w:r>
        <w:t xml:space="preserve">Gli studi cardine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Autore, anno (PMID)</w:t>
            </w:r>
          </w:p>
        </w:tc>
        <w:tc>
          <w:tcPr/>
          <w:p>
            <w:pPr>
              <w:pStyle w:val="Compact"/>
            </w:pPr>
            <w:r>
              <w:t xml:space="preserve">Cosa ha misurato</w:t>
            </w:r>
          </w:p>
        </w:tc>
        <w:tc>
          <w:tcPr/>
          <w:p>
            <w:pPr>
              <w:pStyle w:val="Compact"/>
            </w:pPr>
            <w:r>
              <w:t xml:space="preserve">Cosa ti autorizza a fare</w:t>
            </w:r>
          </w:p>
        </w:tc>
      </w:tr>
      <w:tr>
        <w:tc>
          <w:tcPr/>
          <w:p>
            <w:pPr>
              <w:pStyle w:val="Compact"/>
            </w:pPr>
            <w:r>
              <w:t xml:space="preserve">Finney 2017 (29246141)</w:t>
            </w:r>
          </w:p>
        </w:tc>
        <w:tc>
          <w:tcPr/>
          <w:p>
            <w:pPr>
              <w:pStyle w:val="Compact"/>
            </w:pPr>
            <w:r>
              <w:t xml:space="preserve">Prevalenza multisede, 15.083 adulti</w:t>
            </w:r>
          </w:p>
        </w:tc>
        <w:tc>
          <w:tcPr/>
          <w:p>
            <w:pPr>
              <w:pStyle w:val="Compact"/>
            </w:pPr>
            <w:r>
              <w:t xml:space="preserve">Contare le sedi in cartella</w:t>
            </w:r>
          </w:p>
        </w:tc>
      </w:tr>
      <w:tr>
        <w:tc>
          <w:tcPr/>
          <w:p>
            <w:pPr>
              <w:pStyle w:val="Compact"/>
            </w:pPr>
            <w:r>
              <w:t xml:space="preserve">Kamaleri 2009 (18977088)</w:t>
            </w:r>
          </w:p>
        </w:tc>
        <w:tc>
          <w:tcPr/>
          <w:p>
            <w:pPr>
              <w:pStyle w:val="Compact"/>
            </w:pPr>
            <w:r>
              <w:t xml:space="preserve">Numero di sedi a 14 anni</w:t>
            </w:r>
          </w:p>
        </w:tc>
        <w:tc>
          <w:tcPr/>
          <w:p>
            <w:pPr>
              <w:pStyle w:val="Compact"/>
            </w:pPr>
            <w:r>
              <w:t xml:space="preserve">Non promettere né peggioramento né guarigione</w:t>
            </w:r>
          </w:p>
        </w:tc>
      </w:tr>
      <w:tr>
        <w:tc>
          <w:tcPr/>
          <w:p>
            <w:pPr>
              <w:pStyle w:val="Compact"/>
            </w:pPr>
            <w:r>
              <w:t xml:space="preserve">Lacey 2014 (24925881)</w:t>
            </w:r>
          </w:p>
        </w:tc>
        <w:tc>
          <w:tcPr/>
          <w:p>
            <w:pPr>
              <w:pStyle w:val="Compact"/>
            </w:pPr>
            <w:r>
              <w:t xml:space="preserve">Sedi e qualità di vita, 12.408 adulti</w:t>
            </w:r>
          </w:p>
        </w:tc>
        <w:tc>
          <w:tcPr/>
          <w:p>
            <w:pPr>
              <w:pStyle w:val="Compact"/>
            </w:pPr>
            <w:r>
              <w:t xml:space="preserve">Usare il conteggio come misura</w:t>
            </w:r>
          </w:p>
        </w:tc>
      </w:tr>
      <w:tr>
        <w:tc>
          <w:tcPr/>
          <w:p>
            <w:pPr>
              <w:pStyle w:val="Compact"/>
            </w:pPr>
            <w:r>
              <w:t xml:space="preserve">Arendt-Nielsen 2010 (20418016)</w:t>
            </w:r>
          </w:p>
        </w:tc>
        <w:tc>
          <w:tcPr/>
          <w:p>
            <w:pPr>
              <w:pStyle w:val="Compact"/>
            </w:pPr>
            <w:r>
              <w:t xml:space="preserve">Soglie a distanza, 48 pazienti</w:t>
            </w:r>
          </w:p>
        </w:tc>
        <w:tc>
          <w:tcPr/>
          <w:p>
            <w:pPr>
              <w:pStyle w:val="Compact"/>
            </w:pPr>
            <w:r>
              <w:t xml:space="preserve">Misurare la soglia su sito remoto</w:t>
            </w:r>
          </w:p>
        </w:tc>
      </w:tr>
      <w:tr>
        <w:tc>
          <w:tcPr/>
          <w:p>
            <w:pPr>
              <w:pStyle w:val="Compact"/>
            </w:pPr>
            <w:r>
              <w:t xml:space="preserve">Dziedzic 2018 (29037845)</w:t>
            </w:r>
          </w:p>
        </w:tc>
        <w:tc>
          <w:tcPr/>
          <w:p>
            <w:pPr>
              <w:pStyle w:val="Compact"/>
            </w:pPr>
            <w:r>
              <w:t xml:space="preserve">Consultazione modello, 525 adulti</w:t>
            </w:r>
          </w:p>
        </w:tc>
        <w:tc>
          <w:tcPr/>
          <w:p>
            <w:pPr>
              <w:pStyle w:val="Compact"/>
            </w:pPr>
            <w:r>
              <w:t xml:space="preserve">Contenere le attese sull’informazione</w:t>
            </w:r>
          </w:p>
        </w:tc>
      </w:tr>
      <w:tr>
        <w:tc>
          <w:tcPr/>
          <w:p>
            <w:pPr>
              <w:pStyle w:val="Compact"/>
            </w:pPr>
            <w:r>
              <w:t xml:space="preserve">Lawford 2024 (39625083)</w:t>
            </w:r>
          </w:p>
        </w:tc>
        <w:tc>
          <w:tcPr/>
          <w:p>
            <w:pPr>
              <w:pStyle w:val="Compact"/>
            </w:pPr>
            <w:r>
              <w:t xml:space="preserve">Esercizio, 139 studi, ginocchio</w:t>
            </w:r>
          </w:p>
        </w:tc>
        <w:tc>
          <w:tcPr/>
          <w:p>
            <w:pPr>
              <w:pStyle w:val="Compact"/>
            </w:pPr>
            <w:r>
              <w:t xml:space="preserve">Mettere l’esercizio al centro</w:t>
            </w:r>
          </w:p>
        </w:tc>
      </w:tr>
      <w:tr>
        <w:tc>
          <w:tcPr/>
          <w:p>
            <w:pPr>
              <w:pStyle w:val="Compact"/>
            </w:pPr>
            <w:r>
              <w:t xml:space="preserve">Hall 2026 (42486497)</w:t>
            </w:r>
          </w:p>
        </w:tc>
        <w:tc>
          <w:tcPr/>
          <w:p>
            <w:pPr>
              <w:pStyle w:val="Compact"/>
            </w:pPr>
            <w:r>
              <w:t xml:space="preserve">Esercizio, 18 studi, anca</w:t>
            </w:r>
          </w:p>
        </w:tc>
        <w:tc>
          <w:tcPr/>
          <w:p>
            <w:pPr>
              <w:pStyle w:val="Compact"/>
            </w:pPr>
            <w:r>
              <w:t xml:space="preserve">Dichiarare che sull’anca rende meno</w:t>
            </w:r>
          </w:p>
        </w:tc>
      </w:tr>
      <w:tr>
        <w:tc>
          <w:tcPr/>
          <w:p>
            <w:pPr>
              <w:pStyle w:val="Compact"/>
            </w:pPr>
            <w:r>
              <w:t xml:space="preserve">Østerås 2017 (29032354)</w:t>
            </w:r>
          </w:p>
        </w:tc>
        <w:tc>
          <w:tcPr/>
          <w:p>
            <w:pPr>
              <w:pStyle w:val="Compact"/>
            </w:pPr>
            <w:r>
              <w:t xml:space="preserve">Esercizio, mano</w:t>
            </w:r>
          </w:p>
        </w:tc>
        <w:tc>
          <w:tcPr/>
          <w:p>
            <w:pPr>
              <w:pStyle w:val="Compact"/>
            </w:pPr>
            <w:r>
              <w:t xml:space="preserve">Estendere la leva attiva alle mani</w:t>
            </w:r>
          </w:p>
        </w:tc>
      </w:tr>
      <w:tr>
        <w:tc>
          <w:tcPr/>
          <w:p>
            <w:pPr>
              <w:pStyle w:val="Compact"/>
            </w:pPr>
            <w:r>
              <w:t xml:space="preserve">Vancampfort 2024 (38484833)</w:t>
            </w:r>
          </w:p>
        </w:tc>
        <w:tc>
          <w:tcPr/>
          <w:p>
            <w:pPr>
              <w:pStyle w:val="Compact"/>
            </w:pPr>
            <w:r>
              <w:t xml:space="preserve">Abbandono, 209 studi</w:t>
            </w:r>
          </w:p>
        </w:tc>
        <w:tc>
          <w:tcPr/>
          <w:p>
            <w:pPr>
              <w:pStyle w:val="Compact"/>
            </w:pPr>
            <w:r>
              <w:t xml:space="preserve">Misurare il valore dell’accompagnamento</w:t>
            </w:r>
          </w:p>
        </w:tc>
      </w:tr>
      <w:tr>
        <w:tc>
          <w:tcPr/>
          <w:p>
            <w:pPr>
              <w:pStyle w:val="Compact"/>
            </w:pPr>
            <w:r>
              <w:t xml:space="preserve">Courtney 2016 (26721229)</w:t>
            </w:r>
          </w:p>
        </w:tc>
        <w:tc>
          <w:tcPr/>
          <w:p>
            <w:pPr>
              <w:pStyle w:val="Compact"/>
            </w:pPr>
            <w:r>
              <w:t xml:space="preserve">Mobilizzazione e modulazione</w:t>
            </w:r>
          </w:p>
        </w:tc>
        <w:tc>
          <w:tcPr/>
          <w:p>
            <w:pPr>
              <w:pStyle w:val="Compact"/>
            </w:pPr>
            <w:r>
              <w:t xml:space="preserve">Attendersi un’ipoalgesia immediata, e misurarla</w:t>
            </w:r>
          </w:p>
        </w:tc>
      </w:tr>
      <w:tr>
        <w:tc>
          <w:tcPr/>
          <w:p>
            <w:pPr>
              <w:pStyle w:val="Compact"/>
            </w:pPr>
            <w:r>
              <w:t xml:space="preserve">French 2011 (21146444)</w:t>
            </w:r>
          </w:p>
        </w:tc>
        <w:tc>
          <w:tcPr/>
          <w:p>
            <w:pPr>
              <w:pStyle w:val="Compact"/>
            </w:pPr>
            <w:r>
              <w:t xml:space="preserve">Terapia manuale, 4 studi</w:t>
            </w:r>
          </w:p>
        </w:tc>
        <w:tc>
          <w:tcPr/>
          <w:p>
            <w:pPr>
              <w:pStyle w:val="Compact"/>
            </w:pPr>
            <w:r>
              <w:t xml:space="preserve">Dichiarare quanto poco si sa</w:t>
            </w:r>
          </w:p>
        </w:tc>
      </w:tr>
      <w:tr>
        <w:tc>
          <w:tcPr/>
          <w:p>
            <w:pPr>
              <w:pStyle w:val="Compact"/>
            </w:pPr>
            <w:r>
              <w:t xml:space="preserve">Zou 2016 (26882927)</w:t>
            </w:r>
          </w:p>
        </w:tc>
        <w:tc>
          <w:tcPr/>
          <w:p>
            <w:pPr>
              <w:pStyle w:val="Compact"/>
            </w:pPr>
            <w:r>
              <w:t xml:space="preserve">Quota contestuale, 215 trial</w:t>
            </w:r>
          </w:p>
        </w:tc>
        <w:tc>
          <w:tcPr/>
          <w:p>
            <w:pPr>
              <w:pStyle w:val="Compact"/>
            </w:pPr>
            <w:r>
              <w:t xml:space="preserve">Scontare il proprio risultato prima di attribuirselo</w:t>
            </w:r>
          </w:p>
        </w:tc>
      </w:tr>
    </w:tbl>
    <w:p>
      <w:pPr>
        <w:pStyle w:val="BodyText"/>
      </w:pPr>
      <w:r>
        <w:rPr>
          <w:b/>
          <w:bCs/>
        </w:rPr>
        <w:t xml:space="preserve">I limiti dello studio dell’ancora clinica:</w:t>
      </w:r>
      <w:r>
        <w:t xml:space="preserve"> </w:t>
      </w:r>
      <w:r>
        <w:t xml:space="preserve">è pragmatico, l’esito primario è generico, e sei mesi possono essere pochi per una misura così larga. Resta il dato più pertinente sul percorso in cui questi pazienti vivono.</w:t>
      </w:r>
    </w:p>
    <w:bookmarkEnd w:id="51"/>
    <w:bookmarkStart w:id="52" w:name="i-tre-cerchi"/>
    <w:p>
      <w:pPr>
        <w:pStyle w:val="Heading3"/>
      </w:pPr>
      <w:r>
        <w:t xml:space="preserve">I tre cerchi</w:t>
      </w:r>
    </w:p>
    <w:p>
      <w:pPr>
        <w:pStyle w:val="FirstParagraph"/>
      </w:pPr>
      <w:r>
        <w:rPr>
          <w:b/>
          <w:bCs/>
        </w:rPr>
        <w:t xml:space="preserve">Come si legge questa sezione.</w:t>
      </w:r>
      <w:r>
        <w:t xml:space="preserve"> </w:t>
      </w:r>
      <w:r>
        <w:t xml:space="preserve">Ogni fonte ha un capitolo proprietario dove sta per esteso: le mani in «Perché le mani possono cambiare qualcosa», la parte attiva in «Cosa può fare il paziente da solo», i meccanismi in «Cosa si rompe». Qui si dichiara</w:t>
      </w:r>
      <w:r>
        <w:t xml:space="preserve"> </w:t>
      </w:r>
      <w:r>
        <w:rPr>
          <w:b/>
          <w:bCs/>
        </w:rPr>
        <w:t xml:space="preserve">in quale cerchio cade e che limite porta</w:t>
      </w:r>
      <w:r>
        <w:t xml:space="preserve">, non si riespone lo studio.</w:t>
      </w:r>
    </w:p>
    <w:p>
      <w:pPr>
        <w:pStyle w:val="BodyText"/>
      </w:pPr>
      <w:r>
        <w:rPr>
          <w:b/>
          <w:bCs/>
        </w:rPr>
        <w:t xml:space="preserve">Cerchio 1 — le prove specifiche.</w:t>
      </w:r>
      <w:r>
        <w:t xml:space="preserve"> </w:t>
      </w:r>
      <w:r>
        <w:t xml:space="preserve">Gli oggetti sono due, e hanno stati opposti. Sul</w:t>
      </w:r>
      <w:r>
        <w:t xml:space="preserve"> </w:t>
      </w:r>
      <w:r>
        <w:rPr>
          <w:b/>
          <w:bCs/>
        </w:rPr>
        <w:t xml:space="preserve">dolore articolare multisede come oggetto</w:t>
      </w:r>
      <w:r>
        <w:t xml:space="preserve">, le prove descrittive sono ricche e quelle di</w:t>
      </w:r>
      <w:r>
        <w:t xml:space="preserve"> </w:t>
      </w:r>
      <w:r>
        <w:rPr>
          <w:b/>
          <w:bCs/>
        </w:rPr>
        <w:t xml:space="preserve">intervento manuale quasi assenti</w:t>
      </w:r>
      <w:r>
        <w:t xml:space="preserve">: gli studi controllati arruolano</w:t>
      </w:r>
      <w:r>
        <w:t xml:space="preserve"> </w:t>
      </w:r>
      <w:r>
        <w:rPr>
          <w:b/>
          <w:bCs/>
        </w:rPr>
        <w:t xml:space="preserve">una sede alla volta</w:t>
      </w:r>
      <w:r>
        <w:t xml:space="preserve">, e nessuno di quelli trovati prende il dolore articolare in più sedi come popolazione.</w:t>
      </w:r>
      <w:r>
        <w:t xml:space="preserve"> </w:t>
      </w:r>
      <w:r>
        <w:rPr>
          <w:b/>
          <w:bCs/>
        </w:rPr>
        <w:t xml:space="preserve">Dire perché una letteratura non conta regge più che dire che non esiste:</w:t>
      </w:r>
      <w:r>
        <w:t xml:space="preserve"> </w:t>
      </w:r>
      <w:r>
        <w:t xml:space="preserve">un assoluto sullo stato della letteratura è l’unica affermazione che una singola ricerca su PubMed può smentire, e smentirne uno metterebbe in dubbio tutte le altre etichette che hai letto fin qui.</w:t>
      </w:r>
    </w:p>
    <w:p>
      <w:pPr>
        <w:pStyle w:val="BodyText"/>
      </w:pPr>
      <w:r>
        <w:t xml:space="preserve">Sulle</w:t>
      </w:r>
      <w:r>
        <w:t xml:space="preserve"> </w:t>
      </w:r>
      <w:r>
        <w:rPr>
          <w:b/>
          <w:bCs/>
        </w:rPr>
        <w:t xml:space="preserve">singole sedi</w:t>
      </w:r>
      <w:r>
        <w:t xml:space="preserve"> </w:t>
      </w:r>
      <w:r>
        <w:t xml:space="preserve">il cerchio 1 è pieno: revisioni Cochrane su ginocchio (Lawford, PMID 39625083), anca (Hall, PMID 42486497) e mano (Østerås, PMID 29032354), per esteso nel capitolo della parte attiva. Sulla terapia manuale ci sono quattro studi e 280 soggetti, con prove dichiarate inconcludenti (French,</w:t>
      </w:r>
      <w:r>
        <w:t xml:space="preserve"> </w:t>
      </w:r>
      <w:r>
        <w:rPr>
          <w:i/>
          <w:iCs/>
        </w:rPr>
        <w:t xml:space="preserve">Man Ther</w:t>
      </w:r>
      <w:r>
        <w:t xml:space="preserve"> </w:t>
      </w:r>
      <w:r>
        <w:t xml:space="preserve">2011, PMID 21146444). Il randomizzato più forte a favore è nell’artrosi d’anca (Hoeksma, PMID 15478147 — nel capitolo delle mani).</w:t>
      </w:r>
    </w:p>
    <w:p>
      <w:pPr>
        <w:pStyle w:val="BodyText"/>
      </w:pPr>
      <w:r>
        <w:t xml:space="preserve">Lo studio più diretto sull’osteopatia — osteopatia più esercizio contro solo esercizio, 100 pazienti con artrosi bilaterale di ginocchio — è a favore del primo. Ma è monocentrico, in cieco solo sul valutatore, con follow-up di quattro settimane, e</w:t>
      </w:r>
      <w:r>
        <w:t xml:space="preserve"> </w:t>
      </w:r>
      <w:r>
        <w:rPr>
          <w:b/>
          <w:bCs/>
        </w:rPr>
        <w:t xml:space="preserve">senza contatto manuale simulato nel braccio di controllo</w:t>
      </w:r>
      <w:r>
        <w:t xml:space="preserve"> </w:t>
      </w:r>
      <w:r>
        <w:t xml:space="preserve">(Altınbilek,</w:t>
      </w:r>
      <w:r>
        <w:t xml:space="preserve"> </w:t>
      </w:r>
      <w:r>
        <w:rPr>
          <w:i/>
          <w:iCs/>
        </w:rPr>
        <w:t xml:space="preserve">Turk J Phys Med Rehabil</w:t>
      </w:r>
      <w:r>
        <w:t xml:space="preserve"> </w:t>
      </w:r>
      <w:r>
        <w:t xml:space="preserve">2018, PMID 31453500).</w:t>
      </w:r>
    </w:p>
    <w:p>
      <w:pPr>
        <w:pStyle w:val="BodyText"/>
      </w:pPr>
      <w:r>
        <w:rPr>
          <w:b/>
          <w:bCs/>
        </w:rPr>
        <w:t xml:space="preserve">Cerchio 2 — le prove trasversali sul meccanismo</w:t>
      </w:r>
      <w:r>
        <w:t xml:space="preserve">, ciascuna con il suo limite.</w:t>
      </w:r>
    </w:p>
    <w:p>
      <w:pPr>
        <w:pStyle w:val="BodyText"/>
      </w:pPr>
      <w:r>
        <w:t xml:space="preserve">Sull’input meccanico manuale e la soglia di pressione, anche in siti remoti (Coronado, PMID 22296867; Courtney, PMID 26721229 — per esteso, con la frase-ponte, nel capitolo delle mani).</w:t>
      </w:r>
    </w:p>
    <w:p>
      <w:pPr>
        <w:pStyle w:val="BodyText"/>
      </w:pPr>
      <w:r>
        <w:t xml:space="preserve">Sul sonno, la privazione peggiora la modulazione condizionata, e a perdere il freno discendente è il sonno</w:t>
      </w:r>
      <w:r>
        <w:t xml:space="preserve"> </w:t>
      </w:r>
      <w:r>
        <w:rPr>
          <w:b/>
          <w:bCs/>
        </w:rPr>
        <w:t xml:space="preserve">interrotto</w:t>
      </w:r>
      <w:r>
        <w:t xml:space="preserve"> </w:t>
      </w:r>
      <w:r>
        <w:t xml:space="preserve">più di quello accorciato (Staffe, PMID 31800612; Smith MT, PMID 17520794):</w:t>
      </w:r>
      <w:r>
        <w:t xml:space="preserve"> </w:t>
      </w:r>
      <w:r>
        <w:rPr>
          <w:b/>
          <w:bCs/>
        </w:rPr>
        <w:t xml:space="preserve">misurato su volontari sani in laboratorio, e come danno della privazione, non come guadagno del recupero.</w:t>
      </w:r>
    </w:p>
    <w:p>
      <w:pPr>
        <w:pStyle w:val="BodyText"/>
      </w:pPr>
      <w:r>
        <w:t xml:space="preserve">Sulla relazione, l’alleanza predice tutti gli esiti a otto settimane in 182 pazienti con lombalgia cronica (Ferreira PH, PMID 23139428):</w:t>
      </w:r>
      <w:r>
        <w:t xml:space="preserve"> </w:t>
      </w:r>
      <w:r>
        <w:rPr>
          <w:b/>
          <w:bCs/>
        </w:rPr>
        <w:t xml:space="preserve">misurato su un’altra popolazione, con un altro erogatore, e come associazione dentro un randomizzato, non come effetto randomizzato dell’alleanza.</w:t>
      </w:r>
    </w:p>
    <w:p>
      <w:pPr>
        <w:pStyle w:val="BodyText"/>
      </w:pPr>
      <w:r>
        <w:t xml:space="preserve">Sul versante autonomico e psicologico c’è una meta-analisi più ampia sugli interventi osteopatici manuali, su 20 studi randomizzati.</w:t>
      </w:r>
      <w:r>
        <w:t xml:space="preserve"> </w:t>
      </w:r>
      <w:r>
        <w:rPr>
          <w:b/>
          <w:bCs/>
        </w:rPr>
        <w:t xml:space="preserve">Non trova effetto su ansia e stress, trova una riduzione della depressione</w:t>
      </w:r>
      <w:r>
        <w:t xml:space="preserve"> </w:t>
      </w:r>
      <w:r>
        <w:t xml:space="preserve">(−0,47; −0,86 / −0,09; −0,61 nelle popolazioni con dolore) e</w:t>
      </w:r>
      <w:r>
        <w:t xml:space="preserve"> </w:t>
      </w:r>
      <w:r>
        <w:rPr>
          <w:b/>
          <w:bCs/>
        </w:rPr>
        <w:t xml:space="preserve">un aumento della conduttanza cutanea</w:t>
      </w:r>
      <w:r>
        <w:t xml:space="preserve"> </w:t>
      </w:r>
      <w:r>
        <w:t xml:space="preserve">(0,67), cioè un movimento verso più attivazione simpatica e non meno (Gordon, PMID 39920074):</w:t>
      </w:r>
      <w:r>
        <w:t xml:space="preserve"> </w:t>
      </w:r>
      <w:r>
        <w:rPr>
          <w:b/>
          <w:bCs/>
        </w:rPr>
        <w:t xml:space="preserve">misurato su popolazioni miste con dolore e su esiti psicologici, non su pazienti multisede e non su un esito articolare.</w:t>
      </w:r>
      <w:r>
        <w:t xml:space="preserve"> </w:t>
      </w:r>
      <w:r>
        <w:t xml:space="preserve">La sintesi sui marcatori autonomici dopo lavoro toracico — 20 studi e 863 partecipanti — non trova effetto significativo e dichiara ambigua la direzione (Hansen, PMID 40232939):</w:t>
      </w:r>
      <w:r>
        <w:t xml:space="preserve"> </w:t>
      </w:r>
      <w:r>
        <w:rPr>
          <w:b/>
          <w:bCs/>
        </w:rPr>
        <w:t xml:space="preserve">misurato su popolazioni sintomatiche generiche, non su questi pazienti.</w:t>
      </w:r>
    </w:p>
    <w:p>
      <w:pPr>
        <w:pStyle w:val="BodyText"/>
      </w:pPr>
      <w:r>
        <w:t xml:space="preserve">Sulla componente non specifica sono stati esaminati 215 studi controllati e oltre quarantamila partecipanti. Circa</w:t>
      </w:r>
      <w:r>
        <w:t xml:space="preserve"> </w:t>
      </w:r>
      <w:r>
        <w:rPr>
          <w:b/>
          <w:bCs/>
        </w:rPr>
        <w:t xml:space="preserve">tre quarti</w:t>
      </w:r>
      <w:r>
        <w:t xml:space="preserve"> </w:t>
      </w:r>
      <w:r>
        <w:t xml:space="preserve">del miglioramento del dolore non era attribuibile all’effetto specifico, dal 47% al 91% (Zou, PMID 26882927):</w:t>
      </w:r>
      <w:r>
        <w:t xml:space="preserve"> </w:t>
      </w:r>
      <w:r>
        <w:rPr>
          <w:b/>
          <w:bCs/>
        </w:rPr>
        <w:t xml:space="preserve">misurato su artrosi di singola sede, non sul quadro multisede.</w:t>
      </w:r>
    </w:p>
    <w:p>
      <w:pPr>
        <w:pStyle w:val="BodyText"/>
      </w:pPr>
      <w:r>
        <w:rPr>
          <w:b/>
          <w:bCs/>
        </w:rPr>
        <w:t xml:space="preserve">Le misure non concordano fra loro, e va scritto così: non</w:t>
      </w:r>
      <w:r>
        <w:rPr>
          <w:b/>
          <w:bCs/>
        </w:rPr>
        <w:t xml:space="preserve"> </w:t>
      </w:r>
      <w:r>
        <w:rPr>
          <w:b/>
          <w:bCs/>
        </w:rPr>
        <w:t xml:space="preserve">“prove contrarie”</w:t>
      </w:r>
      <w:r>
        <w:rPr>
          <w:b/>
          <w:bCs/>
        </w:rPr>
        <w:t xml:space="preserve">, non</w:t>
      </w:r>
      <w:r>
        <w:rPr>
          <w:b/>
          <w:bCs/>
        </w:rPr>
        <w:t xml:space="preserve"> </w:t>
      </w:r>
      <w:r>
        <w:rPr>
          <w:b/>
          <w:bCs/>
        </w:rPr>
        <w:t xml:space="preserve">“nessuno ha misurato”</w:t>
      </w:r>
      <w:r>
        <w:rPr>
          <w:b/>
          <w:bCs/>
        </w:rPr>
        <w:t xml:space="preserve">.</w:t>
      </w:r>
    </w:p>
    <w:p>
      <w:pPr>
        <w:pStyle w:val="BodyText"/>
      </w:pPr>
      <w:r>
        <w:rPr>
          <w:b/>
          <w:bCs/>
        </w:rPr>
        <w:t xml:space="preserve">Cerchio 3 — la fisiologia.</w:t>
      </w:r>
      <w:r>
        <w:t xml:space="preserve"> </w:t>
      </w:r>
      <w:r>
        <w:t xml:space="preserve">Osso subcondrale e sinovia come sorgenti nocicettive (Dieppe &amp; Lohmander, PMID 15766999). Massa corporea e forza compressiva articolare (Messier, PMID 15986358). Inibizione riflessa del muscolo estensore da parte della capsula (Rice &amp; McNair, PMID 19954822). Regge il razionale, mai l’efficacia.</w:t>
      </w:r>
    </w:p>
    <w:bookmarkEnd w:id="52"/>
    <w:bookmarkStart w:id="53" w:name="cosa-possiamo-dire-e-cosa-no"/>
    <w:p>
      <w:pPr>
        <w:pStyle w:val="Heading3"/>
      </w:pPr>
      <w:r>
        <w:t xml:space="preserve">Cosa possiamo dire e cosa no</w:t>
      </w:r>
    </w:p>
    <w:p>
      <w:pPr>
        <w:pStyle w:val="FirstParagraph"/>
      </w:pPr>
      <w:r>
        <w:rPr>
          <w:b/>
          <w:bCs/>
        </w:rPr>
        <w:t xml:space="preserve">Possiamo dire:</w:t>
      </w:r>
      <w:r>
        <w:t xml:space="preserve"> </w:t>
      </w:r>
      <w:r>
        <w:t xml:space="preserve">- Che il dolore in più sedi è più frequente di quello in una sede sola dopo i 45 anni, ed è più disabilitante.</w:t>
      </w:r>
      <w:r>
        <w:t xml:space="preserve"> </w:t>
      </w:r>
      <w:r>
        <w:t xml:space="preserve">- Che il numero di sedi è stabile nel tempo e predice sé stesso più di ogni altra variabile.</w:t>
      </w:r>
      <w:r>
        <w:t xml:space="preserve"> </w:t>
      </w:r>
      <w:r>
        <w:t xml:space="preserve">- Che in questi pazienti la soglia dolorosa scende anche dove non c’è danno.</w:t>
      </w:r>
      <w:r>
        <w:t xml:space="preserve"> </w:t>
      </w:r>
      <w:r>
        <w:t xml:space="preserve">- Che l’esercizio migliora dolore e funzione su ginocchio e mano con effetti piccoli, e che</w:t>
      </w:r>
      <w:r>
        <w:t xml:space="preserve"> </w:t>
      </w:r>
      <w:r>
        <w:rPr>
          <w:b/>
          <w:bCs/>
        </w:rPr>
        <w:t xml:space="preserve">sull’anca l’effetto è più piccolo e la certezza più bassa</w:t>
      </w:r>
      <w:r>
        <w:t xml:space="preserve">.</w:t>
      </w:r>
      <w:r>
        <w:t xml:space="preserve"> </w:t>
      </w:r>
      <w:r>
        <w:t xml:space="preserve">- Che una parte grande del risultato di qualunque trattamento non dipende dall’effetto specifico.</w:t>
      </w:r>
    </w:p>
    <w:p>
      <w:pPr>
        <w:pStyle w:val="BodyText"/>
      </w:pPr>
      <w:r>
        <w:rPr>
          <w:b/>
          <w:bCs/>
        </w:rPr>
        <w:t xml:space="preserve">Non possiamo dire:</w:t>
      </w:r>
      <w:r>
        <w:t xml:space="preserve"> </w:t>
      </w:r>
      <w:r>
        <w:t xml:space="preserve">- Che la terapia manuale funzioni sul dolore articolare multisede: chi l’ha misurata l’ha fatto su una sede alla volta.</w:t>
      </w:r>
      <w:r>
        <w:t xml:space="preserve"> </w:t>
      </w:r>
      <w:r>
        <w:t xml:space="preserve">- Che liberare un’articolazione riduca il carico su quella vicina: dove è stato misurato, non è successo.</w:t>
      </w:r>
      <w:r>
        <w:t xml:space="preserve"> </w:t>
      </w:r>
      <w:r>
        <w:t xml:space="preserve">- Che il trattamento manuale riduca il numero di sedi dolorose.</w:t>
      </w:r>
      <w:r>
        <w:t xml:space="preserve"> </w:t>
      </w:r>
      <w:r>
        <w:t xml:space="preserve">- Che il nostro tocco abbassi lo stato di attivazione: le misure non concordano, e una va in direzione opposta.</w:t>
      </w:r>
      <w:r>
        <w:t xml:space="preserve"> </w:t>
      </w:r>
      <w:r>
        <w:t xml:space="preserve">- Che un esame manuale escluda una forma infiammatoria.</w:t>
      </w:r>
      <w:r>
        <w:t xml:space="preserve"> </w:t>
      </w:r>
      <w:r>
        <w:t xml:space="preserve">- Che migliorare il sonno del paziente rialzi la sua soglia: è misurato il</w:t>
      </w:r>
      <w:r>
        <w:t xml:space="preserve"> </w:t>
      </w:r>
      <w:r>
        <w:rPr>
          <w:b/>
          <w:bCs/>
        </w:rPr>
        <w:t xml:space="preserve">danno della privazione</w:t>
      </w:r>
      <w:r>
        <w:t xml:space="preserve">, non il guadagno del recupero — e dove il sonno è migliorato, le misure sperimentali di modulazione non si sono mosse (Smith MT, PMID 25623343).</w:t>
      </w:r>
      <w:r>
        <w:t xml:space="preserve"> </w:t>
      </w:r>
      <w:r>
        <w:t xml:space="preserve">- Che la soglia su sito remoto misuri il nostro effetto. Ha un valore prognostico misurato (Georgopoulos, PMID 31045746). Ha una responsività al trattamento manuale che nessuno ha misurato oltre la finestra di minuti-ore. E ha una soglia di variazione, il 20%, che non viene da uno studio.</w:t>
      </w:r>
      <w:r>
        <w:t xml:space="preserve"> </w:t>
      </w:r>
      <w:r>
        <w:t xml:space="preserve">- Che glucosamina e condroitina riducano il dolore articolare. Dieci studi randomizzati e 3.803 pazienti con artrosi di anca o ginocchio dicono di no: differenze di</w:t>
      </w:r>
      <w:r>
        <w:t xml:space="preserve"> </w:t>
      </w:r>
      <w:r>
        <w:rPr>
          <w:b/>
          <w:bCs/>
        </w:rPr>
        <w:t xml:space="preserve">−0,4, −0,3 e −0,5 cm su una scala di 10 cm</w:t>
      </w:r>
      <w:r>
        <w:t xml:space="preserve">, e</w:t>
      </w:r>
      <w:r>
        <w:t xml:space="preserve"> </w:t>
      </w:r>
      <w:r>
        <w:rPr>
          <w:b/>
          <w:bCs/>
        </w:rPr>
        <w:t xml:space="preserve">nessuna stima raggiunge la soglia di rilevanza clinica prefissata</w:t>
      </w:r>
      <w:r>
        <w:t xml:space="preserve"> </w:t>
      </w:r>
      <w:r>
        <w:t xml:space="preserve">a −0,9 cm; nessun effetto sulla rima articolare; e</w:t>
      </w:r>
      <w:r>
        <w:t xml:space="preserve"> </w:t>
      </w:r>
      <w:r>
        <w:rPr>
          <w:b/>
          <w:bCs/>
        </w:rPr>
        <w:t xml:space="preserve">gli studi indipendenti dall’industria hanno mostrato effetti più piccoli di quelli finanziati</w:t>
      </w:r>
      <w:r>
        <w:t xml:space="preserve"> </w:t>
      </w:r>
      <w:r>
        <w:t xml:space="preserve">(Wandel,</w:t>
      </w:r>
      <w:r>
        <w:t xml:space="preserve"> </w:t>
      </w:r>
      <w:r>
        <w:rPr>
          <w:i/>
          <w:iCs/>
        </w:rPr>
        <w:t xml:space="preserve">BMJ</w:t>
      </w:r>
      <w:r>
        <w:t xml:space="preserve"> </w:t>
      </w:r>
      <w:r>
        <w:t xml:space="preserve">2010, PMID 20847017).</w:t>
      </w:r>
      <w:r>
        <w:t xml:space="preserve"> </w:t>
      </w:r>
      <w:r>
        <w:rPr>
          <w:b/>
          <w:bCs/>
        </w:rPr>
        <w:t xml:space="preserve">Misurato su artrosi di anca e ginocchio, non su dolore multisede — e sul dolore della sede studiata, non sul numero di sedi.</w:t>
      </w:r>
      <w:r>
        <w:t xml:space="preserve"> </w:t>
      </w:r>
      <w:r>
        <w:t xml:space="preserve">Etichetta:</w:t>
      </w:r>
      <w:r>
        <w:t xml:space="preserve"> </w:t>
      </w:r>
      <w:r>
        <w:rPr>
          <w:b/>
          <w:bCs/>
        </w:rPr>
        <w:t xml:space="preserve">DIMOSTRATO</w:t>
      </w:r>
      <w:r>
        <w:t xml:space="preserve"> </w:t>
      </w:r>
      <w:r>
        <w:rPr>
          <w:i/>
          <w:iCs/>
        </w:rPr>
        <w:t xml:space="preserve">(studi sull’uomo, solidi)</w:t>
      </w:r>
      <w:r>
        <w:t xml:space="preserve"> </w:t>
      </w:r>
      <w:r>
        <w:t xml:space="preserve">che non producano un effetto clinicamente rilevante.</w:t>
      </w:r>
      <w:r>
        <w:t xml:space="preserve"> </w:t>
      </w:r>
      <w:r>
        <w:rPr>
          <w:b/>
          <w:bCs/>
        </w:rPr>
        <w:t xml:space="preserve">Non è comunque una decisione tua:</w:t>
      </w:r>
      <w:r>
        <w:t xml:space="preserve"> </w:t>
      </w:r>
      <w:r>
        <w:t xml:space="preserve">se il paziente li prende su indicazione medica, il dato va al prescrittore come tutti gli altri.</w:t>
      </w:r>
    </w:p>
    <w:bookmarkEnd w:id="53"/>
    <w:bookmarkStart w:id="54" w:name="quando-la-scienza-tace"/>
    <w:p>
      <w:pPr>
        <w:pStyle w:val="Heading3"/>
      </w:pPr>
      <w:r>
        <w:t xml:space="preserve">Quando la scienza tace</w:t>
      </w:r>
    </w:p>
    <w:p>
      <w:pPr>
        <w:pStyle w:val="FirstParagraph"/>
      </w:pPr>
      <w:r>
        <w:t xml:space="preserve">Sull’oggetto proprio di questa Bibbia il cerchio 1 dell’intervento manuale è quasi vuoto. Va spiegato, non usato come scusa né come motivo per concludere che allora non si tratta.</w:t>
      </w:r>
    </w:p>
    <w:p>
      <w:pPr>
        <w:pStyle w:val="BodyText"/>
      </w:pPr>
      <w:r>
        <w:rPr>
          <w:b/>
          <w:bCs/>
        </w:rPr>
        <w:t xml:space="preserve">1. Assenza di prove non è prova di assenza.</w:t>
      </w:r>
      <w:r>
        <w:t xml:space="preserve"> </w:t>
      </w:r>
      <w:r>
        <w:t xml:space="preserve">Che gli studi arruolino una sede alla volta non dice niente sull’efficacia su quattro: dice che quella misura non è stata fatta. Confonderle è un errore di logica,</w:t>
      </w:r>
      <w:r>
        <w:t xml:space="preserve"> </w:t>
      </w:r>
      <w:r>
        <w:rPr>
          <w:b/>
          <w:bCs/>
        </w:rPr>
        <w:t xml:space="preserve">anche quando la si commette a proprio favore</w:t>
      </w:r>
      <w:r>
        <w:t xml:space="preserve"> </w:t>
      </w:r>
      <w:r>
        <w:t xml:space="preserve">— come quando si legge un’assenza di eventi avversi in una casistica piccola come una prova di sicurezza.</w:t>
      </w:r>
    </w:p>
    <w:p>
      <w:pPr>
        <w:pStyle w:val="BodyText"/>
      </w:pPr>
      <w:r>
        <w:rPr>
          <w:b/>
          <w:bCs/>
        </w:rPr>
        <w:t xml:space="preserve">2. Perché quella letteratura non esiste.</w:t>
      </w:r>
      <w:r>
        <w:t xml:space="preserve"> </w:t>
      </w:r>
      <w:r>
        <w:t xml:space="preserve">Non perché sia stata fatta e sia risultata negativa. Perché la ricerca muscolo-scheletrica è organizzata</w:t>
      </w:r>
      <w:r>
        <w:t xml:space="preserve"> </w:t>
      </w:r>
      <w:r>
        <w:rPr>
          <w:b/>
          <w:bCs/>
        </w:rPr>
        <w:t xml:space="preserve">per sede</w:t>
      </w:r>
      <w:r>
        <w:t xml:space="preserve">, e</w:t>
      </w:r>
      <w:r>
        <w:t xml:space="preserve"> </w:t>
      </w:r>
      <w:r>
        <w:t xml:space="preserve">“dolore in mani, ginocchia e spalle”</w:t>
      </w:r>
      <w:r>
        <w:t xml:space="preserve"> </w:t>
      </w:r>
      <w:r>
        <w:t xml:space="preserve">non è una popolazione: è quattro popolazioni, senza un esito unico.</w:t>
      </w:r>
      <w:r>
        <w:t xml:space="preserve"> </w:t>
      </w:r>
      <w:r>
        <w:rPr>
          <w:b/>
          <w:bCs/>
        </w:rPr>
        <w:t xml:space="preserve">Il vuoto è metodologico, non sperimentale.</w:t>
      </w:r>
    </w:p>
    <w:p>
      <w:pPr>
        <w:pStyle w:val="BodyText"/>
      </w:pPr>
      <w:r>
        <w:rPr>
          <w:b/>
          <w:bCs/>
        </w:rPr>
        <w:t xml:space="preserve">3. Su cosa ti basi allora</w:t>
      </w:r>
      <w:r>
        <w:t xml:space="preserve">, in ordine di forza. Sul</w:t>
      </w:r>
      <w:r>
        <w:t xml:space="preserve"> </w:t>
      </w:r>
      <w:r>
        <w:rPr>
          <w:b/>
          <w:bCs/>
        </w:rPr>
        <w:t xml:space="preserve">meccanismo documentato</w:t>
      </w:r>
      <w:r>
        <w:t xml:space="preserve">: sensibilizzazione diffusa, inibizione muscolare artrogena, convergenza, ipoalgesia da input manuale su venti studi, perdita del freno discendente dopo privazione di sonno, alleanza terapeutica come predittore di esito. Sul</w:t>
      </w:r>
      <w:r>
        <w:t xml:space="preserve"> </w:t>
      </w:r>
      <w:r>
        <w:rPr>
          <w:b/>
          <w:bCs/>
        </w:rPr>
        <w:t xml:space="preserve">ragionamento clinico</w:t>
      </w:r>
      <w:r>
        <w:t xml:space="preserve">, dichiarato come tale. Sulla</w:t>
      </w:r>
      <w:r>
        <w:t xml:space="preserve"> </w:t>
      </w:r>
      <w:r>
        <w:rPr>
          <w:b/>
          <w:bCs/>
        </w:rPr>
        <w:t xml:space="preserve">verifica nel singolo paziente</w:t>
      </w:r>
      <w:r>
        <w:t xml:space="preserve">, con un marker scelto</w:t>
      </w:r>
      <w:r>
        <w:t xml:space="preserve"> </w:t>
      </w:r>
      <w:r>
        <w:rPr>
          <w:b/>
          <w:bCs/>
        </w:rPr>
        <w:t xml:space="preserve">prima</w:t>
      </w:r>
      <w:r>
        <w:t xml:space="preserve">, con una soglia dichiarata, rimisurato dopo.</w:t>
      </w:r>
    </w:p>
    <w:p>
      <w:pPr>
        <w:pStyle w:val="BodyText"/>
      </w:pPr>
      <w:r>
        <w:rPr>
          <w:b/>
          <w:bCs/>
        </w:rPr>
        <w:t xml:space="preserve">E questo elenco è cresciuto rileggendo la letteratura, non ragionando meglio.</w:t>
      </w:r>
      <w:r>
        <w:t xml:space="preserve"> </w:t>
      </w:r>
      <w:r>
        <w:t xml:space="preserve">L’anello sonno-modulazione era dato per non misurato ed è misurato due volte (Staffe; Smith MT 2007). La leva del modello dominante poggiava su ventinove pazienti e poggia su venti studi (Coronado). La soglia classificava e basta, e predice l’esito su 3.860 partecipanti (Georgopoulos).</w:t>
      </w:r>
      <w:r>
        <w:t xml:space="preserve"> </w:t>
      </w:r>
      <w:r>
        <w:rPr>
          <w:b/>
          <w:bCs/>
        </w:rPr>
        <w:t xml:space="preserve">Un capitolo che elenca solo ciò che manca non è onesto, è pessimista:</w:t>
      </w:r>
      <w:r>
        <w:t xml:space="preserve"> </w:t>
      </w:r>
      <w:r>
        <w:t xml:space="preserve">l’assenza si dichiara, e si ricontrolla.</w:t>
      </w:r>
    </w:p>
    <w:p>
      <w:pPr>
        <w:pStyle w:val="BodyText"/>
      </w:pPr>
      <w:r>
        <w:rPr>
          <w:b/>
          <w:bCs/>
        </w:rPr>
        <w:t xml:space="preserve">4. Cosa separa questo dal pensiero magico.</w:t>
      </w:r>
      <w:r>
        <w:t xml:space="preserve"> </w:t>
      </w:r>
      <w:r>
        <w:t xml:space="preserve">La verifica, e nient’altro. Sceglierla prima e accettarne il verdetto è scienza applicata a un caso singolo; sceglierla dopo aver visto migliorare il paziente, no.</w:t>
      </w:r>
      <w:r>
        <w:t xml:space="preserve"> </w:t>
      </w:r>
      <w:r>
        <w:rPr>
          <w:b/>
          <w:bCs/>
        </w:rPr>
        <w:t xml:space="preserve">E va scontata</w:t>
      </w:r>
      <w:r>
        <w:t xml:space="preserve"> </w:t>
      </w:r>
      <w:r>
        <w:t xml:space="preserve">(Zou, PMID 26882927): un marker che si muove in sei settimane non è, da solo, la prova che l’hai mosso tu.</w:t>
      </w:r>
    </w:p>
    <w:p>
      <w:pPr>
        <w:pStyle w:val="BodyText"/>
      </w:pPr>
      <w:r>
        <w:rPr>
          <w:b/>
          <w:bCs/>
        </w:rPr>
        <w:t xml:space="preserve">5. Cosa non autorizza.</w:t>
      </w:r>
      <w:r>
        <w:t xml:space="preserve"> </w:t>
      </w:r>
      <w:r>
        <w:t xml:space="preserve">A promettere un esito. A scrivere DIMOSTRATO dove c’è IPOTESI. A dire al paziente che</w:t>
      </w:r>
      <w:r>
        <w:t xml:space="preserve"> </w:t>
      </w:r>
      <w:r>
        <w:t xml:space="preserve">“gli studi lo confermano”</w:t>
      </w:r>
      <w:r>
        <w:t xml:space="preserve">, perché su di lui non lo confermano.</w:t>
      </w:r>
    </w:p>
    <w:p>
      <w:pPr>
        <w:pStyle w:val="BodyText"/>
      </w:pPr>
      <w:r>
        <w:rPr>
          <w:b/>
          <w:bCs/>
        </w:rPr>
        <w:t xml:space="preserve">Le tre cose da ricordare, più una</w:t>
      </w:r>
    </w:p>
    <w:p>
      <w:pPr>
        <w:pStyle w:val="Compact"/>
        <w:numPr>
          <w:ilvl w:val="0"/>
          <w:numId w:val="1023"/>
        </w:numPr>
      </w:pPr>
      <w:r>
        <w:t xml:space="preserve">La descrizione di questa condizione è ben misurata; l’intervento manuale su di essa no.</w:t>
      </w:r>
    </w:p>
    <w:p>
      <w:pPr>
        <w:pStyle w:val="Compact"/>
        <w:numPr>
          <w:ilvl w:val="0"/>
          <w:numId w:val="1023"/>
        </w:numPr>
      </w:pPr>
      <w:r>
        <w:t xml:space="preserve">Il vuoto è metodologico: la ricerca si organizza per sede, e questo paziente ne ha quattro.</w:t>
      </w:r>
    </w:p>
    <w:p>
      <w:pPr>
        <w:pStyle w:val="Compact"/>
        <w:numPr>
          <w:ilvl w:val="0"/>
          <w:numId w:val="1023"/>
        </w:numPr>
      </w:pPr>
      <w:r>
        <w:t xml:space="preserve">Ogni fonte trasversale porta con sé l’asse del salto: popolazione, durata, erogatore.</w:t>
      </w:r>
    </w:p>
    <w:p>
      <w:pPr>
        <w:pStyle w:val="Compact"/>
        <w:numPr>
          <w:ilvl w:val="0"/>
          <w:numId w:val="1023"/>
        </w:numPr>
      </w:pPr>
      <w:r>
        <w:rPr>
          <w:b/>
          <w:bCs/>
        </w:rPr>
        <w:t xml:space="preserve">Perché ci sei tu.</w:t>
      </w:r>
      <w:r>
        <w:t xml:space="preserve"> </w:t>
      </w:r>
      <w:r>
        <w:t xml:space="preserve">Nella revisione Cochrane sull’esercizio per il ginocchio gli effetti medi contro placebo restano</w:t>
      </w:r>
      <w:r>
        <w:t xml:space="preserve"> </w:t>
      </w:r>
      <w:r>
        <w:rPr>
          <w:b/>
          <w:bCs/>
        </w:rPr>
        <w:t xml:space="preserve">sotto la differenza minima ritenuta importante, o la attraversano</w:t>
      </w:r>
      <w:r>
        <w:t xml:space="preserve"> </w:t>
      </w:r>
      <w:r>
        <w:t xml:space="preserve">(Lawford, PMID 39625083 — numeri per esteso in «Cosa può fare il paziente da solo»).</w:t>
      </w:r>
      <w:r>
        <w:t xml:space="preserve"> </w:t>
      </w:r>
      <w:r>
        <w:rPr>
          <w:b/>
          <w:bCs/>
        </w:rPr>
        <w:t xml:space="preserve">Per te:</w:t>
      </w:r>
      <w:r>
        <w:t xml:space="preserve"> </w:t>
      </w:r>
      <w:r>
        <w:t xml:space="preserve">anche la leva meglio studiata del documento produce un effetto medio più piccolo di quanto il paziente si aspetti. E più piccolo di quanto tu gli dirai, se non hai letto questo numero. Ti autorizza a promettere il metodo e la misura, e a dichiarare l’ordine di grandezza. Non ti autorizza a presentare l’esercizio come una soluzione: è la migliore che abbiamo, ed è modesta.</w:t>
      </w:r>
    </w:p>
    <w:p>
      <w:r>
        <w:pict>
          <v:rect style="width:0;height:1.5pt" o:hralign="center" o:hrstd="t" o:hr="t"/>
        </w:pict>
      </w:r>
    </w:p>
    <w:bookmarkEnd w:id="54"/>
    <w:bookmarkEnd w:id="55"/>
    <w:bookmarkStart w:id="56" w:name="X749ea22382664277f31924734c3f9c650ac2093"/>
    <w:p>
      <w:pPr>
        <w:pStyle w:val="Heading2"/>
      </w:pPr>
      <w:r>
        <w:t xml:space="preserve">Capitolo 11 — Perché le mani possono cambiare qualcosa</w:t>
      </w:r>
    </w:p>
    <w:p>
      <w:pPr>
        <w:pStyle w:val="BlockText"/>
      </w:pPr>
      <w:r>
        <w:rPr>
          <w:b/>
          <w:bCs/>
        </w:rPr>
        <w:t xml:space="preserve">In una riga:</w:t>
      </w:r>
      <w:r>
        <w:t xml:space="preserve"> </w:t>
      </w:r>
      <w:r>
        <w:t xml:space="preserve">le mani hanno un razionale su quattro dei cinque meccanismi, e su nessuno di quei quattro esiste uno studio fatto su questa presentazione.</w:t>
      </w:r>
    </w:p>
    <w:p>
      <w:pPr>
        <w:pStyle w:val="FirstParagraph"/>
      </w:pPr>
      <w:r>
        <w:rPr>
          <w:b/>
          <w:bCs/>
        </w:rPr>
        <w:t xml:space="preserve">Cosa non possono fare, detto per primo.</w:t>
      </w:r>
      <w:r>
        <w:t xml:space="preserve"> </w:t>
      </w:r>
      <w:r>
        <w:t xml:space="preserve">Le mani non riducono il numero di sedi dolorose come esito misurato. Non escludono una forma infiammatoria. Non modificano un farmaco. E non hanno mai dimostrato di ridurre il carico su un’articolazione lavorando su quella vicina.</w:t>
      </w:r>
    </w:p>
    <w:p>
      <w:pPr>
        <w:pStyle w:val="BodyText"/>
      </w:pPr>
      <w:r>
        <w:rPr>
          <w:b/>
          <w:bCs/>
        </w:rPr>
        <w:t xml:space="preserve">Sul contatore tarato male.</w:t>
      </w:r>
      <w:r>
        <w:t xml:space="preserve"> </w:t>
      </w:r>
      <w:r>
        <w:t xml:space="preserve">Due stimoli che è facile tenere insieme vanno separati.</w:t>
      </w:r>
      <w:r>
        <w:t xml:space="preserve"> </w:t>
      </w:r>
      <w:r>
        <w:rPr>
          <w:b/>
          <w:bCs/>
        </w:rPr>
        <w:t xml:space="preserve">La leva misurata è l’input meccanico articolare:</w:t>
      </w:r>
      <w:r>
        <w:t xml:space="preserve"> </w:t>
      </w:r>
      <w:r>
        <w:t xml:space="preserve">mobilizzazione, afferenze profonde, potenziamento del controllo discendente. L’effetto atteso è una soglia più alta, misurabile anche in un sito non trattato.</w:t>
      </w:r>
      <w:r>
        <w:t xml:space="preserve"> </w:t>
      </w:r>
      <w:r>
        <w:rPr>
          <w:b/>
          <w:bCs/>
        </w:rPr>
        <w:t xml:space="preserve">Il contatto lento e il tempo dedicato non sono quella leva:</w:t>
      </w:r>
      <w:r>
        <w:t xml:space="preserve"> </w:t>
      </w:r>
      <w:r>
        <w:t xml:space="preserve">nello studio che regge questo blocco erano il braccio di controllo. Restano, ma su un altro asse — vigilanza, tolleranza al contatto, alleanza — e con un’altra etichetta.</w:t>
      </w:r>
    </w:p>
    <w:p>
      <w:pPr>
        <w:pStyle w:val="BodyText"/>
      </w:pPr>
      <w:r>
        <w:rPr>
          <w:b/>
          <w:bCs/>
        </w:rPr>
        <w:t xml:space="preserve">E i tempi vanno separati come gli stimoli.</w:t>
      </w:r>
      <w:r>
        <w:t xml:space="preserve"> </w:t>
      </w:r>
      <w:r>
        <w:t xml:space="preserve">La mano apre una finestra di</w:t>
      </w:r>
      <w:r>
        <w:t xml:space="preserve"> </w:t>
      </w:r>
      <w:r>
        <w:rPr>
          <w:b/>
          <w:bCs/>
        </w:rPr>
        <w:t xml:space="preserve">minuti-ore</w:t>
      </w:r>
      <w:r>
        <w:t xml:space="preserve">, ed è ciò che quello studio ha misurato.</w:t>
      </w:r>
      <w:r>
        <w:t xml:space="preserve"> </w:t>
      </w:r>
      <w:r>
        <w:rPr>
          <w:b/>
          <w:bCs/>
        </w:rPr>
        <w:t xml:space="preserve">Lo spostamento durevole della soglia, se avviene, appartiene alla ripetizione del carico e al sonno, non alla seduta.</w:t>
      </w:r>
      <w:r>
        <w:t xml:space="preserve"> </w:t>
      </w:r>
      <w:r>
        <w:t xml:space="preserve">Attribuirlo alla mano è l’errore che fa concludere, dopo sei settimane, che la fisiologia era sbagliata — quando era sbagliata l’attribuzione.</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per l’ipoalgesia da input meccanico manuale, e la meta-analisi viene prima del singolo studio. Venti studi selezionati fra 997 mostrano un effetto favorevole della manipolazione spinale sull’innalzamento della soglia di pressione, presente</w:t>
      </w:r>
      <w:r>
        <w:t xml:space="preserve"> </w:t>
      </w:r>
      <w:r>
        <w:rPr>
          <w:b/>
          <w:bCs/>
        </w:rPr>
        <w:t xml:space="preserve">anche nei siti remoti rispetto a quello stimolato</w:t>
      </w:r>
      <w:r>
        <w:t xml:space="preserve">, e la presenza a distanza sostiene un meccanismo di sistema nervoso centrale e non un effetto locale sul tessuto trattato (Coronado,</w:t>
      </w:r>
      <w:r>
        <w:t xml:space="preserve"> </w:t>
      </w:r>
      <w:r>
        <w:rPr>
          <w:i/>
          <w:iCs/>
        </w:rPr>
        <w:t xml:space="preserve">J Electromyogr Kinesiol</w:t>
      </w:r>
      <w:r>
        <w:t xml:space="preserve"> </w:t>
      </w:r>
      <w:r>
        <w:t xml:space="preserve">2012, PMID 22296867).</w:t>
      </w:r>
      <w:r>
        <w:t xml:space="preserve"> </w:t>
      </w:r>
      <w:r>
        <w:rPr>
          <w:b/>
          <w:bCs/>
        </w:rPr>
        <w:t xml:space="preserve">Misurato su manipolazione spinale in popolazioni muscolo-scheletriche varie e come effetto immediato, non su mobilizzazione periferica in pazienti multisede: il salto è di intervento, di popolazione e di durata.</w:t>
      </w:r>
    </w:p>
    <w:p>
      <w:pPr>
        <w:pStyle w:val="BlockText"/>
      </w:pPr>
      <w:r>
        <w:t xml:space="preserve">Il crossover che specifica il nostro fenotipo dice la stessa cosa. Dei 40 pazienti con artrosi di ginocchio dolorosa esaminati, i 29 con modulazione condizionata alterata sono stati randomizzati fra sei minuti di mobilizzazione e</w:t>
      </w:r>
      <w:r>
        <w:t xml:space="preserve"> </w:t>
      </w:r>
      <w:r>
        <w:rPr>
          <w:b/>
          <w:bCs/>
        </w:rPr>
        <w:t xml:space="preserve">solo contatto cutaneo manuale</w:t>
      </w:r>
      <w:r>
        <w:t xml:space="preserve"> </w:t>
      </w:r>
      <w:r>
        <w:t xml:space="preserve">come controllo. Dopo la mobilizzazione la soglia pressoria è salita</w:t>
      </w:r>
      <w:r>
        <w:t xml:space="preserve"> </w:t>
      </w:r>
      <w:r>
        <w:rPr>
          <w:b/>
          <w:bCs/>
        </w:rPr>
        <w:t xml:space="preserve">anche in sede non trattata</w:t>
      </w:r>
      <w:r>
        <w:t xml:space="preserve"> </w:t>
      </w:r>
      <w:r>
        <w:t xml:space="preserve">(Courtney, PMID 26721229).</w:t>
      </w:r>
      <w:r>
        <w:t xml:space="preserve"> </w:t>
      </w:r>
      <w:r>
        <w:rPr>
          <w:b/>
          <w:bCs/>
        </w:rPr>
        <w:t xml:space="preserve">Misurato sul ginocchio artrosico, come effetto immediato di laboratorio, non su pazienti multisede: il salto è di popolazione e di durata.</w:t>
      </w:r>
    </w:p>
    <w:p>
      <w:pPr>
        <w:pStyle w:val="BlockText"/>
      </w:pPr>
      <w:r>
        <w:rPr>
          <w:b/>
          <w:bCs/>
        </w:rPr>
        <w:t xml:space="preserve">IPOTESI</w:t>
      </w:r>
      <w:r>
        <w:t xml:space="preserve"> </w:t>
      </w:r>
      <w:r>
        <w:rPr>
          <w:i/>
          <w:iCs/>
        </w:rPr>
        <w:t xml:space="preserve">(meccanismo coerente, nessuno studio)</w:t>
      </w:r>
      <w:r>
        <w:t xml:space="preserve"> </w:t>
      </w:r>
      <w:r>
        <w:t xml:space="preserve">per l’abbassamento dello stato di attivazione attraverso il contatto: le misure disponibili non concordano, e quella sulla conduttanza cutanea va nella direzione opposta (Gordon, PMID 39920074; Hansen, PMID 40232939).</w:t>
      </w:r>
    </w:p>
    <w:p>
      <w:pPr>
        <w:pStyle w:val="FirstParagraph"/>
      </w:pPr>
      <w:r>
        <w:rPr>
          <w:b/>
          <w:bCs/>
        </w:rPr>
        <w:t xml:space="preserve">Sul dolore che nasce in un’altra articolazione.</w:t>
      </w:r>
      <w:r>
        <w:t xml:space="preserve"> </w:t>
      </w:r>
      <w:r>
        <w:t xml:space="preserve">La mano agisce sull’articolazione sorgente — escursione, tono profondo, riproduzione del sintomo — e l’effetto atteso è la riduzione della sede riferita, non della sorgente, e</w:t>
      </w:r>
      <w:r>
        <w:t xml:space="preserve"> </w:t>
      </w:r>
      <w:r>
        <w:rPr>
          <w:b/>
          <w:bCs/>
        </w:rPr>
        <w:t xml:space="preserve">subito</w:t>
      </w:r>
      <w:r>
        <w:t xml:space="preserve">. È la verifica più pulita del documento, perché il marker sta per costruzione su un piano diverso da quello trattato.</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che trattare la sorgente riduca la sede riferita. La riduzione è stata misurata, ma in quella serie il dolore riferito</w:t>
      </w:r>
      <w:r>
        <w:t xml:space="preserve"> </w:t>
      </w:r>
      <w:r>
        <w:rPr>
          <w:b/>
          <w:bCs/>
        </w:rPr>
        <w:t xml:space="preserve">è definito</w:t>
      </w:r>
      <w:r>
        <w:t xml:space="preserve"> </w:t>
      </w:r>
      <w:r>
        <w:t xml:space="preserve">dalla risposta al trattamento dell’anca: infiltrazione corticosteroidea nel 54,1% dei casi, fisioterapia nel 29,9%, protesi d’anca nel 7,8% (Cornelis, PMID 41245703).</w:t>
      </w:r>
      <w:r>
        <w:t xml:space="preserve"> </w:t>
      </w:r>
      <w:r>
        <w:rPr>
          <w:b/>
          <w:bCs/>
        </w:rPr>
        <w:t xml:space="preserve">Il salto dichiarato è di erogatore, non di esistenza: nessuno l’ha misurato dopo un trattamento manuale.</w:t>
      </w:r>
    </w:p>
    <w:p>
      <w:pPr>
        <w:pStyle w:val="FirstParagraph"/>
      </w:pPr>
      <w:r>
        <w:rPr>
          <w:b/>
          <w:bCs/>
        </w:rPr>
        <w:t xml:space="preserve">Sul muscolo staccato.</w:t>
      </w:r>
      <w:r>
        <w:t xml:space="preserve"> </w:t>
      </w:r>
      <w:r>
        <w:t xml:space="preserve">La mano agisce sull’articolazione che genera il riflesso inibitorio, per rendere disponibile un’escursione in cui il muscolo possa poi lavorare:</w:t>
      </w:r>
      <w:r>
        <w:t xml:space="preserve"> </w:t>
      </w:r>
      <w:r>
        <w:rPr>
          <w:b/>
          <w:bCs/>
        </w:rPr>
        <w:t xml:space="preserve">aprire la porta</w:t>
      </w:r>
      <w:r>
        <w:t xml:space="preserve">, non riempire la stanza. Il guadagno di forza appartiene alla ripetizione, tanto più perché nei quadri cronici l’inibizione si mantiene anche dopo che il versamento è passato.</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per l’esistenza del riflesso inibitorio (Rice &amp; McNair, PMID 19954822).</w:t>
      </w:r>
      <w:r>
        <w:t xml:space="preserve"> </w:t>
      </w:r>
      <w:r>
        <w:rPr>
          <w:b/>
          <w:bCs/>
        </w:rPr>
        <w:t xml:space="preserve">IPOTESI</w:t>
      </w:r>
      <w:r>
        <w:t xml:space="preserve"> </w:t>
      </w:r>
      <w:r>
        <w:rPr>
          <w:i/>
          <w:iCs/>
        </w:rPr>
        <w:t xml:space="preserve">(meccanismo coerente, nessuno studio)</w:t>
      </w:r>
      <w:r>
        <w:t xml:space="preserve"> </w:t>
      </w:r>
      <w:r>
        <w:t xml:space="preserve">che il trattamento manuale lo annulli: nessuno l’ha misurato. Gli interventi che gli stessi autori indicano come promettenti sono di altro tipo — crioterapia, stimolazione elettrica transcutanea, elettrostimolazione neuromuscolare, più antinfiammatori o corticosteroidi intra-articolari quando la componente infiammatoria è forte.</w:t>
      </w:r>
      <w:r>
        <w:t xml:space="preserve"> </w:t>
      </w:r>
      <w:r>
        <w:rPr>
          <w:b/>
          <w:bCs/>
        </w:rPr>
        <w:t xml:space="preserve">La terapia manuale non è in quell’elenco</w:t>
      </w:r>
      <w:r>
        <w:t xml:space="preserve">, e dirlo regge meglio che tacerlo.</w:t>
      </w:r>
      <w:r>
        <w:t xml:space="preserve"> </w:t>
      </w:r>
      <w:r>
        <w:rPr>
          <w:b/>
          <w:bCs/>
        </w:rPr>
        <w:t xml:space="preserve">DIMOSTRATO</w:t>
      </w:r>
      <w:r>
        <w:t xml:space="preserve">, invece, per l’esercizio come intervento sulla forza — vedi il capitolo seguente.</w:t>
      </w:r>
    </w:p>
    <w:p>
      <w:pPr>
        <w:pStyle w:val="FirstParagraph"/>
      </w:pPr>
      <w:r>
        <w:rPr>
          <w:b/>
          <w:bCs/>
        </w:rPr>
        <w:t xml:space="preserve">Sul carico concentrato.</w:t>
      </w:r>
      <w:r>
        <w:t xml:space="preserve"> </w:t>
      </w:r>
      <w:r>
        <w:t xml:space="preserve">La mano agisce sull’escursione delle articolazioni a monte e a valle della sede dolente. Il risultato atteso è più corsa disponibile e più tolleranza al compito,</w:t>
      </w:r>
      <w:r>
        <w:t xml:space="preserve"> </w:t>
      </w:r>
      <w:r>
        <w:rPr>
          <w:b/>
          <w:bCs/>
        </w:rPr>
        <w:t xml:space="preserve">non</w:t>
      </w:r>
      <w:r>
        <w:t xml:space="preserve"> </w:t>
      </w:r>
      <w:r>
        <w:t xml:space="preserve">un carico ridistribuito. L’escursione arriva subito, la tolleranza in settimane.</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per il recupero di escursione come effetto della terapia manuale su una singola sede. In 109 pazienti con artrosi d’anca, randomizzati fra terapia manuale ed esercizio e con valutatore in cieco,</w:t>
      </w:r>
      <w:r>
        <w:t xml:space="preserve"> </w:t>
      </w:r>
      <w:r>
        <w:rPr>
          <w:b/>
          <w:bCs/>
        </w:rPr>
        <w:t xml:space="preserve">il tasso di successo è stato dell’81% contro il 50%</w:t>
      </w:r>
      <w:r>
        <w:t xml:space="preserve">. I risultati migliori su dolore, funzione ed</w:t>
      </w:r>
      <w:r>
        <w:t xml:space="preserve"> </w:t>
      </w:r>
      <w:r>
        <w:rPr>
          <w:b/>
          <w:bCs/>
        </w:rPr>
        <w:t xml:space="preserve">ampiezza di movimento</w:t>
      </w:r>
      <w:r>
        <w:t xml:space="preserve"> </w:t>
      </w:r>
      <w:r>
        <w:t xml:space="preserve">erano ancora presenti a 29 settimane (Hoeksma, PMID 15478147).</w:t>
      </w:r>
      <w:r>
        <w:t xml:space="preserve"> </w:t>
      </w:r>
      <w:r>
        <w:rPr>
          <w:b/>
          <w:bCs/>
        </w:rPr>
        <w:t xml:space="preserve">IPOTESI</w:t>
      </w:r>
      <w:r>
        <w:t xml:space="preserve"> </w:t>
      </w:r>
      <w:r>
        <w:rPr>
          <w:i/>
          <w:iCs/>
        </w:rPr>
        <w:t xml:space="preserve">(meccanismo coerente, nessuno studio)</w:t>
      </w:r>
      <w:r>
        <w:t xml:space="preserve"> </w:t>
      </w:r>
      <w:r>
        <w:t xml:space="preserve">che quell’escursione si traduca in un carico ridistribuito, e qui con prove contrarie: il rinforzo d’anca ha migliorato i sintomi del ginocchio senza spostare il carico misurato (Bennell, PMID 20175973). E la revisione dedicata alla terapia manuale su anca e ginocchio dichiara le prove inconcludenti (French, PMID 21146444).</w:t>
      </w:r>
    </w:p>
    <w:p>
      <w:pPr>
        <w:pStyle w:val="BlockText"/>
      </w:pPr>
      <w:r>
        <w:rPr>
          <w:b/>
          <w:bCs/>
        </w:rPr>
        <w:t xml:space="preserve">Attenzione — quando la sorgente sospetta è cervicale.</w:t>
      </w:r>
      <w:r>
        <w:t xml:space="preserve"> </w:t>
      </w:r>
      <w:r>
        <w:t xml:space="preserve">Questo documento ti manda sul collo tre volte, e</w:t>
      </w:r>
      <w:r>
        <w:t xml:space="preserve"> </w:t>
      </w:r>
      <w:r>
        <w:rPr>
          <w:b/>
          <w:bCs/>
        </w:rPr>
        <w:t xml:space="preserve">quel distretto ha un profilo di rischio che nessun’altra articolazione di questo documento ha.</w:t>
      </w:r>
      <w:r>
        <w:t xml:space="preserve"> </w:t>
      </w:r>
      <w:r>
        <w:t xml:space="preserve">L’evento è la</w:t>
      </w:r>
      <w:r>
        <w:t xml:space="preserve"> </w:t>
      </w:r>
      <w:r>
        <w:rPr>
          <w:b/>
          <w:bCs/>
        </w:rPr>
        <w:t xml:space="preserve">dissezione dell’arteria cervicale</w:t>
      </w:r>
      <w:r>
        <w:t xml:space="preserve">: è raro, l’incidenza reale non è mai stata quantificata con precisione, la causalità su un rachide sano non è dimostrata. Va nominato come raro, e va nominato.</w:t>
      </w:r>
    </w:p>
    <w:p>
      <w:pPr>
        <w:pStyle w:val="BlockText"/>
      </w:pPr>
      <w:r>
        <w:t xml:space="preserve">Le conseguenze sono due.</w:t>
      </w:r>
      <w:r>
        <w:t xml:space="preserve"> </w:t>
      </w:r>
      <w:r>
        <w:rPr>
          <w:b/>
          <w:bCs/>
        </w:rPr>
        <w:t xml:space="preserve">L’esame della regione cervicale per potenziali patologie vascolari precede qualunque intervento su testa e collo.</w:t>
      </w:r>
      <w:r>
        <w:t xml:space="preserve"> </w:t>
      </w:r>
      <w:r>
        <w:t xml:space="preserve">È codificato in un documento accettato da ventidue organizzazioni nazionali (International Cervical Framework IFOMPT 2020, aggiornato 2023; sintesi in Rushton,</w:t>
      </w:r>
      <w:r>
        <w:t xml:space="preserve"> </w:t>
      </w:r>
      <w:r>
        <w:rPr>
          <w:i/>
          <w:iCs/>
        </w:rPr>
        <w:t xml:space="preserve">J Orthop Sports Phys Ther</w:t>
      </w:r>
      <w:r>
        <w:t xml:space="preserve"> </w:t>
      </w:r>
      <w:r>
        <w:t xml:space="preserve">2023). E</w:t>
      </w:r>
      <w:r>
        <w:t xml:space="preserve"> </w:t>
      </w:r>
      <w:r>
        <w:rPr>
          <w:b/>
          <w:bCs/>
        </w:rPr>
        <w:t xml:space="preserve">una cervicalgia o una cefalea di tipo nuovo, mai provata prima, non è una sede in più dell’elenco</w:t>
      </w:r>
      <w:r>
        <w:t xml:space="preserve">: è un motivo per non toccare quel distretto prima dell’inquadramento, perché cervicalgia e cefalea sono spesso il primo sintomo di una dissezione in corso.</w:t>
      </w:r>
    </w:p>
    <w:p>
      <w:pPr>
        <w:pStyle w:val="BlockText"/>
      </w:pPr>
      <w:r>
        <w:rPr>
          <w:b/>
          <w:bCs/>
        </w:rPr>
        <w:t xml:space="preserve">Attenzione — il profilo di rischio osseo.</w:t>
      </w:r>
      <w:r>
        <w:t xml:space="preserve"> </w:t>
      </w:r>
      <w:r>
        <w:t xml:space="preserve">Il paziente tipo ha oltre sessant’anni, spesso è una donna, e la qualità del suo osso non è stata misurata. L’analisi retrospettiva più ampia disponibile copre 960.140 sedute di</w:t>
      </w:r>
      <w:r>
        <w:t xml:space="preserve"> </w:t>
      </w:r>
      <w:r>
        <w:rPr>
          <w:b/>
          <w:bCs/>
        </w:rPr>
        <w:t xml:space="preserve">manipolazione spinale chiropratica</w:t>
      </w:r>
      <w:r>
        <w:t xml:space="preserve">, in trenta cliniche di un solo Paese. I due soli eventi gravi</w:t>
      </w:r>
      <w:r>
        <w:t xml:space="preserve"> </w:t>
      </w:r>
      <w:r>
        <w:rPr>
          <w:b/>
          <w:bCs/>
        </w:rPr>
        <w:t xml:space="preserve">registrati</w:t>
      </w:r>
      <w:r>
        <w:t xml:space="preserve"> </w:t>
      </w:r>
      <w:r>
        <w:t xml:space="preserve">sono state fratture costali in donne oltre i sessanta con osteoporosi (Chu,</w:t>
      </w:r>
      <w:r>
        <w:t xml:space="preserve"> </w:t>
      </w:r>
      <w:r>
        <w:rPr>
          <w:i/>
          <w:iCs/>
        </w:rPr>
        <w:t xml:space="preserve">Sci Rep</w:t>
      </w:r>
      <w:r>
        <w:t xml:space="preserve"> </w:t>
      </w:r>
      <w:r>
        <w:t xml:space="preserve">2023, PMID 36690712).</w:t>
      </w:r>
    </w:p>
    <w:p>
      <w:pPr>
        <w:pStyle w:val="BlockText"/>
      </w:pPr>
      <w:r>
        <w:t xml:space="preserve">Come si legge quel dato. La fonte è un</w:t>
      </w:r>
      <w:r>
        <w:t xml:space="preserve"> </w:t>
      </w:r>
      <w:r>
        <w:rPr>
          <w:b/>
          <w:bCs/>
        </w:rPr>
        <w:t xml:space="preserve">registro dei reclami</w:t>
      </w:r>
      <w:r>
        <w:t xml:space="preserve">, cioè sorveglianza passiva. Gli autori scrivono che eventi gravi possono essere accaduti senza essere segnalati, che il tasso di falsi negativi è ignoto, e che</w:t>
      </w:r>
      <w:r>
        <w:t xml:space="preserve"> </w:t>
      </w:r>
      <w:r>
        <w:rPr>
          <w:b/>
          <w:bCs/>
        </w:rPr>
        <w:t xml:space="preserve">il campione non bastava a identificare quali fattori predicano un evento grave.</w:t>
      </w:r>
      <w:r>
        <w:t xml:space="preserve"> </w:t>
      </w:r>
      <w:r>
        <w:t xml:space="preserve">Quel numero dice che gli eventi gravi sono rari;</w:t>
      </w:r>
      <w:r>
        <w:t xml:space="preserve"> </w:t>
      </w:r>
      <w:r>
        <w:rPr>
          <w:b/>
          <w:bCs/>
        </w:rPr>
        <w:t xml:space="preserve">non dice che il distretto non conti.</w:t>
      </w:r>
    </w:p>
    <w:p>
      <w:pPr>
        <w:pStyle w:val="BlockText"/>
      </w:pPr>
      <w:r>
        <w:t xml:space="preserve">E la lastra già fatta non protegge. La frattura vertebrale compare nel 21,9% delle</w:t>
      </w:r>
      <w:r>
        <w:t xml:space="preserve"> </w:t>
      </w:r>
      <w:r>
        <w:rPr>
          <w:b/>
          <w:bCs/>
        </w:rPr>
        <w:t xml:space="preserve">donne ricoverate</w:t>
      </w:r>
      <w:r>
        <w:t xml:space="preserve"> </w:t>
      </w:r>
      <w:r>
        <w:t xml:space="preserve">oltre i settanta: è un dato ospedaliero, quindi un limite superiore. E</w:t>
      </w:r>
      <w:r>
        <w:t xml:space="preserve"> </w:t>
      </w:r>
      <w:r>
        <w:rPr>
          <w:b/>
          <w:bCs/>
        </w:rPr>
        <w:t xml:space="preserve">nei due terzi dei casi non è riportata nel referto</w:t>
      </w:r>
      <w:r>
        <w:t xml:space="preserve"> </w:t>
      </w:r>
      <w:r>
        <w:t xml:space="preserve">(Li,</w:t>
      </w:r>
      <w:r>
        <w:t xml:space="preserve"> </w:t>
      </w:r>
      <w:r>
        <w:rPr>
          <w:i/>
          <w:iCs/>
        </w:rPr>
        <w:t xml:space="preserve">BMC Musculoskelet Disord</w:t>
      </w:r>
      <w:r>
        <w:t xml:space="preserve"> </w:t>
      </w:r>
      <w:r>
        <w:t xml:space="preserve">2018, PMID 30021567). Come si dosa è materia di Procedura. Qui devi sapere che la forza è una variabile, e che il torace che stai caricando ha una qualità ossea che non hai misurato.</w:t>
      </w:r>
    </w:p>
    <w:p>
      <w:pPr>
        <w:pStyle w:val="FirstParagraph"/>
      </w:pPr>
      <w:r>
        <w:rPr>
          <w:b/>
          <w:bCs/>
        </w:rPr>
        <w:t xml:space="preserve">Cosa fa l’osteopata che il resto del percorso non fa.</w:t>
      </w:r>
      <w:r>
        <w:t xml:space="preserve"> </w:t>
      </w:r>
      <w:r>
        <w:rPr>
          <w:b/>
          <w:bCs/>
        </w:rPr>
        <w:t xml:space="preserve">Misura la soglia dolorosa</w:t>
      </w:r>
      <w:r>
        <w:t xml:space="preserve">, che non compare in nessun referto.</w:t>
      </w:r>
      <w:r>
        <w:t xml:space="preserve"> </w:t>
      </w:r>
      <w:r>
        <w:rPr>
          <w:b/>
          <w:bCs/>
        </w:rPr>
        <w:t xml:space="preserve">Testa le articolazioni che il paziente non ha nominato.</w:t>
      </w:r>
      <w:r>
        <w:t xml:space="preserve"> </w:t>
      </w:r>
      <w:r>
        <w:rPr>
          <w:b/>
          <w:bCs/>
        </w:rPr>
        <w:t xml:space="preserve">Accompagna l’esecuzione del carico</w:t>
      </w:r>
      <w:r>
        <w:t xml:space="preserve"> </w:t>
      </w:r>
      <w:r>
        <w:t xml:space="preserve">invece di consegnarlo (Vancampfort, PMID 38484833 — numeri in «Cosa può fare il paziente da solo»).</w:t>
      </w:r>
    </w:p>
    <w:p>
      <w:pPr>
        <w:pStyle w:val="BodyText"/>
      </w:pPr>
      <w:r>
        <w:rPr>
          <w:b/>
          <w:bCs/>
        </w:rPr>
        <w:t xml:space="preserve">Quali tecniche, in che ordine, con che dose e per quante sedute, sta nella Procedura.</w:t>
      </w:r>
    </w:p>
    <w:p>
      <w:pPr>
        <w:pStyle w:val="BodyText"/>
      </w:pPr>
      <w:r>
        <w:rPr>
          <w:b/>
          <w:bCs/>
        </w:rPr>
        <w:t xml:space="preserve">Le tre cose da ricordare, più una</w:t>
      </w:r>
    </w:p>
    <w:p>
      <w:pPr>
        <w:pStyle w:val="Compact"/>
        <w:numPr>
          <w:ilvl w:val="0"/>
          <w:numId w:val="1024"/>
        </w:numPr>
      </w:pPr>
      <w:r>
        <w:t xml:space="preserve">La mano apre l’escursione e una finestra di minuti-ore sulla soglia; forza, tolleranza e spostamento durevole appartengono alla ripetizione.</w:t>
      </w:r>
    </w:p>
    <w:p>
      <w:pPr>
        <w:pStyle w:val="Compact"/>
        <w:numPr>
          <w:ilvl w:val="0"/>
          <w:numId w:val="1024"/>
        </w:numPr>
      </w:pPr>
      <w:r>
        <w:t xml:space="preserve">Il dolore riferito è la leva con la verifica più pulita del documento: cercalo sempre.</w:t>
      </w:r>
    </w:p>
    <w:p>
      <w:pPr>
        <w:pStyle w:val="Compact"/>
        <w:numPr>
          <w:ilvl w:val="0"/>
          <w:numId w:val="1024"/>
        </w:numPr>
      </w:pPr>
      <w:r>
        <w:t xml:space="preserve">Il collo di questo paziente ha un profilo di rischio proprio, e il suo torace una qualità ossea che non hai misurato.</w:t>
      </w:r>
    </w:p>
    <w:p>
      <w:pPr>
        <w:pStyle w:val="Compact"/>
        <w:numPr>
          <w:ilvl w:val="0"/>
          <w:numId w:val="1024"/>
        </w:numPr>
      </w:pPr>
      <w:r>
        <w:rPr>
          <w:b/>
          <w:bCs/>
        </w:rPr>
        <w:t xml:space="preserve">Perché ci sei tu.</w:t>
      </w:r>
      <w:r>
        <w:t xml:space="preserve"> </w:t>
      </w:r>
      <w:r>
        <w:t xml:space="preserve">I dati individuali di 31 studi controllati e 4.241 pazienti con artrosi di ginocchio o anca sono stati rimessi insieme. L’effetto medio dell’esercizio sul dolore è di</w:t>
      </w:r>
      <w:r>
        <w:t xml:space="preserve"> </w:t>
      </w:r>
      <w:r>
        <w:rPr>
          <w:b/>
          <w:bCs/>
        </w:rPr>
        <w:t xml:space="preserve">6,36 punti su 100 a breve termine e 3,43 a un anno</w:t>
      </w:r>
      <w:r>
        <w:t xml:space="preserve">. Gli unici moderatori emersi sono dolore e funzione di partenza:</w:t>
      </w:r>
      <w:r>
        <w:t xml:space="preserve"> </w:t>
      </w:r>
      <w:r>
        <w:rPr>
          <w:b/>
          <w:bCs/>
        </w:rPr>
        <w:t xml:space="preserve">chi sta peggio all’inizio guadagna di più</w:t>
      </w:r>
      <w:r>
        <w:t xml:space="preserve"> </w:t>
      </w:r>
      <w:r>
        <w:t xml:space="preserve">(Holden,</w:t>
      </w:r>
      <w:r>
        <w:t xml:space="preserve"> </w:t>
      </w:r>
      <w:r>
        <w:rPr>
          <w:i/>
          <w:iCs/>
        </w:rPr>
        <w:t xml:space="preserve">Lancet Rheumatol</w:t>
      </w:r>
      <w:r>
        <w:t xml:space="preserve"> </w:t>
      </w:r>
      <w:r>
        <w:t xml:space="preserve">2023, PMID 38251550).</w:t>
      </w:r>
      <w:r>
        <w:t xml:space="preserve"> </w:t>
      </w:r>
      <w:r>
        <w:rPr>
          <w:b/>
          <w:bCs/>
        </w:rPr>
        <w:t xml:space="preserve">Per te:</w:t>
      </w:r>
      <w:r>
        <w:t xml:space="preserve"> </w:t>
      </w:r>
      <w:r>
        <w:t xml:space="preserve">il tuo paziente multisede sta peggio della media di quegli studi, quindi è in cima alla curva di chi guadagna. Ti autorizza a prenderlo invece di scoraggiarlo. Non ti autorizza a trasferire quel dato alle tue mani:</w:t>
      </w:r>
      <w:r>
        <w:t xml:space="preserve"> </w:t>
      </w:r>
      <w:r>
        <w:rPr>
          <w:b/>
          <w:bCs/>
        </w:rPr>
        <w:t xml:space="preserve">misurato sull’esercizio contro controlli non-esercizio, non sulla terapia manuale.</w:t>
      </w:r>
    </w:p>
    <w:p>
      <w:r>
        <w:pict>
          <v:rect style="width:0;height:1.5pt" o:hralign="center" o:hrstd="t" o:hr="t"/>
        </w:pict>
      </w:r>
    </w:p>
    <w:bookmarkEnd w:id="56"/>
    <w:bookmarkStart w:id="61" w:name="X136fc797340a8505b3f1ef11420398b4b0fe2f0"/>
    <w:p>
      <w:pPr>
        <w:pStyle w:val="Heading2"/>
      </w:pPr>
      <w:r>
        <w:t xml:space="preserve">Capitolo 12 — Cosa può fare il paziente da solo</w:t>
      </w:r>
    </w:p>
    <w:p>
      <w:pPr>
        <w:pStyle w:val="BlockText"/>
      </w:pPr>
      <w:r>
        <w:rPr>
          <w:b/>
          <w:bCs/>
        </w:rPr>
        <w:t xml:space="preserve">In una riga:</w:t>
      </w:r>
      <w:r>
        <w:t xml:space="preserve"> </w:t>
      </w:r>
      <w:r>
        <w:t xml:space="preserve">su questa condizione la leva con le prove migliori non è il tocco, ed è quella che il paziente esegue da solo tra una seduta e l’altra.</w:t>
      </w:r>
    </w:p>
    <w:p>
      <w:pPr>
        <w:pStyle w:val="FirstParagraph"/>
      </w:pPr>
      <w:r>
        <w:t xml:space="preserve">Il capitolo esiste perché</w:t>
      </w:r>
      <w:r>
        <w:t xml:space="preserve"> </w:t>
      </w:r>
      <w:r>
        <w:rPr>
          <w:b/>
          <w:bCs/>
        </w:rPr>
        <w:t xml:space="preserve">due strumenti</w:t>
      </w:r>
      <w:r>
        <w:t xml:space="preserve"> </w:t>
      </w:r>
      <w:r>
        <w:t xml:space="preserve">superano la soglia: il primo regge DIMOSTRATO sul ginocchio, il secondo PROBABILE con uno studio controllato.</w:t>
      </w:r>
    </w:p>
    <w:bookmarkStart w:id="57" w:name="X1d7b92fa2119e033dd0b12897109cad8378b246"/>
    <w:p>
      <w:pPr>
        <w:pStyle w:val="Heading3"/>
      </w:pPr>
      <w:r>
        <w:t xml:space="preserve">1. Il carico progressivo sui muscoli dell’articolazione</w:t>
      </w:r>
    </w:p>
    <w:p>
      <w:pPr>
        <w:pStyle w:val="FirstParagraph"/>
      </w:pPr>
      <w:r>
        <w:rPr>
          <w:b/>
          <w:bCs/>
        </w:rPr>
        <w:t xml:space="preserve">Cos’è.</w:t>
      </w:r>
      <w:r>
        <w:t xml:space="preserve"> </w:t>
      </w:r>
      <w:r>
        <w:t xml:space="preserve">Un lavoro di forza sui muscoli che governano le articolazioni dolenti, che aumenta nel tempo.</w:t>
      </w:r>
    </w:p>
    <w:p>
      <w:pPr>
        <w:pStyle w:val="BodyText"/>
      </w:pPr>
      <w:r>
        <w:rPr>
          <w:b/>
          <w:bCs/>
        </w:rPr>
        <w:t xml:space="preserve">Agisce</w:t>
      </w:r>
      <w:r>
        <w:t xml:space="preserve"> </w:t>
      </w:r>
      <w:r>
        <w:t xml:space="preserve">su «Il muscolo che qualcuno ha staccato», perché ricostruisce la capacità di frenare il carico prima che arrivi all’osso. E agisce indirettamente su «Il carico che si concentra», perché un muscolo che assorbe è la sola parte modificabile della catena.</w:t>
      </w:r>
    </w:p>
    <w:p>
      <w:pPr>
        <w:pStyle w:val="BodyText"/>
      </w:pPr>
      <w:r>
        <w:rPr>
          <w:b/>
          <w:bCs/>
        </w:rPr>
        <w:t xml:space="preserve">Cosa hanno misurato gli studi.</w:t>
      </w:r>
      <w:r>
        <w:t xml:space="preserve"> </w:t>
      </w:r>
      <w:r>
        <w:t xml:space="preserve">Sul</w:t>
      </w:r>
      <w:r>
        <w:t xml:space="preserve"> </w:t>
      </w:r>
      <w:r>
        <w:rPr>
          <w:b/>
          <w:bCs/>
        </w:rPr>
        <w:t xml:space="preserve">ginocchio</w:t>
      </w:r>
      <w:r>
        <w:t xml:space="preserve">: 139 studi randomizzati, 12.468 partecipanti. Contro un controllo di attenzione o un placebo il dolore migliora di 8,70 punti su 100 e la funzione di 11,27; contro nessun trattamento, di 13,14 e 12,53. Gli interventi vanno da 2 a 104 settimane, e non c’è differenza fra tipi di esercizio.</w:t>
      </w:r>
      <w:r>
        <w:t xml:space="preserve"> </w:t>
      </w:r>
      <w:r>
        <w:rPr>
          <w:b/>
          <w:bCs/>
        </w:rPr>
        <w:t xml:space="preserve">Gli autori confrontano quei numeri con la differenza minima ritenuta importante, che è di 12 punti per il dolore e 13 per la funzione. Gli intervalli o non raggiungono quelle soglie o le attraversano</w:t>
      </w:r>
      <w:r>
        <w:t xml:space="preserve"> </w:t>
      </w:r>
      <w:r>
        <w:t xml:space="preserve">(Lawford, PMID 39625083).</w:t>
      </w:r>
    </w:p>
    <w:p>
      <w:pPr>
        <w:pStyle w:val="BodyText"/>
      </w:pPr>
      <w:r>
        <w:t xml:space="preserve">Sull’</w:t>
      </w:r>
      <w:r>
        <w:rPr>
          <w:b/>
          <w:bCs/>
        </w:rPr>
        <w:t xml:space="preserve">anca</w:t>
      </w:r>
      <w:r>
        <w:t xml:space="preserve">, che è l’articolazione perno di questo documento, la stessa revisione trova meno: 18 studi, 1.368 partecipanti. Contro controllo di attenzione o placebo l’esercizio</w:t>
      </w:r>
      <w:r>
        <w:t xml:space="preserve"> </w:t>
      </w:r>
      <w:r>
        <w:rPr>
          <w:b/>
          <w:bCs/>
        </w:rPr>
        <w:t xml:space="preserve">può avere poco o nessun effetto sul dolore</w:t>
      </w:r>
      <w:r>
        <w:t xml:space="preserve"> </w:t>
      </w:r>
      <w:r>
        <w:t xml:space="preserve">(−6,31 su 100, da −12,98 a 0,35, certezza bassa). Contro nessun trattamento riduce probabilmente dolore e disabilità,</w:t>
      </w:r>
      <w:r>
        <w:t xml:space="preserve"> </w:t>
      </w:r>
      <w:r>
        <w:rPr>
          <w:b/>
          <w:bCs/>
        </w:rPr>
        <w:t xml:space="preserve">con gli autori che dichiarano quei miglioramenti verosimilmente non clinicamente rilevanti</w:t>
      </w:r>
      <w:r>
        <w:t xml:space="preserve">. E aggiunto a un’altra terapia ha probabilmente poco o nessun effetto (Hall,</w:t>
      </w:r>
      <w:r>
        <w:t xml:space="preserve"> </w:t>
      </w:r>
      <w:r>
        <w:rPr>
          <w:i/>
          <w:iCs/>
        </w:rPr>
        <w:t xml:space="preserve">Cochrane Database Syst Rev</w:t>
      </w:r>
      <w:r>
        <w:t xml:space="preserve"> </w:t>
      </w:r>
      <w:r>
        <w:t xml:space="preserve">2026, PMID 42486497).</w:t>
      </w:r>
    </w:p>
    <w:p>
      <w:pPr>
        <w:pStyle w:val="BodyText"/>
      </w:pPr>
      <w:r>
        <w:t xml:space="preserve">Sulla</w:t>
      </w:r>
      <w:r>
        <w:t xml:space="preserve"> </w:t>
      </w:r>
      <w:r>
        <w:rPr>
          <w:b/>
          <w:bCs/>
        </w:rPr>
        <w:t xml:space="preserve">mano</w:t>
      </w:r>
      <w:r>
        <w:t xml:space="preserve">: 5 studi, 381 partecipanti. Le</w:t>
      </w:r>
      <w:r>
        <w:t xml:space="preserve"> </w:t>
      </w:r>
      <w:r>
        <w:rPr>
          <w:b/>
          <w:bCs/>
        </w:rPr>
        <w:t xml:space="preserve">differenze medie standardizzate</w:t>
      </w:r>
      <w:r>
        <w:t xml:space="preserve"> </w:t>
      </w:r>
      <w:r>
        <w:t xml:space="preserve">sono una misura senza unità: sotto 0,4 è un effetto piccolo. Qui valgono −0,27 sul dolore, −0,36 sulla rigidità delle dita e −0,28 sulla funzione, e il valore sulla funzione ha un intervallo che attraversa lo zero. Il confronto è contro nessun esercizio, a qualità bassa (Østerås,</w:t>
      </w:r>
      <w:r>
        <w:t xml:space="preserve"> </w:t>
      </w:r>
      <w:r>
        <w:rPr>
          <w:i/>
          <w:iCs/>
        </w:rPr>
        <w:t xml:space="preserve">J Rheumatol</w:t>
      </w:r>
      <w:r>
        <w:t xml:space="preserve"> </w:t>
      </w:r>
      <w:r>
        <w:t xml:space="preserve">2017, PMID 29032354).</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per la direzione dell’effetto sul ginocchio.</w:t>
      </w:r>
      <w:r>
        <w:t xml:space="preserve"> </w:t>
      </w:r>
      <w:r>
        <w:rPr>
          <w:b/>
          <w:bCs/>
        </w:rPr>
        <w:t xml:space="preserve">PROBABILE</w:t>
      </w:r>
      <w:r>
        <w:t xml:space="preserve"> </w:t>
      </w:r>
      <w:r>
        <w:rPr>
          <w:i/>
          <w:iCs/>
        </w:rPr>
        <w:t xml:space="preserve">(razionale forte, prove parziali)</w:t>
      </w:r>
      <w:r>
        <w:t xml:space="preserve"> </w:t>
      </w:r>
      <w:r>
        <w:t xml:space="preserve">per la mano — cinque studi a qualità dichiarata bassa, con un intervallo che comprende il nulla sulla funzione — e per l’anca, dove l’effetto contro placebo può essere nullo.</w:t>
      </w:r>
      <w:r>
        <w:t xml:space="preserve"> </w:t>
      </w:r>
      <w:r>
        <w:rPr>
          <w:b/>
          <w:bCs/>
        </w:rPr>
        <w:t xml:space="preserve">PROBABILE</w:t>
      </w:r>
      <w:r>
        <w:t xml:space="preserve"> </w:t>
      </w:r>
      <w:r>
        <w:t xml:space="preserve">anche per la dimensione dell’effetto sul ginocchio: gli autori dichiarano incerta l’importanza clinica dei loro stessi risultati.</w:t>
      </w:r>
      <w:r>
        <w:t xml:space="preserve"> </w:t>
      </w:r>
      <w:r>
        <w:rPr>
          <w:b/>
          <w:bCs/>
        </w:rPr>
        <w:t xml:space="preserve">Il salto dichiarato è di popolazione:</w:t>
      </w:r>
      <w:r>
        <w:t xml:space="preserve"> </w:t>
      </w:r>
      <w:r>
        <w:t xml:space="preserve">gli studi arruolano una sede alla volta, il tuo paziente ne ha quattro, e nessuno ha misurato cosa succede quando le si allena insieme.</w:t>
      </w:r>
    </w:p>
    <w:p>
      <w:pPr>
        <w:pStyle w:val="FirstParagraph"/>
      </w:pPr>
      <w:r>
        <w:rPr>
          <w:b/>
          <w:bCs/>
        </w:rPr>
        <w:t xml:space="preserve">Il modo in cui il carico viene consegnato.</w:t>
      </w:r>
      <w:r>
        <w:t xml:space="preserve"> </w:t>
      </w:r>
      <w:r>
        <w:t xml:space="preserve">Spiegare cosa fa male all’articolazione e cosa no è parte dello strumento, non uno strumento a sé. Gli studi hanno misurato che</w:t>
      </w:r>
      <w:r>
        <w:t xml:space="preserve"> </w:t>
      </w:r>
      <w:r>
        <w:rPr>
          <w:b/>
          <w:bCs/>
        </w:rPr>
        <w:t xml:space="preserve">il dolore durante l’esercizio non peggiora l’esito</w:t>
      </w:r>
      <w:r>
        <w:t xml:space="preserve">: sette studi, 385 partecipanti, con un vantaggio piccolo ma significativo a breve termine per gli esercizi in cui il dolore è ammesso (−0,27; −0,54 / −0,05, qualità moderata) e nessuna differenza dopo (Smith BE,</w:t>
      </w:r>
      <w:r>
        <w:t xml:space="preserve"> </w:t>
      </w:r>
      <w:r>
        <w:rPr>
          <w:i/>
          <w:iCs/>
        </w:rPr>
        <w:t xml:space="preserve">Br J Sports Med</w:t>
      </w:r>
      <w:r>
        <w:t xml:space="preserve"> </w:t>
      </w:r>
      <w:r>
        <w:t xml:space="preserve">2017, PMID 28596288).</w:t>
      </w:r>
      <w:r>
        <w:t xml:space="preserve"> </w:t>
      </w:r>
      <w:r>
        <w:rPr>
          <w:b/>
          <w:bCs/>
        </w:rPr>
        <w:t xml:space="preserve">Non hanno misurato che caricare</w:t>
      </w:r>
      <w:r>
        <w:rPr>
          <w:b/>
          <w:bCs/>
        </w:rPr>
        <w:t xml:space="preserve"> </w:t>
      </w:r>
      <w:r>
        <w:rPr>
          <w:b/>
          <w:bCs/>
        </w:rPr>
        <w:t xml:space="preserve">“non danneggia”</w:t>
      </w:r>
      <w:r>
        <w:rPr>
          <w:b/>
          <w:bCs/>
        </w:rPr>
        <w:t xml:space="preserve"> </w:t>
      </w:r>
      <w:r>
        <w:rPr>
          <w:b/>
          <w:bCs/>
        </w:rPr>
        <w:t xml:space="preserve">l’articolazione</w:t>
      </w:r>
      <w:r>
        <w:t xml:space="preserve">, che è un’affermazione strutturale, e quella non si dice:</w:t>
      </w:r>
      <w:r>
        <w:t xml:space="preserve"> </w:t>
      </w:r>
      <w:r>
        <w:rPr>
          <w:b/>
          <w:bCs/>
        </w:rPr>
        <w:t xml:space="preserve">PROBABILE</w:t>
      </w:r>
      <w:r>
        <w:t xml:space="preserve"> </w:t>
      </w:r>
      <w:r>
        <w:rPr>
          <w:i/>
          <w:iCs/>
        </w:rPr>
        <w:t xml:space="preserve">(razionale forte, prove parziali)</w:t>
      </w:r>
      <w:r>
        <w:t xml:space="preserve">.</w:t>
      </w:r>
    </w:p>
    <w:p>
      <w:pPr>
        <w:pStyle w:val="BodyText"/>
      </w:pPr>
      <w:r>
        <w:t xml:space="preserve">E l’educazione da sola non basta. In 29 studi e 6.753 partecipanti i programmi di autogestione probabilmente</w:t>
      </w:r>
      <w:r>
        <w:t xml:space="preserve"> </w:t>
      </w:r>
      <w:r>
        <w:rPr>
          <w:b/>
          <w:bCs/>
        </w:rPr>
        <w:t xml:space="preserve">non migliorano</w:t>
      </w:r>
      <w:r>
        <w:t xml:space="preserve"> </w:t>
      </w:r>
      <w:r>
        <w:t xml:space="preserve">autogestione, sintomi, funzione né qualità di vita (Kroon, PMID 24425500). E nel nostro studio di riferimento l’informazione è salita del 20,5% e la funzione non si è mossa (Dziedzic, PMID 29037845):</w:t>
      </w:r>
      <w:r>
        <w:t xml:space="preserve"> </w:t>
      </w:r>
      <w:r>
        <w:rPr>
          <w:b/>
          <w:bCs/>
        </w:rPr>
        <w:t xml:space="preserve">IPOTESI</w:t>
      </w:r>
      <w:r>
        <w:t xml:space="preserve"> </w:t>
      </w:r>
      <w:r>
        <w:rPr>
          <w:i/>
          <w:iCs/>
        </w:rPr>
        <w:t xml:space="preserve">(meccanismo coerente, nessuno studio)</w:t>
      </w:r>
      <w:r>
        <w:t xml:space="preserve"> </w:t>
      </w:r>
      <w:r>
        <w:t xml:space="preserve">che l’educazione da sola cambi la funzione,</w:t>
      </w:r>
      <w:r>
        <w:t xml:space="preserve"> </w:t>
      </w:r>
      <w:r>
        <w:rPr>
          <w:b/>
          <w:bCs/>
        </w:rPr>
        <w:t xml:space="preserve">e qui con prove contrarie</w:t>
      </w:r>
      <w:r>
        <w:t xml:space="preserve">.</w:t>
      </w:r>
    </w:p>
    <w:p>
      <w:pPr>
        <w:pStyle w:val="BodyText"/>
      </w:pPr>
      <w:r>
        <w:rPr>
          <w:b/>
          <w:bCs/>
        </w:rPr>
        <w:t xml:space="preserve">Quanti lo fanno davvero.</w:t>
      </w:r>
      <w:r>
        <w:t xml:space="preserve"> </w:t>
      </w:r>
      <w:r>
        <w:t xml:space="preserve">In 209 studi randomizzati e 13.102 partecipanti, l’abbandono corretto è stato del</w:t>
      </w:r>
      <w:r>
        <w:t xml:space="preserve"> </w:t>
      </w:r>
      <w:r>
        <w:rPr>
          <w:b/>
          <w:bCs/>
        </w:rPr>
        <w:t xml:space="preserve">17,5%</w:t>
      </w:r>
      <w:r>
        <w:t xml:space="preserve">,</w:t>
      </w:r>
      <w:r>
        <w:t xml:space="preserve"> </w:t>
      </w:r>
      <w:r>
        <w:rPr>
          <w:b/>
          <w:bCs/>
        </w:rPr>
        <w:t xml:space="preserve">uguale a quello dei gruppi di controllo</w:t>
      </w:r>
      <w:r>
        <w:t xml:space="preserve">; con la supervisione di un professionista è stato</w:t>
      </w:r>
      <w:r>
        <w:t xml:space="preserve"> </w:t>
      </w:r>
      <w:r>
        <w:rPr>
          <w:b/>
          <w:bCs/>
        </w:rPr>
        <w:t xml:space="preserve">13,2% contro 20,8%</w:t>
      </w:r>
      <w:r>
        <w:t xml:space="preserve"> </w:t>
      </w:r>
      <w:r>
        <w:t xml:space="preserve">(Vancampfort,</w:t>
      </w:r>
      <w:r>
        <w:t xml:space="preserve"> </w:t>
      </w:r>
      <w:r>
        <w:rPr>
          <w:i/>
          <w:iCs/>
        </w:rPr>
        <w:t xml:space="preserve">Arch Phys Med Rehabil</w:t>
      </w:r>
      <w:r>
        <w:t xml:space="preserve"> </w:t>
      </w:r>
      <w:r>
        <w:t xml:space="preserve">2024, PMID 38484833).</w:t>
      </w:r>
      <w:r>
        <w:t xml:space="preserve"> </w:t>
      </w:r>
      <w:r>
        <w:rPr>
          <w:b/>
          <w:bCs/>
        </w:rPr>
        <w:t xml:space="preserve">DIMOSTRATO</w:t>
      </w:r>
      <w:r>
        <w:t xml:space="preserve"> </w:t>
      </w:r>
      <w:r>
        <w:rPr>
          <w:i/>
          <w:iCs/>
        </w:rPr>
        <w:t xml:space="preserve">(studi sull’uomo, solidi)</w:t>
      </w:r>
      <w:r>
        <w:t xml:space="preserve"> </w:t>
      </w:r>
      <w:r>
        <w:t xml:space="preserve">per il tasso di abbandono.</w:t>
      </w:r>
      <w:r>
        <w:t xml:space="preserve"> </w:t>
      </w:r>
      <w:r>
        <w:rPr>
          <w:b/>
          <w:bCs/>
        </w:rPr>
        <w:t xml:space="preserve">PROBABILE</w:t>
      </w:r>
      <w:r>
        <w:t xml:space="preserve"> </w:t>
      </w:r>
      <w:r>
        <w:t xml:space="preserve">per l’attribuzione alla supervisione, che è un moderatore osservato dentro una meta-analisi e non un confronto randomizzato.</w:t>
      </w:r>
    </w:p>
    <w:p>
      <w:pPr>
        <w:pStyle w:val="BodyText"/>
      </w:pPr>
      <w:r>
        <w:rPr>
          <w:b/>
          <w:bCs/>
        </w:rPr>
        <w:t xml:space="preserve">Cosa non fa, e cosa succede se smette.</w:t>
      </w:r>
      <w:r>
        <w:t xml:space="preserve"> </w:t>
      </w:r>
      <w:r>
        <w:t xml:space="preserve">Non cambia il carico meccanico misurato (Bennell, PMID 20175973) e non riduce il numero di sedi.</w:t>
      </w:r>
      <w:r>
        <w:t xml:space="preserve"> </w:t>
      </w:r>
      <w:r>
        <w:rPr>
          <w:b/>
          <w:bCs/>
        </w:rPr>
        <w:t xml:space="preserve">L’effetto si sgonfia</w:t>
      </w:r>
      <w:r>
        <w:t xml:space="preserve"> </w:t>
      </w:r>
      <w:r>
        <w:t xml:space="preserve">a un anno (Holden, PMID 38251550 — numeri in «Perché le mani possono cambiare qualcosa»).</w:t>
      </w:r>
    </w:p>
    <w:p>
      <w:pPr>
        <w:pStyle w:val="BodyText"/>
      </w:pPr>
      <w:r>
        <w:rPr>
          <w:b/>
          <w:bCs/>
        </w:rPr>
        <w:t xml:space="preserve">Il comportamento atteso va detto prima dell’eccezione.</w:t>
      </w:r>
      <w:r>
        <w:t xml:space="preserve"> </w:t>
      </w:r>
      <w:r>
        <w:t xml:space="preserve">Nei sani l’esercizio</w:t>
      </w:r>
      <w:r>
        <w:t xml:space="preserve"> </w:t>
      </w:r>
      <w:r>
        <w:rPr>
          <w:b/>
          <w:bCs/>
        </w:rPr>
        <w:t xml:space="preserve">riduce la percezione del dolore sperimentale</w:t>
      </w:r>
      <w:r>
        <w:t xml:space="preserve">, con effetti da moderati a grandi. Nelle popolazioni con dolore cronico la stessa sintesi trova ampiezza e direzione</w:t>
      </w:r>
      <w:r>
        <w:t xml:space="preserve"> </w:t>
      </w:r>
      <w:r>
        <w:rPr>
          <w:b/>
          <w:bCs/>
        </w:rPr>
        <w:t xml:space="preserve">altamente variabili, con un effetto sia ipoalgesico sia iperalgesico</w:t>
      </w:r>
      <w:r>
        <w:t xml:space="preserve"> </w:t>
      </w:r>
      <w:r>
        <w:t xml:space="preserve">(Naugle,</w:t>
      </w:r>
      <w:r>
        <w:t xml:space="preserve"> </w:t>
      </w:r>
      <w:r>
        <w:rPr>
          <w:i/>
          <w:iCs/>
        </w:rPr>
        <w:t xml:space="preserve">J Pain</w:t>
      </w:r>
      <w:r>
        <w:t xml:space="preserve"> </w:t>
      </w:r>
      <w:r>
        <w:t xml:space="preserve">2012, PMID 23141188).</w:t>
      </w:r>
      <w:r>
        <w:t xml:space="preserve"> </w:t>
      </w:r>
      <w:r>
        <w:rPr>
          <w:b/>
          <w:bCs/>
        </w:rPr>
        <w:t xml:space="preserve">Misurato sul dolore sperimentale dopo una singola sessione di esercizio, non sul dolore clinico del paziente nei giorni seguenti: l’asse del salto è il bersaglio della misura e la durata.</w:t>
      </w:r>
      <w:r>
        <w:t xml:space="preserve"> </w:t>
      </w:r>
      <w:r>
        <w:rPr>
          <w:b/>
          <w:bCs/>
        </w:rPr>
        <w:t xml:space="preserve">DIMOSTRATO</w:t>
      </w:r>
      <w:r>
        <w:t xml:space="preserve"> </w:t>
      </w:r>
      <w:r>
        <w:rPr>
          <w:i/>
          <w:iCs/>
        </w:rPr>
        <w:t xml:space="preserve">(studi sull’uomo, solidi)</w:t>
      </w:r>
      <w:r>
        <w:t xml:space="preserve"> </w:t>
      </w:r>
      <w:r>
        <w:t xml:space="preserve">nei sani;</w:t>
      </w:r>
      <w:r>
        <w:t xml:space="preserve"> </w:t>
      </w:r>
      <w:r>
        <w:rPr>
          <w:b/>
          <w:bCs/>
        </w:rPr>
        <w:t xml:space="preserve">PROBABILE</w:t>
      </w:r>
      <w:r>
        <w:t xml:space="preserve"> </w:t>
      </w:r>
      <w:r>
        <w:t xml:space="preserve">nei portatori di dolore cronico,</w:t>
      </w:r>
      <w:r>
        <w:t xml:space="preserve"> </w:t>
      </w:r>
      <w:r>
        <w:rPr>
          <w:b/>
          <w:bCs/>
        </w:rPr>
        <w:t xml:space="preserve">con la direzione non determinata</w:t>
      </w:r>
      <w:r>
        <w:t xml:space="preserve">.</w:t>
      </w:r>
    </w:p>
    <w:p>
      <w:pPr>
        <w:pStyle w:val="BodyText"/>
      </w:pPr>
      <w:r>
        <w:t xml:space="preserve">Il rovescio che vedrai nel paziente a soglia bassa non è un’anomalia locale: è la metà documentata di una distribuzione a due code. È il caffè che a qualcuno toglie il sonno e a qualcun altro no: la tazzina è la stessa. Il carico</w:t>
      </w:r>
      <w:r>
        <w:t xml:space="preserve"> </w:t>
      </w:r>
      <w:r>
        <w:rPr>
          <w:b/>
          <w:bCs/>
        </w:rPr>
        <w:t xml:space="preserve">può far scendere la soglia durante e subito dopo la sessione</w:t>
      </w:r>
      <w:r>
        <w:t xml:space="preserve"> </w:t>
      </w:r>
      <w:r>
        <w:t xml:space="preserve">invece di alzarla. È stato misurato nei 19 pazienti con modulazione alterata di uno studio di laboratorio,</w:t>
      </w:r>
      <w:r>
        <w:t xml:space="preserve"> </w:t>
      </w:r>
      <w:r>
        <w:rPr>
          <w:b/>
          <w:bCs/>
        </w:rPr>
        <w:t xml:space="preserve">come caduta della soglia sperimentale e non come dolore riferito nei giorni seguenti</w:t>
      </w:r>
      <w:r>
        <w:t xml:space="preserve"> </w:t>
      </w:r>
      <w:r>
        <w:t xml:space="preserve">(Fingleton,</w:t>
      </w:r>
      <w:r>
        <w:t xml:space="preserve"> </w:t>
      </w:r>
      <w:r>
        <w:rPr>
          <w:i/>
          <w:iCs/>
        </w:rPr>
        <w:t xml:space="preserve">Clin J Pain</w:t>
      </w:r>
      <w:r>
        <w:t xml:space="preserve"> </w:t>
      </w:r>
      <w:r>
        <w:t xml:space="preserve">2017, PMID 27518487).</w:t>
      </w:r>
      <w:r>
        <w:t xml:space="preserve"> </w:t>
      </w:r>
      <w:r>
        <w:rPr>
          <w:b/>
          <w:bCs/>
        </w:rPr>
        <w:t xml:space="preserve">Se non te lo aspetti, lo leggi come fallimento e ritiri la leva migliore che hai.</w:t>
      </w:r>
    </w:p>
    <w:bookmarkEnd w:id="57"/>
    <w:bookmarkStart w:id="58" w:name="il-cammino-e-lattività-continua"/>
    <w:p>
      <w:pPr>
        <w:pStyle w:val="Heading3"/>
      </w:pPr>
      <w:r>
        <w:t xml:space="preserve">2. Il cammino, e l’attività continua</w:t>
      </w:r>
    </w:p>
    <w:p>
      <w:pPr>
        <w:pStyle w:val="FirstParagraph"/>
      </w:pPr>
      <w:r>
        <w:rPr>
          <w:b/>
          <w:bCs/>
        </w:rPr>
        <w:t xml:space="preserve">Cos’è.</w:t>
      </w:r>
      <w:r>
        <w:t xml:space="preserve"> </w:t>
      </w:r>
      <w:r>
        <w:t xml:space="preserve">Attività aerobica regolare, di intensità sostenibile, su un tempo che cresce.</w:t>
      </w:r>
      <w:r>
        <w:t xml:space="preserve"> </w:t>
      </w:r>
      <w:r>
        <w:rPr>
          <w:b/>
          <w:bCs/>
        </w:rPr>
        <w:t xml:space="preserve">Agisce</w:t>
      </w:r>
      <w:r>
        <w:t xml:space="preserve"> </w:t>
      </w:r>
      <w:r>
        <w:t xml:space="preserve">su «Il contatore tarato male», per la modulazione centrale che l’attività continua sostiene, e su «L’addebito che arriva da fuori» quando l’addebito è un farmaco o un cambiamento ormonale.</w:t>
      </w:r>
    </w:p>
    <w:p>
      <w:pPr>
        <w:pStyle w:val="BodyText"/>
      </w:pPr>
      <w:r>
        <w:rPr>
          <w:b/>
          <w:bCs/>
        </w:rPr>
        <w:t xml:space="preserve">Cosa hanno misurato gli studi.</w:t>
      </w:r>
      <w:r>
        <w:t xml:space="preserve"> </w:t>
      </w:r>
      <w:r>
        <w:t xml:space="preserve">Centoventuno donne con artralgia da inibitore dell’aromatasi sono state randomizzate a un anno di esercizio — 150 minuti settimanali di aerobica più due sedute di forza — oppure a cura abituale.</w:t>
      </w:r>
      <w:r>
        <w:t xml:space="preserve"> </w:t>
      </w:r>
      <w:r>
        <w:rPr>
          <w:b/>
          <w:bCs/>
        </w:rPr>
        <w:t xml:space="preserve">A dodici mesi il dolore articolare peggiore è sceso di 1,6 punti, il 29%, contro un aumento del 3% nei controlli</w:t>
      </w:r>
      <w:r>
        <w:t xml:space="preserve">, con un’aderenza alle sedute di forza del 70% (Irwin, PMID 25452437).</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È un solo studio randomizzato, con controllo a cura abituale, nessun cieco possibile ed esito auto-riferito.</w:t>
      </w:r>
      <w:r>
        <w:t xml:space="preserve"> </w:t>
      </w:r>
      <w:r>
        <w:rPr>
          <w:b/>
          <w:bCs/>
        </w:rPr>
        <w:t xml:space="preserve">Il salto dichiarato è di popolazione:</w:t>
      </w:r>
      <w:r>
        <w:t xml:space="preserve"> </w:t>
      </w:r>
      <w:r>
        <w:t xml:space="preserve">donne con artralgia da farmaco, non dolore multisede di origine meccanica. È lo studio che dice che una leva attiva funziona anche quando la causa non è meccanica, ed è la ragione per cui questa voce sta qui.</w:t>
      </w:r>
    </w:p>
    <w:p>
      <w:pPr>
        <w:pStyle w:val="FirstParagraph"/>
      </w:pPr>
      <w:r>
        <w:rPr>
          <w:b/>
          <w:bCs/>
        </w:rPr>
        <w:t xml:space="preserve">Cosa non fa.</w:t>
      </w:r>
      <w:r>
        <w:t xml:space="preserve"> </w:t>
      </w:r>
      <w:r>
        <w:t xml:space="preserve">Non risolve la causa: quelle donne restavano in terapia.</w:t>
      </w:r>
    </w:p>
    <w:bookmarkEnd w:id="58"/>
    <w:bookmarkStart w:id="59" w:name="X98b8eb7f99c20ce898660b7ba011c26c5e4e8d6"/>
    <w:p>
      <w:pPr>
        <w:pStyle w:val="Heading3"/>
      </w:pPr>
      <w:r>
        <w:t xml:space="preserve">Il peso e il sonno: si nominano, si misurano, si rinviano</w:t>
      </w:r>
    </w:p>
    <w:p>
      <w:pPr>
        <w:pStyle w:val="FirstParagraph"/>
      </w:pPr>
      <w:r>
        <w:t xml:space="preserve">Sono le due variabili che questo documento dichiara più volte e che non tocca a noi gestire: si nominano, si misurano, si rinviano.</w:t>
      </w:r>
    </w:p>
    <w:p>
      <w:pPr>
        <w:pStyle w:val="BodyText"/>
      </w:pPr>
      <w:r>
        <w:rPr>
          <w:b/>
          <w:bCs/>
        </w:rPr>
        <w:t xml:space="preserve">Il peso</w:t>
      </w:r>
      <w:r>
        <w:t xml:space="preserve"> </w:t>
      </w:r>
      <w:r>
        <w:t xml:space="preserve">è la leva meccanica più grande che esista qui (Messier, PMID 15986358; Yusuf, PMID 19487215 — numeri nei meccanismi). Si nomina con il numero, senza giudizio, e si rinvia.</w:t>
      </w:r>
    </w:p>
    <w:p>
      <w:pPr>
        <w:pStyle w:val="BodyText"/>
      </w:pPr>
      <w:r>
        <w:rPr>
          <w:b/>
          <w:bCs/>
        </w:rPr>
        <w:t xml:space="preserve">Ed è l’unica leva di questo documento che abbia spostato un carico articolare misurato dentro uno studio randomizzato.</w:t>
      </w:r>
      <w:r>
        <w:t xml:space="preserve"> </w:t>
      </w:r>
      <w:r>
        <w:t xml:space="preserve">Sono stati seguiti diciotto mesi 454 adulti sovrappeso oltre i 55 anni con artrosi di ginocchio.</w:t>
      </w:r>
      <w:r>
        <w:t xml:space="preserve"> </w:t>
      </w:r>
      <w:r>
        <w:rPr>
          <w:b/>
          <w:bCs/>
        </w:rPr>
        <w:t xml:space="preserve">La forza compressiva sul ginocchio è risultata più bassa nel gruppo a dieta che nel gruppo di solo esercizio</w:t>
      </w:r>
      <w:r>
        <w:t xml:space="preserve"> </w:t>
      </w:r>
      <w:r>
        <w:t xml:space="preserve">(2487 N contro 2687 N; differenza 200 N, intervallo 55–345).</w:t>
      </w:r>
      <w:r>
        <w:t xml:space="preserve"> </w:t>
      </w:r>
      <w:r>
        <w:rPr>
          <w:b/>
          <w:bCs/>
        </w:rPr>
        <w:t xml:space="preserve">La IL-6 è risultata più bassa nei due gruppi a dieta.</w:t>
      </w:r>
      <w:r>
        <w:t xml:space="preserve"> </w:t>
      </w:r>
      <w:r>
        <w:t xml:space="preserve">E</w:t>
      </w:r>
      <w:r>
        <w:t xml:space="preserve"> </w:t>
      </w:r>
      <w:r>
        <w:rPr>
          <w:b/>
          <w:bCs/>
        </w:rPr>
        <w:t xml:space="preserve">dieta più esercizio ha dato meno dolore e migliore funzione</w:t>
      </w:r>
      <w:r>
        <w:t xml:space="preserve"> </w:t>
      </w:r>
      <w:r>
        <w:t xml:space="preserve">di dieta sola e di esercizio solo (Messier,</w:t>
      </w:r>
      <w:r>
        <w:t xml:space="preserve"> </w:t>
      </w:r>
      <w:r>
        <w:rPr>
          <w:i/>
          <w:iCs/>
        </w:rPr>
        <w:t xml:space="preserve">JAMA</w:t>
      </w:r>
      <w:r>
        <w:t xml:space="preserve"> </w:t>
      </w:r>
      <w:r>
        <w:t xml:space="preserve">2013, PMID 24065013).</w:t>
      </w:r>
      <w:r>
        <w:t xml:space="preserve"> </w:t>
      </w:r>
      <w:r>
        <w:rPr>
          <w:b/>
          <w:bCs/>
        </w:rPr>
        <w:t xml:space="preserve">Misurato su artrosi di ginocchio in adulti sovrappeso, con una dieta intensiva erogata da un centro di ricerca per diciotto mesi, non su dolore multisede con il rinvio a un dietista: gli assi del salto sono popolazione, dose ed erogatore.</w:t>
      </w:r>
      <w:r>
        <w:t xml:space="preserve"> </w:t>
      </w:r>
      <w:r>
        <w:rPr>
          <w:b/>
          <w:bCs/>
        </w:rPr>
        <w:t xml:space="preserve">DIMOSTRATO</w:t>
      </w:r>
      <w:r>
        <w:t xml:space="preserve"> </w:t>
      </w:r>
      <w:r>
        <w:rPr>
          <w:i/>
          <w:iCs/>
        </w:rPr>
        <w:t xml:space="preserve">(studi sull’uomo, solidi)</w:t>
      </w:r>
      <w:r>
        <w:t xml:space="preserve"> </w:t>
      </w:r>
      <w:r>
        <w:t xml:space="preserve">che una riduzione di peso indotta modifichi il carico articolare misurato e migliori dolore e funzione.</w:t>
      </w:r>
    </w:p>
    <w:p>
      <w:pPr>
        <w:pStyle w:val="BodyText"/>
      </w:pPr>
      <w:r>
        <w:rPr>
          <w:b/>
          <w:bCs/>
        </w:rPr>
        <w:t xml:space="preserve">Il contrasto è il punto: il carico si sposta con il peso; non si è spostato con il lavoro sull’articolazione vicina</w:t>
      </w:r>
      <w:r>
        <w:t xml:space="preserve"> </w:t>
      </w:r>
      <w:r>
        <w:t xml:space="preserve">(Bennell, PMID 20175973). È quello che rende il rinvio un atto clinico con una misura dietro, invece di una cortesia — e non tocca niente di ciò che fai con le mani.</w:t>
      </w:r>
    </w:p>
    <w:p>
      <w:pPr>
        <w:pStyle w:val="BodyText"/>
      </w:pPr>
      <w:r>
        <w:rPr>
          <w:b/>
          <w:bCs/>
        </w:rPr>
        <w:t xml:space="preserve">Il sonno</w:t>
      </w:r>
      <w:r>
        <w:t xml:space="preserve"> </w:t>
      </w:r>
      <w:r>
        <w:t xml:space="preserve">è l’unica variabile modificabile rimasta nel modello a quattordici anni, e ha una misura. In 100 pazienti con artrosi di ginocchio e insonnia, un percorso comportamentale ha ridotto la veglia notturna più di un placebo attivo. E il guadagno di sonno</w:t>
      </w:r>
      <w:r>
        <w:t xml:space="preserve"> </w:t>
      </w:r>
      <w:r>
        <w:rPr>
          <w:b/>
          <w:bCs/>
        </w:rPr>
        <w:t xml:space="preserve">precedeva</w:t>
      </w:r>
      <w:r>
        <w:t xml:space="preserve"> </w:t>
      </w:r>
      <w:r>
        <w:t xml:space="preserve">la riduzione del dolore clinico. Ma</w:t>
      </w:r>
      <w:r>
        <w:t xml:space="preserve"> </w:t>
      </w:r>
      <w:r>
        <w:rPr>
          <w:b/>
          <w:bCs/>
        </w:rPr>
        <w:t xml:space="preserve">il dolore è sceso in entrambi i bracci</w:t>
      </w:r>
      <w:r>
        <w:t xml:space="preserve">, e le misure sperimentali di modulazione non si sono mosse (Smith MT,</w:t>
      </w:r>
      <w:r>
        <w:t xml:space="preserve"> </w:t>
      </w:r>
      <w:r>
        <w:rPr>
          <w:i/>
          <w:iCs/>
        </w:rPr>
        <w:t xml:space="preserve">Arthritis Rheumatol</w:t>
      </w:r>
      <w:r>
        <w:t xml:space="preserve"> </w:t>
      </w:r>
      <w:r>
        <w:t xml:space="preserve">2015, PMID 25623343).</w:t>
      </w:r>
    </w:p>
    <w:p>
      <w:pPr>
        <w:pStyle w:val="BodyText"/>
      </w:pPr>
      <w:r>
        <w:rPr>
          <w:b/>
          <w:bCs/>
        </w:rPr>
        <w:t xml:space="preserve">PROBABILE</w:t>
      </w:r>
      <w:r>
        <w:t xml:space="preserve"> </w:t>
      </w:r>
      <w:r>
        <w:rPr>
          <w:i/>
          <w:iCs/>
        </w:rPr>
        <w:t xml:space="preserve">(razionale forte, prove parziali)</w:t>
      </w:r>
      <w:r>
        <w:t xml:space="preserve"> </w:t>
      </w:r>
      <w:r>
        <w:t xml:space="preserve">che il guadagno di sonno preceda una riduzione del dolore.</w:t>
      </w:r>
      <w:r>
        <w:t xml:space="preserve"> </w:t>
      </w:r>
      <w:r>
        <w:rPr>
          <w:b/>
          <w:bCs/>
        </w:rPr>
        <w:t xml:space="preserve">PROBABILE</w:t>
      </w:r>
      <w:r>
        <w:t xml:space="preserve"> </w:t>
      </w:r>
      <w:r>
        <w:t xml:space="preserve">anche che la perdita di sonno — in particolare il sonno</w:t>
      </w:r>
      <w:r>
        <w:t xml:space="preserve"> </w:t>
      </w:r>
      <w:r>
        <w:rPr>
          <w:b/>
          <w:bCs/>
        </w:rPr>
        <w:t xml:space="preserve">interrotto</w:t>
      </w:r>
      <w:r>
        <w:t xml:space="preserve">, non quello semplicemente accorciato — indebolisca il freno discendente (Staffe, PMID 31800612; Smith MT, PMID 17520794 — numeri nel modello neurologico).</w:t>
      </w:r>
      <w:r>
        <w:t xml:space="preserve"> </w:t>
      </w:r>
      <w:r>
        <w:rPr>
          <w:b/>
          <w:bCs/>
        </w:rPr>
        <w:t xml:space="preserve">IPOTESI</w:t>
      </w:r>
      <w:r>
        <w:t xml:space="preserve"> </w:t>
      </w:r>
      <w:r>
        <w:rPr>
          <w:i/>
          <w:iCs/>
        </w:rPr>
        <w:t xml:space="preserve">(meccanismo coerente, nessuno studio)</w:t>
      </w:r>
      <w:r>
        <w:t xml:space="preserve"> </w:t>
      </w:r>
      <w:r>
        <w:t xml:space="preserve">che recuperare il sonno sposti la soglia di questo paziente.</w:t>
      </w:r>
      <w:r>
        <w:t xml:space="preserve"> </w:t>
      </w:r>
      <w:r>
        <w:rPr>
          <w:b/>
          <w:bCs/>
        </w:rPr>
        <w:t xml:space="preserve">Quindi ne chiedi la qualità e non solo le ore.</w:t>
      </w:r>
      <w:r>
        <w:t xml:space="preserve"> </w:t>
      </w:r>
      <w:r>
        <w:t xml:space="preserve">Non è un effetto specifico dimostrato, e non è un atto tuo.</w:t>
      </w:r>
    </w:p>
    <w:bookmarkEnd w:id="59"/>
    <w:bookmarkStart w:id="60" w:name="quando-questo-non-si-consegna"/>
    <w:p>
      <w:pPr>
        <w:pStyle w:val="Heading3"/>
      </w:pPr>
      <w:r>
        <w:t xml:space="preserve">Quando questo non si consegna</w:t>
      </w:r>
    </w:p>
    <w:p>
      <w:pPr>
        <w:pStyle w:val="FirstParagraph"/>
      </w:pPr>
      <w:r>
        <w:t xml:space="preserve">Tre situazioni, senza eccezioni:</w:t>
      </w:r>
      <w:r>
        <w:t xml:space="preserve"> </w:t>
      </w:r>
      <w:r>
        <w:rPr>
          <w:b/>
          <w:bCs/>
        </w:rPr>
        <w:t xml:space="preserve">quadro in attesa di inquadramento reumatologico</w:t>
      </w:r>
      <w:r>
        <w:t xml:space="preserve">;</w:t>
      </w:r>
      <w:r>
        <w:t xml:space="preserve"> </w:t>
      </w:r>
      <w:r>
        <w:rPr>
          <w:b/>
          <w:bCs/>
        </w:rPr>
        <w:t xml:space="preserve">articolazione calda, rossa e gonfia</w:t>
      </w:r>
      <w:r>
        <w:t xml:space="preserve">, il giorno in cui la trovi;</w:t>
      </w:r>
      <w:r>
        <w:t xml:space="preserve"> </w:t>
      </w:r>
      <w:r>
        <w:rPr>
          <w:b/>
          <w:bCs/>
        </w:rPr>
        <w:t xml:space="preserve">osso fragile noto o sospetto senza il canale medico ancora aperto</w:t>
      </w:r>
      <w:r>
        <w:t xml:space="preserve">. Fuori da queste, la parte attiva si consegna.</w:t>
      </w:r>
    </w:p>
    <w:p>
      <w:pPr>
        <w:pStyle w:val="BodyText"/>
      </w:pPr>
      <w:r>
        <w:rPr>
          <w:b/>
          <w:bCs/>
        </w:rPr>
        <w:t xml:space="preserve">Come e quando consegnare tutto questo al tuo paziente sta nella Procedura.</w:t>
      </w:r>
    </w:p>
    <w:p>
      <w:pPr>
        <w:pStyle w:val="BodyText"/>
      </w:pPr>
      <w:r>
        <w:rPr>
          <w:b/>
          <w:bCs/>
        </w:rPr>
        <w:t xml:space="preserve">Le tre cose da ricordare, più una</w:t>
      </w:r>
    </w:p>
    <w:p>
      <w:pPr>
        <w:pStyle w:val="Compact"/>
        <w:numPr>
          <w:ilvl w:val="0"/>
          <w:numId w:val="1025"/>
        </w:numPr>
      </w:pPr>
      <w:r>
        <w:t xml:space="preserve">La leva con le prove migliori la esegue lui, non tu — e sull’anca rende meno che sul ginocchio.</w:t>
      </w:r>
    </w:p>
    <w:p>
      <w:pPr>
        <w:pStyle w:val="Compact"/>
        <w:numPr>
          <w:ilvl w:val="0"/>
          <w:numId w:val="1025"/>
        </w:numPr>
      </w:pPr>
      <w:r>
        <w:t xml:space="preserve">Nel paziente a soglia bassa il carico può far scendere la soglia durante la sessione: aspettatelo, o ritirerai la leva migliore.</w:t>
      </w:r>
    </w:p>
    <w:p>
      <w:pPr>
        <w:pStyle w:val="Compact"/>
        <w:numPr>
          <w:ilvl w:val="0"/>
          <w:numId w:val="1025"/>
        </w:numPr>
      </w:pPr>
      <w:r>
        <w:t xml:space="preserve">L’abbandono non è più alto che nei controlli, e scende di un terzo quando qualcuno accompagna.</w:t>
      </w:r>
    </w:p>
    <w:p>
      <w:pPr>
        <w:pStyle w:val="Compact"/>
        <w:numPr>
          <w:ilvl w:val="0"/>
          <w:numId w:val="1025"/>
        </w:numPr>
      </w:pPr>
      <w:r>
        <w:rPr>
          <w:b/>
          <w:bCs/>
        </w:rPr>
        <w:t xml:space="preserve">Perché ci sei tu.</w:t>
      </w:r>
      <w:r>
        <w:t xml:space="preserve"> </w:t>
      </w:r>
      <w:r>
        <w:t xml:space="preserve">In donne con dolore articolare prodotto da un farmaco, un anno di esercizio ha ridotto il dolore peggiore mentre nei controlli peggiorava (Irwin, PMID 25452437 — numeri nello strumento 2).</w:t>
      </w:r>
      <w:r>
        <w:t xml:space="preserve"> </w:t>
      </w:r>
      <w:r>
        <w:rPr>
          <w:b/>
          <w:bCs/>
        </w:rPr>
        <w:t xml:space="preserve">Per te:</w:t>
      </w:r>
      <w:r>
        <w:t xml:space="preserve"> </w:t>
      </w:r>
      <w:r>
        <w:t xml:space="preserve">la leva attiva funziona anche quando la causa non è meccanica e non è rimuovibile, che è la situazione di molti dei tuoi pazienti multisede. Ti autorizza a insegnare il carico anche quando non puoi togliere la causa. Non ti autorizza a presentarti come alternativa alla terapia in corso: in quello studio le pazienti continuavano a prenderla.</w:t>
      </w:r>
    </w:p>
    <w:p>
      <w:r>
        <w:pict>
          <v:rect style="width:0;height:1.5pt" o:hralign="center" o:hrstd="t" o:hr="t"/>
        </w:pict>
      </w:r>
    </w:p>
    <w:bookmarkEnd w:id="60"/>
    <w:bookmarkEnd w:id="61"/>
    <w:bookmarkStart w:id="66" w:name="capitolo-13-cosa-dire-al-paziente"/>
    <w:p>
      <w:pPr>
        <w:pStyle w:val="Heading2"/>
      </w:pPr>
      <w:r>
        <w:t xml:space="preserve">Capitolo 13 — Cosa dire al paziente</w:t>
      </w:r>
    </w:p>
    <w:p>
      <w:pPr>
        <w:pStyle w:val="BlockText"/>
      </w:pPr>
      <w:r>
        <w:rPr>
          <w:b/>
          <w:bCs/>
        </w:rPr>
        <w:t xml:space="preserve">In una riga:</w:t>
      </w:r>
      <w:r>
        <w:t xml:space="preserve"> </w:t>
      </w:r>
      <w:r>
        <w:t xml:space="preserve">deve uscire dalla prima seduta con tre cose — una spiegazione dell’elenco che non sia</w:t>
      </w:r>
      <w:r>
        <w:t xml:space="preserve"> </w:t>
      </w:r>
      <w:r>
        <w:t xml:space="preserve">“è l’età”</w:t>
      </w:r>
      <w:r>
        <w:t xml:space="preserve">, la consapevolezza che l’inquadramento medico continua accanto a te, e la lista di ciò che deve segnalare.</w:t>
      </w:r>
    </w:p>
    <w:bookmarkStart w:id="62" w:name="lo-script"/>
    <w:p>
      <w:pPr>
        <w:pStyle w:val="Heading3"/>
      </w:pPr>
      <w:r>
        <w:t xml:space="preserve">Lo script</w:t>
      </w:r>
    </w:p>
    <w:p>
      <w:pPr>
        <w:pStyle w:val="FirstParagraph"/>
      </w:pPr>
      <w:r>
        <w:rPr>
          <w:i/>
          <w:iCs/>
        </w:rPr>
        <w:t xml:space="preserve">“Che le faccia male in più punti non è un caso, e non è solo l’età. Ci sono tre ragioni possibili, e cambiano il lavoro. La prima è che il suo corpo è diventato più sensibile: sente più forte, non è più rotto. La seconda è che uno o due punti mandino il dolore altrove: lo verifico con dei test. La terza è che il carico si concentra sempre negli stessi posti. Io lavoro su quello che trovo con le mani, e lo misuro. Il quadro intero lo inquadra il suo medico, e io intanto non aspetto.”</w:t>
      </w:r>
    </w:p>
    <w:bookmarkEnd w:id="62"/>
    <w:bookmarkStart w:id="63" w:name="X2f39149445aac19cf3d318cd1fcafecb27ec62d"/>
    <w:p>
      <w:pPr>
        <w:pStyle w:val="Heading3"/>
      </w:pPr>
      <w:r>
        <w:t xml:space="preserve">Cosa deve riconoscere, fra una seduta e l’altra</w:t>
      </w:r>
    </w:p>
    <w:p>
      <w:pPr>
        <w:pStyle w:val="FirstParagraph"/>
      </w:pPr>
      <w:r>
        <w:t xml:space="preserve">Tre scaglioni, e si dicono alla prima seduta.</w:t>
      </w:r>
    </w:p>
    <w:p>
      <w:pPr>
        <w:pStyle w:val="Compact"/>
        <w:numPr>
          <w:ilvl w:val="0"/>
          <w:numId w:val="1026"/>
        </w:numPr>
      </w:pPr>
      <w:r>
        <w:rPr>
          <w:b/>
          <w:bCs/>
        </w:rPr>
        <w:t xml:space="preserve">Normale:</w:t>
      </w:r>
      <w:r>
        <w:t xml:space="preserve"> </w:t>
      </w:r>
      <w:r>
        <w:t xml:space="preserve">un indolenzimento che si esaurisce in ventiquattro-quarantotto ore.</w:t>
      </w:r>
    </w:p>
    <w:p>
      <w:pPr>
        <w:pStyle w:val="Compact"/>
        <w:numPr>
          <w:ilvl w:val="0"/>
          <w:numId w:val="1026"/>
        </w:numPr>
      </w:pPr>
      <w:r>
        <w:rPr>
          <w:b/>
          <w:bCs/>
        </w:rPr>
        <w:t xml:space="preserve">Da segnalare a te:</w:t>
      </w:r>
      <w:r>
        <w:t xml:space="preserve"> </w:t>
      </w:r>
      <w:r>
        <w:t xml:space="preserve">dolore che peggiora oltre le quarantotto ore; dolore al torace legato al respiro.</w:t>
      </w:r>
    </w:p>
    <w:p>
      <w:pPr>
        <w:pStyle w:val="Compact"/>
        <w:numPr>
          <w:ilvl w:val="0"/>
          <w:numId w:val="1026"/>
        </w:numPr>
      </w:pPr>
      <w:r>
        <w:rPr>
          <w:b/>
          <w:bCs/>
        </w:rPr>
        <w:t xml:space="preserve">Al pronto soccorso senza passare da te:</w:t>
      </w:r>
      <w:r>
        <w:t xml:space="preserve"> </w:t>
      </w:r>
      <w:r>
        <w:t xml:space="preserve">un’articolazione calda, rossa e gonfia; un disturbo nuovo della vista; un deficit neurologico nuovo.</w:t>
      </w:r>
    </w:p>
    <w:p>
      <w:pPr>
        <w:pStyle w:val="FirstParagraph"/>
      </w:pPr>
      <w:r>
        <w:t xml:space="preserve">E la regola di ri-triage, detta a lui e non solo scritta per te:</w:t>
      </w:r>
      <w:r>
        <w:t xml:space="preserve"> </w:t>
      </w:r>
      <w:r>
        <w:rPr>
          <w:i/>
          <w:iCs/>
        </w:rPr>
        <w:t xml:space="preserve">“se le compare gonfiore in un’articolazione, o se la rigidità del mattino si allunga, me lo dice e rifacciamo il punto — non aspettiamo la fine del ciclo.”</w:t>
      </w:r>
    </w:p>
    <w:bookmarkEnd w:id="63"/>
    <w:bookmarkStart w:id="64" w:name="le-obiezioni-e-le-risposte-oneste"/>
    <w:p>
      <w:pPr>
        <w:pStyle w:val="Heading3"/>
      </w:pPr>
      <w:r>
        <w:t xml:space="preserve">Le obiezioni, e le risposte oneste</w:t>
      </w:r>
    </w:p>
    <w:p>
      <w:pPr>
        <w:pStyle w:val="FirstParagraph"/>
      </w:pPr>
      <w:r>
        <w:rPr>
          <w:b/>
          <w:bCs/>
        </w:rPr>
        <w:t xml:space="preserve">“È l’età, mi hanno detto.”</w:t>
      </w:r>
      <w:r>
        <w:t xml:space="preserve"> </w:t>
      </w:r>
      <w:r>
        <w:rPr>
          <w:i/>
          <w:iCs/>
        </w:rPr>
        <w:t xml:space="preserve">“L’età conta, ma non spiega perché certi giorni sta bene e certi no, né perché le fa male dove la lastra è pulita. Quello che possiamo misurare e provare a cambiare è come si muove e quanto regge: se in qualche settimana non si muove niente, glielo dico.”</w:t>
      </w:r>
    </w:p>
    <w:p>
      <w:pPr>
        <w:pStyle w:val="BodyText"/>
      </w:pPr>
      <w:r>
        <w:rPr>
          <w:b/>
          <w:bCs/>
        </w:rPr>
        <w:t xml:space="preserve">“Mi fa male dappertutto, non saprei da dove iniziare.”</w:t>
      </w:r>
      <w:r>
        <w:t xml:space="preserve"> </w:t>
      </w:r>
      <w:r>
        <w:rPr>
          <w:i/>
          <w:iCs/>
        </w:rPr>
        <w:t xml:space="preserve">“Da dove iniziare lo trovo io, ed è il mio lavoro. Guardo anche le articolazioni che lei non mi ha nominato, perché a volte una delle sedi che le fa male sta ricevendo il dolore da un’altra. Non è detto che succeda; se succede, lo verifico e glielo dico.”</w:t>
      </w:r>
    </w:p>
    <w:p>
      <w:pPr>
        <w:pStyle w:val="BodyText"/>
      </w:pPr>
      <w:r>
        <w:rPr>
          <w:b/>
          <w:bCs/>
        </w:rPr>
        <w:t xml:space="preserve">“Il reumatologo ha escluso l’artrite.”</w:t>
      </w:r>
      <w:r>
        <w:t xml:space="preserve"> </w:t>
      </w:r>
      <w:r>
        <w:rPr>
          <w:i/>
          <w:iCs/>
        </w:rPr>
        <w:t xml:space="preserve">“È un’informazione importante, e le chiedo quando è stata: se nel frattempo qualche articolazione si è gonfiata o la rigidità del mattino si è allungata, quel controllo va rifatto. E anche esami normali non escludono per sempre. Non lo decido io, ma lo segnalo.”</w:t>
      </w:r>
    </w:p>
    <w:p>
      <w:pPr>
        <w:pStyle w:val="BodyText"/>
      </w:pPr>
      <w:r>
        <w:rPr>
          <w:b/>
          <w:bCs/>
        </w:rPr>
        <w:t xml:space="preserve">“Prendo antinfiammatori quando serve.”</w:t>
      </w:r>
      <w:r>
        <w:t xml:space="preserve"> </w:t>
      </w:r>
      <w:r>
        <w:rPr>
          <w:i/>
          <w:iCs/>
        </w:rPr>
        <w:t xml:space="preserve">“Quanto e quando prenderli lo decide il medico che glieli ha prescritti, e su quello non entro io né entrano i miei risultati. Il mio obiettivo è un altro e lo misuro: quanto si muove, quanto regge su un compito, quante alzate fa. Le chiedo però di dirmi tutto quello che prende, comprese le cose comprate in farmacia, perché quel dato lo scrivo e lo mando al suo medico.”</w:t>
      </w:r>
    </w:p>
    <w:p>
      <w:pPr>
        <w:pStyle w:val="BodyText"/>
      </w:pPr>
      <w:r>
        <w:rPr>
          <w:b/>
          <w:bCs/>
        </w:rPr>
        <w:t xml:space="preserve">“Prendo gli integratori per la cartilagine.”</w:t>
      </w:r>
      <w:r>
        <w:t xml:space="preserve"> </w:t>
      </w:r>
      <w:r>
        <w:rPr>
          <w:i/>
          <w:iCs/>
        </w:rPr>
        <w:t xml:space="preserve">“Le dico quello che hanno misurato, poi decide lei. Su quasi quattromila persone con artrosi di anca o ginocchio, glucosamina e condroitina hanno dato una differenza sul dolore troppo piccola perché si senta, e nessun effetto sull’articolazione. Se glieli ha consigliati un medico ne parli con lui, perché non è una cosa che decido io: io le scrivo il dato e glielo mando.”</w:t>
      </w:r>
    </w:p>
    <w:bookmarkEnd w:id="64"/>
    <w:bookmarkStart w:id="65" w:name="cosa-non-promettere-mai"/>
    <w:p>
      <w:pPr>
        <w:pStyle w:val="Heading3"/>
      </w:pPr>
      <w:r>
        <w:t xml:space="preserve">Cosa non promettere mai</w:t>
      </w:r>
    </w:p>
    <w:p>
      <w:pPr>
        <w:pStyle w:val="FirstParagraph"/>
      </w:pPr>
      <w:r>
        <w:t xml:space="preserve">Non promettere che l’elenco si accorcerà: non è l’esito che gli studi hanno misurato. Non promettere che smetterà i farmaci: non è una decisione tua. Non dire che gli esami</w:t>
      </w:r>
      <w:r>
        <w:t xml:space="preserve"> </w:t>
      </w:r>
      <w:r>
        <w:t xml:space="preserve">“non servono”</w:t>
      </w:r>
      <w:r>
        <w:t xml:space="preserve">: su una parte di questi pazienti sono l’unica cosa che serve.</w:t>
      </w:r>
    </w:p>
    <w:p>
      <w:pPr>
        <w:pStyle w:val="BodyText"/>
      </w:pPr>
      <w:r>
        <w:rPr>
          <w:b/>
          <w:bCs/>
        </w:rPr>
        <w:t xml:space="preserve">Le tre cose da ricordare, più una</w:t>
      </w:r>
    </w:p>
    <w:p>
      <w:pPr>
        <w:pStyle w:val="Compact"/>
        <w:numPr>
          <w:ilvl w:val="0"/>
          <w:numId w:val="1027"/>
        </w:numPr>
      </w:pPr>
      <w:r>
        <w:t xml:space="preserve">La spiegazione a tre ragioni è la sostituzione dell’</w:t>
      </w:r>
      <w:r>
        <w:rPr>
          <w:i/>
          <w:iCs/>
        </w:rPr>
        <w:t xml:space="preserve">“è l’età”</w:t>
      </w:r>
      <w:r>
        <w:t xml:space="preserve">, e vale più di qualunque tecnica della prima seduta.</w:t>
      </w:r>
    </w:p>
    <w:p>
      <w:pPr>
        <w:pStyle w:val="Compact"/>
        <w:numPr>
          <w:ilvl w:val="0"/>
          <w:numId w:val="1027"/>
        </w:numPr>
      </w:pPr>
      <w:r>
        <w:t xml:space="preserve">Il</w:t>
      </w:r>
      <w:r>
        <w:t xml:space="preserve"> </w:t>
      </w:r>
      <w:r>
        <w:rPr>
          <w:i/>
          <w:iCs/>
        </w:rPr>
        <w:t xml:space="preserve">“non è artrite”</w:t>
      </w:r>
      <w:r>
        <w:t xml:space="preserve"> </w:t>
      </w:r>
      <w:r>
        <w:t xml:space="preserve">si data, sempre, e si dice che comunque non esclude.</w:t>
      </w:r>
    </w:p>
    <w:p>
      <w:pPr>
        <w:pStyle w:val="Compact"/>
        <w:numPr>
          <w:ilvl w:val="0"/>
          <w:numId w:val="1027"/>
        </w:numPr>
      </w:pPr>
      <w:r>
        <w:t xml:space="preserve">Il paziente esce sapendo cosa segnalare a te e cosa portare al pronto soccorso senza passare da te.</w:t>
      </w:r>
    </w:p>
    <w:p>
      <w:pPr>
        <w:pStyle w:val="Compact"/>
        <w:numPr>
          <w:ilvl w:val="0"/>
          <w:numId w:val="1027"/>
        </w:numPr>
      </w:pPr>
      <w:r>
        <w:rPr>
          <w:b/>
          <w:bCs/>
        </w:rPr>
        <w:t xml:space="preserve">Perché ci sei tu.</w:t>
      </w:r>
      <w:r>
        <w:t xml:space="preserve"> </w:t>
      </w:r>
      <w:r>
        <w:t xml:space="preserve">Centosettantuno persone con artrosi di ginocchio sono state seguite tre mesi con rilevazioni ripetute: temperatura, umidità, pressione atmosferica e pioggia</w:t>
      </w:r>
      <w:r>
        <w:t xml:space="preserve"> </w:t>
      </w:r>
      <w:r>
        <w:rPr>
          <w:b/>
          <w:bCs/>
        </w:rPr>
        <w:t xml:space="preserve">non</w:t>
      </w:r>
      <w:r>
        <w:t xml:space="preserve"> </w:t>
      </w:r>
      <w:r>
        <w:t xml:space="preserve">erano associate al rischio di riacutizzazione del dolore (Ferreira,</w:t>
      </w:r>
      <w:r>
        <w:t xml:space="preserve"> </w:t>
      </w:r>
      <w:r>
        <w:rPr>
          <w:i/>
          <w:iCs/>
        </w:rPr>
        <w:t xml:space="preserve">Osteoarthritis Cartilage</w:t>
      </w:r>
      <w:r>
        <w:t xml:space="preserve"> </w:t>
      </w:r>
      <w:r>
        <w:t xml:space="preserve">2016, PMID 27492467).</w:t>
      </w:r>
      <w:r>
        <w:t xml:space="preserve"> </w:t>
      </w:r>
      <w:r>
        <w:rPr>
          <w:b/>
          <w:bCs/>
        </w:rPr>
        <w:t xml:space="preserve">Per te:</w:t>
      </w:r>
      <w:r>
        <w:t xml:space="preserve"> </w:t>
      </w:r>
      <w:r>
        <w:t xml:space="preserve">il paziente ti dirà che il meteo comanda, e su quella convinzione ha costruito una rinuncia. Ti autorizza a smontare la previsione, con un dato e senza ironia. Non ti autorizza a negargli il sintomo: il dolore c’è, quello che non c’è è il rapporto con la pressione atmosferica.</w:t>
      </w:r>
    </w:p>
    <w:p>
      <w:r>
        <w:pict>
          <v:rect style="width:0;height:1.5pt" o:hralign="center" o:hrstd="t" o:hr="t"/>
        </w:pict>
      </w:r>
    </w:p>
    <w:bookmarkEnd w:id="65"/>
    <w:bookmarkEnd w:id="66"/>
    <w:bookmarkStart w:id="67" w:name="capitolo-14-cosa-fare-adesso"/>
    <w:p>
      <w:pPr>
        <w:pStyle w:val="Heading2"/>
      </w:pPr>
      <w:r>
        <w:t xml:space="preserve">Capitolo 14 — Cosa fare adesso</w:t>
      </w:r>
    </w:p>
    <w:p>
      <w:pPr>
        <w:pStyle w:val="BlockText"/>
      </w:pPr>
      <w:r>
        <w:rPr>
          <w:b/>
          <w:bCs/>
        </w:rPr>
        <w:t xml:space="preserve">In una riga:</w:t>
      </w:r>
      <w:r>
        <w:t xml:space="preserve"> </w:t>
      </w:r>
      <w:r>
        <w:t xml:space="preserve">questo paziente arriva con un elenco, e tu sei la prima persona che lo tratta come un dato invece che come una lamentela.</w:t>
      </w:r>
    </w:p>
    <w:p>
      <w:pPr>
        <w:pStyle w:val="FirstParagraph"/>
      </w:pPr>
      <w:r>
        <w:rPr>
          <w:b/>
          <w:bCs/>
        </w:rPr>
        <w:t xml:space="preserve">Il filo.</w:t>
      </w:r>
      <w:r>
        <w:t xml:space="preserve"> </w:t>
      </w:r>
      <w:r>
        <w:t xml:space="preserve">Chi ti trova davanti ha oltre cinquant’anni e più articolazioni dolenti, ed è più comune del paziente con una sola. Il suo elenco non conta soltanto le articolazioni danneggiate: conta anche quanto è scesa la soglia a cui il suo corpo produce dolore, e quel numero non sta in nessun referto. Alcune sedi sono eco di poche sorgenti. Su tutte il muscolo si è spento per riflesso e per risparmio, e dietro il risparmio c’è una convinzione che si può cambiare. Su una minoranza il quadro non è meccanico affatto, e lì il tuo atto è riconoscere e mandare. Su tutte le altre le tue mani aprono un’escursione e una finestra sulla soglia, e la leva che fa la differenza nel tempo la esegue lui.</w:t>
      </w:r>
    </w:p>
    <w:p>
      <w:pPr>
        <w:pStyle w:val="BodyText"/>
      </w:pPr>
      <w:r>
        <w:rPr>
          <w:b/>
          <w:bCs/>
        </w:rPr>
        <w:t xml:space="preserve">Le tre cose che cambi da lunedì.</w:t>
      </w:r>
    </w:p>
    <w:p>
      <w:pPr>
        <w:pStyle w:val="Compact"/>
        <w:numPr>
          <w:ilvl w:val="0"/>
          <w:numId w:val="1028"/>
        </w:numPr>
      </w:pPr>
      <w:r>
        <w:rPr>
          <w:b/>
          <w:bCs/>
        </w:rPr>
        <w:t xml:space="preserve">Guarda l’articolazione che non ti ha nominato, e fai cronometrare la rigidità del mattino.</w:t>
      </w:r>
      <w:r>
        <w:t xml:space="preserve"> </w:t>
      </w:r>
      <w:r>
        <w:t xml:space="preserve">Rotazione interna d’anca in chi dice ginocchio, dopo aver chiesto della protesi. Rotazione cervicale</w:t>
      </w:r>
      <w:r>
        <w:t xml:space="preserve"> </w:t>
      </w:r>
      <w:r>
        <w:rPr>
          <w:b/>
          <w:bCs/>
        </w:rPr>
        <w:t xml:space="preserve">attiva, eseguita dal paziente</w:t>
      </w:r>
      <w:r>
        <w:t xml:space="preserve">, in chi dice spalla. E uno sguardo a unghie, cuoio capelluto e talloni, perché i segni che non passano dalla rigidità stanno lì. Una sede su sette è un’eco, e la trovi solo se la cerchi.</w:t>
      </w:r>
    </w:p>
    <w:p>
      <w:pPr>
        <w:pStyle w:val="Compact"/>
        <w:numPr>
          <w:ilvl w:val="0"/>
          <w:numId w:val="1028"/>
        </w:numPr>
      </w:pPr>
      <w:r>
        <w:rPr>
          <w:b/>
          <w:bCs/>
        </w:rPr>
        <w:t xml:space="preserve">Digli che il quadro va comunque inquadrato dal suo medico, e che tu intanto non aspetti.</w:t>
      </w:r>
      <w:r>
        <w:t xml:space="preserve"> </w:t>
      </w:r>
      <w:r>
        <w:t xml:space="preserve">Poi digli cosa segnalarti: se compare gonfiore in un’articolazione, o se la rigidità del mattino si allunga, si rifà il punto senza aspettare la fine del ciclo.</w:t>
      </w:r>
    </w:p>
    <w:p>
      <w:pPr>
        <w:pStyle w:val="Compact"/>
        <w:numPr>
          <w:ilvl w:val="0"/>
          <w:numId w:val="1028"/>
        </w:numPr>
      </w:pPr>
      <w:r>
        <w:rPr>
          <w:b/>
          <w:bCs/>
        </w:rPr>
        <w:t xml:space="preserve">Smetti di promettere che l’elenco si accorcia.</w:t>
      </w:r>
      <w:r>
        <w:t xml:space="preserve"> </w:t>
      </w:r>
      <w:r>
        <w:t xml:space="preserve">Promettine l’escursione, i minuti su un compito, le alzate: l’elenco è il sintomo, e il sintomo non è il tuo esito.</w:t>
      </w:r>
    </w:p>
    <w:p>
      <w:pPr>
        <w:pStyle w:val="FirstParagraph"/>
      </w:pPr>
      <w:r>
        <w:rPr>
          <w:i/>
          <w:iCs/>
        </w:rPr>
        <w:t xml:space="preserve">Su questa condizione ti trovi in una posizione scomoda e rara: sai molto di come funziona e poco di quanto vali. Chi la abita bene non è chi si convince di valere di più, è chi misura. Scegli il segno prima di toccare, dichiara la soglia, e accetta il verdetto anche quando è contro di te — perché è l’unica cosa, in tutta questa Bibbia, che nessuno può toglierti.</w:t>
      </w:r>
    </w:p>
    <w:p>
      <w:pPr>
        <w:pStyle w:val="BodyText"/>
      </w:pPr>
      <w:r>
        <w:rPr>
          <w:b/>
          <w:bCs/>
        </w:rPr>
        <w:t xml:space="preserve">Le tre cose da ricordare, più una</w:t>
      </w:r>
    </w:p>
    <w:p>
      <w:pPr>
        <w:pStyle w:val="Compact"/>
        <w:numPr>
          <w:ilvl w:val="0"/>
          <w:numId w:val="1029"/>
        </w:numPr>
      </w:pPr>
      <w:r>
        <w:t xml:space="preserve">Guarda l’articolazione che non ti ha nominato, cronometra la rigidità del mattino, e cerca i segni dove si nascondono.</w:t>
      </w:r>
    </w:p>
    <w:p>
      <w:pPr>
        <w:pStyle w:val="Compact"/>
        <w:numPr>
          <w:ilvl w:val="0"/>
          <w:numId w:val="1029"/>
        </w:numPr>
      </w:pPr>
      <w:r>
        <w:t xml:space="preserve">Digli che il quadro resta da inquadrare col suo medico, che tu intanto non aspetti, e cosa deve segnalarti.</w:t>
      </w:r>
    </w:p>
    <w:p>
      <w:pPr>
        <w:pStyle w:val="Compact"/>
        <w:numPr>
          <w:ilvl w:val="0"/>
          <w:numId w:val="1029"/>
        </w:numPr>
      </w:pPr>
      <w:r>
        <w:t xml:space="preserve">Promettine le misure, non l’elenco.</w:t>
      </w:r>
    </w:p>
    <w:p>
      <w:pPr>
        <w:pStyle w:val="Compact"/>
        <w:numPr>
          <w:ilvl w:val="0"/>
          <w:numId w:val="1029"/>
        </w:numPr>
      </w:pPr>
      <w:r>
        <w:rPr>
          <w:b/>
          <w:bCs/>
        </w:rPr>
        <w:t xml:space="preserve">Perché ci sei tu.</w:t>
      </w:r>
      <w:r>
        <w:t xml:space="preserve"> </w:t>
      </w:r>
      <w:r>
        <w:t xml:space="preserve">Sulla mano l’esercizio migliora dolore, funzione e rigidità delle dita, con effetti piccoli e prove di bassa qualità. Gli autori scrivono che se rappresentino un cambiamento clinicamente importante è discutibile (Østerås, PMID 29032354 — numeri in «Cosa può fare il paziente da solo»).</w:t>
      </w:r>
      <w:r>
        <w:t xml:space="preserve"> </w:t>
      </w:r>
      <w:r>
        <w:rPr>
          <w:b/>
          <w:bCs/>
        </w:rPr>
        <w:t xml:space="preserve">Per te:</w:t>
      </w:r>
      <w:r>
        <w:t xml:space="preserve"> </w:t>
      </w:r>
      <w:r>
        <w:t xml:space="preserve">anche sulla sede che il paziente cita per prima —</w:t>
      </w:r>
      <w:r>
        <w:t xml:space="preserve"> </w:t>
      </w:r>
      <w:r>
        <w:rPr>
          <w:i/>
          <w:iCs/>
        </w:rPr>
        <w:t xml:space="preserve">“non riesco ad aprire un barattolo”</w:t>
      </w:r>
      <w:r>
        <w:t xml:space="preserve"> </w:t>
      </w:r>
      <w:r>
        <w:t xml:space="preserve">— quello che funziona è insegnabile, ed è modesto. Ti autorizza a occuparti delle mani invece di rimandarle a qualcun altro. Non ti autorizza a promettere un risultato che gli autori stessi non chiamano importante.</w:t>
      </w:r>
    </w:p>
    <w:p>
      <w:r>
        <w:pict>
          <v:rect style="width:0;height:1.5pt" o:hralign="center" o:hrstd="t" o:hr="t"/>
        </w:pict>
      </w:r>
    </w:p>
    <w:bookmarkEnd w:id="67"/>
    <w:bookmarkStart w:id="68" w:name="appendice-a-glossario"/>
    <w:p>
      <w:pPr>
        <w:pStyle w:val="Heading2"/>
      </w:pPr>
      <w:r>
        <w:t xml:space="preserve">Appendice A — Glossario</w:t>
      </w:r>
    </w:p>
    <w:p>
      <w:pPr>
        <w:pStyle w:val="FirstParagraph"/>
      </w:pPr>
      <w:r>
        <w:rPr>
          <w:b/>
          <w:bCs/>
        </w:rPr>
        <w:t xml:space="preserve">Il criterio, dichiarato.</w:t>
      </w:r>
      <w:r>
        <w:t xml:space="preserve"> </w:t>
      </w:r>
      <w:r>
        <w:t xml:space="preserve">Qui stanno i termini che decidono una condotta, e quelli che questo documento usa in un senso preciso. I nomi di malattia e le strutture di base che un osteopata laureato conosce già — gotta, connettiviti, pirofosfato, sinovia — restano fuori: questa Bibbia presuppone la laurea.</w:t>
      </w:r>
    </w:p>
    <w:p>
      <w:pPr>
        <w:pStyle w:val="BodyText"/>
      </w:pPr>
      <w:r>
        <w:rPr>
          <w:b/>
          <w:bCs/>
        </w:rPr>
        <w:t xml:space="preserve">Algometro</w:t>
      </w:r>
      <w:r>
        <w:t xml:space="preserve"> </w:t>
      </w:r>
      <w:r>
        <w:t xml:space="preserve">— Strumento a punta che misura quanta pressione serve perché il paziente riferisca dolore.</w:t>
      </w:r>
    </w:p>
    <w:p>
      <w:pPr>
        <w:pStyle w:val="BodyText"/>
      </w:pPr>
      <w:r>
        <w:rPr>
          <w:b/>
          <w:bCs/>
        </w:rPr>
        <w:t xml:space="preserve">Allodinia</w:t>
      </w:r>
      <w:r>
        <w:t xml:space="preserve"> </w:t>
      </w:r>
      <w:r>
        <w:t xml:space="preserve">— Dolore prodotto da uno stimolo che normalmente non fa male, come una pressione leggera.</w:t>
      </w:r>
    </w:p>
    <w:p>
      <w:pPr>
        <w:pStyle w:val="BodyText"/>
      </w:pPr>
      <w:r>
        <w:rPr>
          <w:b/>
          <w:bCs/>
        </w:rPr>
        <w:t xml:space="preserve">Artrosi</w:t>
      </w:r>
      <w:r>
        <w:t xml:space="preserve"> </w:t>
      </w:r>
      <w:r>
        <w:t xml:space="preserve">— Malattia di tutta l’articolazione: cartilagine persa, osso alterato, sinovia infiammata.</w:t>
      </w:r>
    </w:p>
    <w:p>
      <w:pPr>
        <w:pStyle w:val="BodyText"/>
      </w:pPr>
      <w:r>
        <w:rPr>
          <w:b/>
          <w:bCs/>
        </w:rPr>
        <w:t xml:space="preserve">Catena</w:t>
      </w:r>
      <w:r>
        <w:t xml:space="preserve"> </w:t>
      </w:r>
      <w:r>
        <w:t xml:space="preserve">— Insieme di strutture collegate che si influenzano a distanza, per continuità meccanica o per via nervosa. Spiega perché un problema in un punto può manifestarsi in un altro.</w:t>
      </w:r>
    </w:p>
    <w:p>
      <w:pPr>
        <w:pStyle w:val="BodyText"/>
      </w:pPr>
      <w:r>
        <w:rPr>
          <w:b/>
          <w:bCs/>
        </w:rPr>
        <w:t xml:space="preserve">Compenso</w:t>
      </w:r>
      <w:r>
        <w:t xml:space="preserve"> </w:t>
      </w:r>
      <w:r>
        <w:t xml:space="preserve">— Adattamento che il corpo mette in atto per continuare a funzionare nonostante un problema. Costa qualcosa — comfort, efficienza, escursione — e regge finché può. Il sintomo compare spesso dove il compenso ha ceduto, non dove il problema è nato.</w:t>
      </w:r>
    </w:p>
    <w:p>
      <w:pPr>
        <w:pStyle w:val="BodyText"/>
      </w:pPr>
      <w:r>
        <w:rPr>
          <w:b/>
          <w:bCs/>
        </w:rPr>
        <w:t xml:space="preserve">Crossover (disegno)</w:t>
      </w:r>
      <w:r>
        <w:t xml:space="preserve"> </w:t>
      </w:r>
      <w:r>
        <w:t xml:space="preserve">— Studio in cui ogni partecipante riceve, in tempi diversi, sia il trattamento sia il controllo, e fa da confronto a sé stesso.</w:t>
      </w:r>
    </w:p>
    <w:p>
      <w:pPr>
        <w:pStyle w:val="BodyText"/>
      </w:pPr>
      <w:r>
        <w:rPr>
          <w:b/>
          <w:bCs/>
        </w:rPr>
        <w:t xml:space="preserve">Densitometria</w:t>
      </w:r>
      <w:r>
        <w:t xml:space="preserve"> </w:t>
      </w:r>
      <w:r>
        <w:t xml:space="preserve">— Esame che misura la densità minerale dell’osso. Senza, la fragilità si può solo sospettare dai fattori di rischio.</w:t>
      </w:r>
    </w:p>
    <w:p>
      <w:pPr>
        <w:pStyle w:val="BodyText"/>
      </w:pPr>
      <w:r>
        <w:rPr>
          <w:b/>
          <w:bCs/>
        </w:rPr>
        <w:t xml:space="preserve">Dissezione dell’arteria cervicale</w:t>
      </w:r>
      <w:r>
        <w:t xml:space="preserve"> </w:t>
      </w:r>
      <w:r>
        <w:t xml:space="preserve">— Lacerazione della parete di un’arteria del collo. È rara, e cervicalgia o cefalea di tipo nuovo possono esserne il primo sintomo.</w:t>
      </w:r>
    </w:p>
    <w:p>
      <w:pPr>
        <w:pStyle w:val="BodyText"/>
      </w:pPr>
      <w:r>
        <w:rPr>
          <w:b/>
          <w:bCs/>
        </w:rPr>
        <w:t xml:space="preserve">Dattilite</w:t>
      </w:r>
      <w:r>
        <w:t xml:space="preserve"> </w:t>
      </w:r>
      <w:r>
        <w:t xml:space="preserve">— Gonfiore di un dito per intero,</w:t>
      </w:r>
      <w:r>
        <w:t xml:space="preserve"> </w:t>
      </w:r>
      <w:r>
        <w:t xml:space="preserve">“a salsicciotto”</w:t>
      </w:r>
      <w:r>
        <w:t xml:space="preserve">. Segno di spondiloartrite.</w:t>
      </w:r>
    </w:p>
    <w:p>
      <w:pPr>
        <w:pStyle w:val="BodyText"/>
      </w:pPr>
      <w:r>
        <w:rPr>
          <w:b/>
          <w:bCs/>
        </w:rPr>
        <w:t xml:space="preserve">DIMOSTRATO</w:t>
      </w:r>
      <w:r>
        <w:t xml:space="preserve"> </w:t>
      </w:r>
      <w:r>
        <w:t xml:space="preserve">— Etichetta di solidità. Glossa fissa:</w:t>
      </w:r>
      <w:r>
        <w:t xml:space="preserve"> </w:t>
      </w:r>
      <w:r>
        <w:rPr>
          <w:i/>
          <w:iCs/>
        </w:rPr>
        <w:t xml:space="preserve">(studi sull’uomo, solidi)</w:t>
      </w:r>
      <w:r>
        <w:t xml:space="preserve">. Studi randomizzati o revisioni sistematiche solide, con fonte citata.</w:t>
      </w:r>
    </w:p>
    <w:p>
      <w:pPr>
        <w:pStyle w:val="BodyText"/>
      </w:pPr>
      <w:r>
        <w:rPr>
          <w:b/>
          <w:bCs/>
        </w:rPr>
        <w:t xml:space="preserve">Differenza media standardizzata (SMD)</w:t>
      </w:r>
      <w:r>
        <w:t xml:space="preserve"> </w:t>
      </w:r>
      <w:r>
        <w:t xml:space="preserve">— Misura di effetto senza unità, usata per confrontare studi che hanno usato scale diverse. Sotto 0,4 è un effetto piccolo.</w:t>
      </w:r>
    </w:p>
    <w:p>
      <w:pPr>
        <w:pStyle w:val="BodyText"/>
      </w:pPr>
      <w:r>
        <w:rPr>
          <w:b/>
          <w:bCs/>
        </w:rPr>
        <w:t xml:space="preserve">Disfunzione somatica</w:t>
      </w:r>
      <w:r>
        <w:t xml:space="preserve"> </w:t>
      </w:r>
      <w:r>
        <w:t xml:space="preserve">— Alterazione della funzione di una parte del sistema muscolo-scheletrico e delle strutture collegate, riconoscibile all’esame manuale. È una descrizione di funzione, non una diagnosi di malattia.</w:t>
      </w:r>
    </w:p>
    <w:p>
      <w:pPr>
        <w:pStyle w:val="BodyText"/>
      </w:pPr>
      <w:r>
        <w:rPr>
          <w:b/>
          <w:bCs/>
        </w:rPr>
        <w:t xml:space="preserve">Dolore riferito</w:t>
      </w:r>
      <w:r>
        <w:t xml:space="preserve"> </w:t>
      </w:r>
      <w:r>
        <w:t xml:space="preserve">— Dolore percepito in un punto diverso da quello in cui il segnale nasce.</w:t>
      </w:r>
    </w:p>
    <w:p>
      <w:pPr>
        <w:pStyle w:val="BodyText"/>
      </w:pPr>
      <w:r>
        <w:rPr>
          <w:b/>
          <w:bCs/>
        </w:rPr>
        <w:t xml:space="preserve">Emartro</w:t>
      </w:r>
      <w:r>
        <w:t xml:space="preserve"> </w:t>
      </w:r>
      <w:r>
        <w:t xml:space="preserve">— Sangue dentro l’articolazione. In un paziente in anticoagulante, un’articolazione gonfia senza trauma va valutata con urgenza.</w:t>
      </w:r>
    </w:p>
    <w:p>
      <w:pPr>
        <w:pStyle w:val="BodyText"/>
      </w:pPr>
      <w:r>
        <w:rPr>
          <w:b/>
          <w:bCs/>
        </w:rPr>
        <w:t xml:space="preserve">Entesite</w:t>
      </w:r>
      <w:r>
        <w:t xml:space="preserve"> </w:t>
      </w:r>
      <w:r>
        <w:t xml:space="preserve">— Infiammazione del punto in cui un tendine si attacca all’osso, tipicamente al tallone.</w:t>
      </w:r>
    </w:p>
    <w:p>
      <w:pPr>
        <w:pStyle w:val="BodyText"/>
      </w:pPr>
      <w:r>
        <w:rPr>
          <w:b/>
          <w:bCs/>
        </w:rPr>
        <w:t xml:space="preserve">Esposizione graduata al carico</w:t>
      </w:r>
      <w:r>
        <w:t xml:space="preserve"> </w:t>
      </w:r>
      <w:r>
        <w:t xml:space="preserve">— Aumentare il carico per passi piccoli, partendo sotto la soglia che scatena la reazione del paziente. È il modo di consegnare il carico progressivo a chi ha la soglia bassa.</w:t>
      </w:r>
    </w:p>
    <w:p>
      <w:pPr>
        <w:pStyle w:val="BodyText"/>
      </w:pPr>
      <w:r>
        <w:rPr>
          <w:b/>
          <w:bCs/>
        </w:rPr>
        <w:t xml:space="preserve">Ipoalgesia indotta dall’esercizio</w:t>
      </w:r>
      <w:r>
        <w:t xml:space="preserve"> </w:t>
      </w:r>
      <w:r>
        <w:t xml:space="preserve">— Innalzamento della soglia del dolore durante e dopo l’attività fisica. Nei pazienti con modulazione alterata la soglia può invece scendere.</w:t>
      </w:r>
    </w:p>
    <w:p>
      <w:pPr>
        <w:pStyle w:val="BodyText"/>
      </w:pPr>
      <w:r>
        <w:rPr>
          <w:b/>
          <w:bCs/>
        </w:rPr>
        <w:t xml:space="preserve">IPOTESI</w:t>
      </w:r>
      <w:r>
        <w:t xml:space="preserve"> </w:t>
      </w:r>
      <w:r>
        <w:t xml:space="preserve">— Etichetta di solidità. Glossa fissa:</w:t>
      </w:r>
      <w:r>
        <w:t xml:space="preserve"> </w:t>
      </w:r>
      <w:r>
        <w:rPr>
          <w:i/>
          <w:iCs/>
        </w:rPr>
        <w:t xml:space="preserve">(meccanismo coerente, nessuno studio)</w:t>
      </w:r>
      <w:r>
        <w:t xml:space="preserve">. Meccanismo fisiologico coerente, nessuno studio diretto sul punto.</w:t>
      </w:r>
    </w:p>
    <w:p>
      <w:pPr>
        <w:pStyle w:val="BodyText"/>
      </w:pPr>
      <w:r>
        <w:rPr>
          <w:b/>
          <w:bCs/>
        </w:rPr>
        <w:t xml:space="preserve">Inibizione muscolare artrogena</w:t>
      </w:r>
      <w:r>
        <w:t xml:space="preserve"> </w:t>
      </w:r>
      <w:r>
        <w:t xml:space="preserve">— Il muscolo attorno a un’articolazione irritata non si lascia reclutare del tutto, per un riflesso spinale, anche senza dolore.</w:t>
      </w:r>
    </w:p>
    <w:p>
      <w:pPr>
        <w:pStyle w:val="BodyText"/>
      </w:pPr>
      <w:r>
        <w:rPr>
          <w:b/>
          <w:bCs/>
        </w:rPr>
        <w:t xml:space="preserve">Kilopascal</w:t>
      </w:r>
      <w:r>
        <w:t xml:space="preserve"> </w:t>
      </w:r>
      <w:r>
        <w:t xml:space="preserve">— L’unità in cui l’algometro esprime la pressione, e quindi l’unità in cui scrivi l’esito della soglia.</w:t>
      </w:r>
    </w:p>
    <w:p>
      <w:pPr>
        <w:pStyle w:val="BodyText"/>
      </w:pPr>
      <w:r>
        <w:rPr>
          <w:b/>
          <w:bCs/>
        </w:rPr>
        <w:t xml:space="preserve">MICI</w:t>
      </w:r>
      <w:r>
        <w:t xml:space="preserve"> </w:t>
      </w:r>
      <w:r>
        <w:t xml:space="preserve">— Malattie infiammatorie croniche intestinali, morbo di Crohn e colite ulcerosa. Stanno fra i segni extra-articolari che aprono la porta delle spondiloartriti.</w:t>
      </w:r>
    </w:p>
    <w:p>
      <w:pPr>
        <w:pStyle w:val="BodyText"/>
      </w:pPr>
      <w:r>
        <w:rPr>
          <w:b/>
          <w:bCs/>
        </w:rPr>
        <w:t xml:space="preserve">Lesione primaria</w:t>
      </w:r>
      <w:r>
        <w:t xml:space="preserve"> </w:t>
      </w:r>
      <w:r>
        <w:t xml:space="preserve">— Disfunzione che, nella ricostruzione clinica, ha innescato le altre. È una ricostruzione a posteriori e non una prova: si scrive come ipotesi, mai come fatto.</w:t>
      </w:r>
    </w:p>
    <w:p>
      <w:pPr>
        <w:pStyle w:val="BodyText"/>
      </w:pPr>
      <w:r>
        <w:rPr>
          <w:b/>
          <w:bCs/>
        </w:rPr>
        <w:t xml:space="preserve">Marker</w:t>
      </w:r>
      <w:r>
        <w:t xml:space="preserve"> </w:t>
      </w:r>
      <w:r>
        <w:t xml:space="preserve">—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BodyText"/>
      </w:pPr>
      <w:r>
        <w:rPr>
          <w:b/>
          <w:bCs/>
        </w:rPr>
        <w:t xml:space="preserve">Meta-analisi su dati individuali</w:t>
      </w:r>
      <w:r>
        <w:t xml:space="preserve"> </w:t>
      </w:r>
      <w:r>
        <w:t xml:space="preserve">— Analisi che rimette insieme i dati di ogni singolo partecipante di più studi, invece dei loro risultati medi.</w:t>
      </w:r>
    </w:p>
    <w:p>
      <w:pPr>
        <w:pStyle w:val="BodyText"/>
      </w:pPr>
      <w:r>
        <w:rPr>
          <w:b/>
          <w:bCs/>
        </w:rPr>
        <w:t xml:space="preserve">Modulazione condizionata del dolore</w:t>
      </w:r>
      <w:r>
        <w:t xml:space="preserve"> </w:t>
      </w:r>
      <w:r>
        <w:t xml:space="preserve">— Meccanismo per cui uno stimolo doloroso in un punto riduce la percezione del dolore in un altro. È il</w:t>
      </w:r>
      <w:r>
        <w:t xml:space="preserve"> </w:t>
      </w:r>
      <w:r>
        <w:t xml:space="preserve">“freno”</w:t>
      </w:r>
      <w:r>
        <w:t xml:space="preserve"> </w:t>
      </w:r>
      <w:r>
        <w:t xml:space="preserve">discendente.</w:t>
      </w:r>
    </w:p>
    <w:p>
      <w:pPr>
        <w:pStyle w:val="BodyText"/>
      </w:pPr>
      <w:r>
        <w:rPr>
          <w:b/>
          <w:bCs/>
        </w:rPr>
        <w:t xml:space="preserve">Momento adduttorio</w:t>
      </w:r>
      <w:r>
        <w:t xml:space="preserve"> </w:t>
      </w:r>
      <w:r>
        <w:t xml:space="preserve">— Misura di quanto carico passa dalla parte interna del ginocchio durante il cammino.</w:t>
      </w:r>
    </w:p>
    <w:p>
      <w:pPr>
        <w:pStyle w:val="BodyText"/>
      </w:pPr>
      <w:r>
        <w:rPr>
          <w:b/>
          <w:bCs/>
        </w:rPr>
        <w:t xml:space="preserve">Neuropatico</w:t>
      </w:r>
      <w:r>
        <w:t xml:space="preserve"> </w:t>
      </w:r>
      <w:r>
        <w:t xml:space="preserve">— Dolore che nasce da una lesione del nervo: segue il territorio di quel nervo, brucia, porta formicolii o deficit.</w:t>
      </w:r>
    </w:p>
    <w:p>
      <w:pPr>
        <w:pStyle w:val="BodyText"/>
      </w:pPr>
      <w:r>
        <w:rPr>
          <w:b/>
          <w:bCs/>
        </w:rPr>
        <w:t xml:space="preserve">Nocicettivo</w:t>
      </w:r>
      <w:r>
        <w:t xml:space="preserve"> </w:t>
      </w:r>
      <w:r>
        <w:t xml:space="preserve">— Dolore che nasce da un tessuto danneggiato o irritato.</w:t>
      </w:r>
    </w:p>
    <w:p>
      <w:pPr>
        <w:pStyle w:val="BodyText"/>
      </w:pPr>
      <w:r>
        <w:rPr>
          <w:b/>
          <w:bCs/>
        </w:rPr>
        <w:t xml:space="preserve">Nociplastico</w:t>
      </w:r>
      <w:r>
        <w:t xml:space="preserve"> </w:t>
      </w:r>
      <w:r>
        <w:t xml:space="preserve">— Dolore prodotto da un cambiamento nel modo in cui il sistema nervoso elabora il segnale, non da un danno proporzionato.</w:t>
      </w:r>
    </w:p>
    <w:p>
      <w:pPr>
        <w:pStyle w:val="BodyText"/>
      </w:pPr>
      <w:r>
        <w:rPr>
          <w:b/>
          <w:bCs/>
        </w:rPr>
        <w:t xml:space="preserve">PROBABILE</w:t>
      </w:r>
      <w:r>
        <w:t xml:space="preserve"> </w:t>
      </w:r>
      <w:r>
        <w:t xml:space="preserve">— Etichetta di solidità. Glossa fissa:</w:t>
      </w:r>
      <w:r>
        <w:t xml:space="preserve"> </w:t>
      </w:r>
      <w:r>
        <w:rPr>
          <w:i/>
          <w:iCs/>
        </w:rPr>
        <w:t xml:space="preserve">(razionale forte, prove parziali)</w:t>
      </w:r>
      <w:r>
        <w:t xml:space="preserve">. Razionale forte più evidenza parziale, indiretta o solo animale.</w:t>
      </w:r>
    </w:p>
    <w:p>
      <w:pPr>
        <w:pStyle w:val="BodyText"/>
      </w:pPr>
      <w:r>
        <w:rPr>
          <w:b/>
          <w:bCs/>
        </w:rPr>
        <w:t xml:space="preserve">RAGIONAMENTO</w:t>
      </w:r>
      <w:r>
        <w:t xml:space="preserve"> </w:t>
      </w:r>
      <w:r>
        <w:t xml:space="preserve">— Etichetta di solidità. Glossa fissa:</w:t>
      </w:r>
      <w:r>
        <w:t xml:space="preserve"> </w:t>
      </w:r>
      <w:r>
        <w:rPr>
          <w:i/>
          <w:iCs/>
        </w:rPr>
        <w:t xml:space="preserve">(cornice clinica, non una prova)</w:t>
      </w:r>
      <w:r>
        <w:t xml:space="preserve">. Cornice clinica interna, mai un fatto.</w:t>
      </w:r>
    </w:p>
    <w:p>
      <w:pPr>
        <w:pStyle w:val="BodyText"/>
      </w:pPr>
      <w:r>
        <w:rPr>
          <w:b/>
          <w:bCs/>
        </w:rPr>
        <w:t xml:space="preserve">Randomizzato a grappolo</w:t>
      </w:r>
      <w:r>
        <w:t xml:space="preserve"> </w:t>
      </w:r>
      <w:r>
        <w:t xml:space="preserve">— Studio in cui si sorteggia il gruppo — un ambulatorio, una scuola — e non il singolo partecipante.</w:t>
      </w:r>
    </w:p>
    <w:p>
      <w:pPr>
        <w:pStyle w:val="BodyText"/>
      </w:pPr>
      <w:r>
        <w:rPr>
          <w:b/>
          <w:bCs/>
        </w:rPr>
        <w:t xml:space="preserve">Regressione alla media</w:t>
      </w:r>
      <w:r>
        <w:t xml:space="preserve"> </w:t>
      </w:r>
      <w:r>
        <w:t xml:space="preserve">— Tendenza di una misura estrema a risultare meno estrema alla rilevazione successiva, anche senza alcun trattamento.</w:t>
      </w:r>
    </w:p>
    <w:p>
      <w:pPr>
        <w:pStyle w:val="BodyText"/>
      </w:pPr>
      <w:r>
        <w:rPr>
          <w:b/>
          <w:bCs/>
        </w:rPr>
        <w:t xml:space="preserve">Reperto disfunzionale</w:t>
      </w:r>
      <w:r>
        <w:t xml:space="preserve"> </w:t>
      </w:r>
      <w:r>
        <w:t xml:space="preserve">— Quello che trovi tu con le mani e con i test, e che scrivi in cartella: una zona che si muove meno, un tessuto che risponde diversamente, una funzione che non si esprime. Non è la diagnosi del paziente — è il bersaglio del tuo lavoro.</w:t>
      </w:r>
    </w:p>
    <w:p>
      <w:pPr>
        <w:pStyle w:val="BodyText"/>
      </w:pPr>
      <w:r>
        <w:rPr>
          <w:b/>
          <w:bCs/>
        </w:rPr>
        <w:t xml:space="preserve">Riflessi che spengono il muscolo</w:t>
      </w:r>
      <w:r>
        <w:t xml:space="preserve"> </w:t>
      </w:r>
      <w:r>
        <w:t xml:space="preserve">— Le vie spinali con cui un’articolazione irritata riduce il reclutamento del muscolo attorno: inibizione non reciproca, riflesso flessorio, circuito gamma. Sono il substrato dell’inibizione muscolare artrogena.</w:t>
      </w:r>
    </w:p>
    <w:p>
      <w:pPr>
        <w:pStyle w:val="BodyText"/>
      </w:pPr>
      <w:r>
        <w:rPr>
          <w:b/>
          <w:bCs/>
        </w:rPr>
        <w:t xml:space="preserve">Sensibilizzazione</w:t>
      </w:r>
      <w:r>
        <w:t xml:space="preserve"> </w:t>
      </w:r>
      <w:r>
        <w:t xml:space="preserve">— Abbassamento della soglia a cui uno stimolo diventa dolore, per un cambiamento nel sistema nervoso.</w:t>
      </w:r>
    </w:p>
    <w:p>
      <w:pPr>
        <w:pStyle w:val="BodyText"/>
      </w:pPr>
      <w:r>
        <w:rPr>
          <w:b/>
          <w:bCs/>
        </w:rPr>
        <w:t xml:space="preserve">Sistema dominante</w:t>
      </w:r>
      <w:r>
        <w:t xml:space="preserve"> </w:t>
      </w:r>
      <w:r>
        <w:t xml:space="preserve">— Il piano che, in questo paziente, sta consumando più capacità di adattamento degli altri. È l’ipotesi di lavoro che decide su cosa agire per primo, non un fatto misurato: per questo porta sempre l’etichetta RAGIONAMENTO.</w:t>
      </w:r>
    </w:p>
    <w:p>
      <w:pPr>
        <w:pStyle w:val="BodyText"/>
      </w:pPr>
      <w:r>
        <w:rPr>
          <w:b/>
          <w:bCs/>
        </w:rPr>
        <w:t xml:space="preserve">Soglia di pressione dolorosa</w:t>
      </w:r>
      <w:r>
        <w:t xml:space="preserve"> </w:t>
      </w:r>
      <w:r>
        <w:t xml:space="preserve">— La pressione minima che il paziente riferisce come dolorosa. Si misura con l’algometro.</w:t>
      </w:r>
    </w:p>
    <w:p>
      <w:pPr>
        <w:pStyle w:val="BodyText"/>
      </w:pPr>
      <w:r>
        <w:rPr>
          <w:b/>
          <w:bCs/>
        </w:rPr>
        <w:t xml:space="preserve">Sommazione temporale</w:t>
      </w:r>
      <w:r>
        <w:t xml:space="preserve"> </w:t>
      </w:r>
      <w:r>
        <w:t xml:space="preserve">— Aumento del dolore quando lo stesso stimolo si ripete a frequenza costante. Segno di amplificazione centrale.</w:t>
      </w:r>
    </w:p>
    <w:p>
      <w:pPr>
        <w:pStyle w:val="BodyText"/>
      </w:pPr>
      <w:r>
        <w:rPr>
          <w:b/>
          <w:bCs/>
        </w:rPr>
        <w:t xml:space="preserve">Spondiloartrite</w:t>
      </w:r>
      <w:r>
        <w:t xml:space="preserve"> </w:t>
      </w:r>
      <w:r>
        <w:t xml:space="preserve">— Famiglia di artriti infiammatorie tipicamente asimmetriche, con segni fuori dall’articolazione: psoriasi, dattilite, entesite, uveite.</w:t>
      </w:r>
    </w:p>
    <w:p>
      <w:r>
        <w:pict>
          <v:rect style="width:0;height:1.5pt" o:hralign="center" o:hrstd="t" o:hr="t"/>
        </w:pict>
      </w:r>
    </w:p>
    <w:bookmarkEnd w:id="68"/>
    <w:bookmarkStart w:id="125" w:name="appendice-b-le-fonti"/>
    <w:p>
      <w:pPr>
        <w:pStyle w:val="Heading2"/>
      </w:pPr>
      <w:r>
        <w:t xml:space="preserve">Appendice B — Le fonti</w:t>
      </w:r>
    </w:p>
    <w:p>
      <w:pPr>
        <w:pStyle w:val="FirstParagraph"/>
      </w:pPr>
      <w:r>
        <w:t xml:space="preserve">Nell’ordine in cui compaiono nel testo.</w:t>
      </w:r>
    </w:p>
    <w:p>
      <w:pPr>
        <w:pStyle w:val="Compact"/>
        <w:numPr>
          <w:ilvl w:val="0"/>
          <w:numId w:val="1030"/>
        </w:numPr>
      </w:pPr>
      <w:r>
        <w:t xml:space="preserve">Dziedzic KS, Healey EL, Porcheret M, et al. </w:t>
      </w:r>
      <w:r>
        <w:rPr>
          <w:i/>
          <w:iCs/>
        </w:rPr>
        <w:t xml:space="preserve">Implementing core NICE guidelines for osteoarthritis in primary care with a model consultation (MOSAICS): a cluster randomised controlled trial.</w:t>
      </w:r>
      <w:r>
        <w:t xml:space="preserve"> </w:t>
      </w:r>
      <w:r>
        <w:t xml:space="preserve">Osteoarthritis Cartilage 2018;26(1):43-53. —</w:t>
      </w:r>
      <w:r>
        <w:t xml:space="preserve"> </w:t>
      </w:r>
      <w:hyperlink r:id="rId69">
        <w:r>
          <w:rPr>
            <w:rStyle w:val="Hyperlink"/>
          </w:rPr>
          <w:t xml:space="preserve">PMID 29037845</w:t>
        </w:r>
      </w:hyperlink>
    </w:p>
    <w:p>
      <w:pPr>
        <w:pStyle w:val="Compact"/>
        <w:numPr>
          <w:ilvl w:val="0"/>
          <w:numId w:val="1030"/>
        </w:numPr>
      </w:pPr>
      <w:r>
        <w:t xml:space="preserve">Finney A, Dziedzic KS, Lewis M, Healey E.</w:t>
      </w:r>
      <w:r>
        <w:t xml:space="preserve"> </w:t>
      </w:r>
      <w:r>
        <w:rPr>
          <w:i/>
          <w:iCs/>
        </w:rPr>
        <w:t xml:space="preserve">Multisite peripheral joint pain: a cross-sectional study of prevalence and impact on general health, quality of life, pain intensity and consultation behaviour.</w:t>
      </w:r>
      <w:r>
        <w:t xml:space="preserve"> </w:t>
      </w:r>
      <w:r>
        <w:t xml:space="preserve">BMC Musculoskelet Disord 2017;18:535. —</w:t>
      </w:r>
      <w:r>
        <w:t xml:space="preserve"> </w:t>
      </w:r>
      <w:hyperlink r:id="rId70">
        <w:r>
          <w:rPr>
            <w:rStyle w:val="Hyperlink"/>
          </w:rPr>
          <w:t xml:space="preserve">PMID 29246141</w:t>
        </w:r>
      </w:hyperlink>
    </w:p>
    <w:p>
      <w:pPr>
        <w:pStyle w:val="Compact"/>
        <w:numPr>
          <w:ilvl w:val="0"/>
          <w:numId w:val="1030"/>
        </w:numPr>
      </w:pPr>
      <w:r>
        <w:t xml:space="preserve">National Institute for Health and Care Excellence.</w:t>
      </w:r>
      <w:r>
        <w:t xml:space="preserve"> </w:t>
      </w:r>
      <w:r>
        <w:rPr>
          <w:i/>
          <w:iCs/>
        </w:rPr>
        <w:t xml:space="preserve">Osteoarthritis in over 16s: diagnosis and management.</w:t>
      </w:r>
      <w:r>
        <w:t xml:space="preserve"> </w:t>
      </w:r>
      <w:r>
        <w:t xml:space="preserve">NICE guideline NG226, 2022 — raccomandazioni 1.1.1 e 1.1.2.</w:t>
      </w:r>
    </w:p>
    <w:p>
      <w:pPr>
        <w:pStyle w:val="Compact"/>
        <w:numPr>
          <w:ilvl w:val="0"/>
          <w:numId w:val="1030"/>
        </w:numPr>
      </w:pPr>
      <w:r>
        <w:t xml:space="preserve">National Institute for Health and Care Excellence.</w:t>
      </w:r>
      <w:r>
        <w:t xml:space="preserve"> </w:t>
      </w:r>
      <w:r>
        <w:rPr>
          <w:i/>
          <w:iCs/>
        </w:rPr>
        <w:t xml:space="preserve">Spondyloarthritis in over 16s: diagnosis and management.</w:t>
      </w:r>
      <w:r>
        <w:t xml:space="preserve"> </w:t>
      </w:r>
      <w:r>
        <w:t xml:space="preserve">NICE guideline NG65, 2017 — criteri di invio.</w:t>
      </w:r>
    </w:p>
    <w:p>
      <w:pPr>
        <w:pStyle w:val="Compact"/>
        <w:numPr>
          <w:ilvl w:val="0"/>
          <w:numId w:val="1030"/>
        </w:numPr>
      </w:pPr>
      <w:r>
        <w:t xml:space="preserve">Dejaco C, Singh YP, Perel P, et al. </w:t>
      </w:r>
      <w:r>
        <w:rPr>
          <w:i/>
          <w:iCs/>
        </w:rPr>
        <w:t xml:space="preserve">2015 Recommendations for the management of polymyalgia rheumatica: a EULAR/ACR collaborative initiative.</w:t>
      </w:r>
      <w:r>
        <w:t xml:space="preserve"> </w:t>
      </w:r>
      <w:r>
        <w:t xml:space="preserve">Ann Rheum Dis 2015;74(10):1799-807. —</w:t>
      </w:r>
      <w:r>
        <w:t xml:space="preserve"> </w:t>
      </w:r>
      <w:hyperlink r:id="rId71">
        <w:r>
          <w:rPr>
            <w:rStyle w:val="Hyperlink"/>
          </w:rPr>
          <w:t xml:space="preserve">PMID 26359488</w:t>
        </w:r>
      </w:hyperlink>
    </w:p>
    <w:p>
      <w:pPr>
        <w:pStyle w:val="Compact"/>
        <w:numPr>
          <w:ilvl w:val="0"/>
          <w:numId w:val="1030"/>
        </w:numPr>
      </w:pPr>
      <w:r>
        <w:t xml:space="preserve">Kamaleri Y, Natvig B, Ihlebaek CM, Benth JS, Bruusgaard D.</w:t>
      </w:r>
      <w:r>
        <w:t xml:space="preserve"> </w:t>
      </w:r>
      <w:r>
        <w:rPr>
          <w:i/>
          <w:iCs/>
        </w:rPr>
        <w:t xml:space="preserve">Change in the number of musculoskeletal pain sites: A 14-year prospective study.</w:t>
      </w:r>
      <w:r>
        <w:t xml:space="preserve"> </w:t>
      </w:r>
      <w:r>
        <w:t xml:space="preserve">Pain 2009;141(1-2):25-30. —</w:t>
      </w:r>
      <w:r>
        <w:t xml:space="preserve"> </w:t>
      </w:r>
      <w:hyperlink r:id="rId72">
        <w:r>
          <w:rPr>
            <w:rStyle w:val="Hyperlink"/>
          </w:rPr>
          <w:t xml:space="preserve">PMID 18977088</w:t>
        </w:r>
      </w:hyperlink>
    </w:p>
    <w:p>
      <w:pPr>
        <w:pStyle w:val="Compact"/>
        <w:numPr>
          <w:ilvl w:val="0"/>
          <w:numId w:val="1030"/>
        </w:numPr>
      </w:pPr>
      <w:r>
        <w:t xml:space="preserve">Kamaleri Y, Natvig B, Ihlebaek CM, Benth JS, Bruusgaard D.</w:t>
      </w:r>
      <w:r>
        <w:t xml:space="preserve"> </w:t>
      </w:r>
      <w:r>
        <w:rPr>
          <w:i/>
          <w:iCs/>
        </w:rPr>
        <w:t xml:space="preserve">Number of pain sites is associated with demographic, lifestyle, and health-related factors in the general population.</w:t>
      </w:r>
      <w:r>
        <w:t xml:space="preserve"> </w:t>
      </w:r>
      <w:r>
        <w:t xml:space="preserve">Eur J Pain 2008;12(6):742-8. —</w:t>
      </w:r>
      <w:r>
        <w:t xml:space="preserve"> </w:t>
      </w:r>
      <w:hyperlink r:id="rId73">
        <w:r>
          <w:rPr>
            <w:rStyle w:val="Hyperlink"/>
          </w:rPr>
          <w:t xml:space="preserve">PMID 18160318</w:t>
        </w:r>
      </w:hyperlink>
    </w:p>
    <w:p>
      <w:pPr>
        <w:pStyle w:val="Compact"/>
        <w:numPr>
          <w:ilvl w:val="0"/>
          <w:numId w:val="1030"/>
        </w:numPr>
      </w:pPr>
      <w:r>
        <w:t xml:space="preserve">Dieppe PA, Lohmander LS.</w:t>
      </w:r>
      <w:r>
        <w:t xml:space="preserve"> </w:t>
      </w:r>
      <w:r>
        <w:rPr>
          <w:i/>
          <w:iCs/>
        </w:rPr>
        <w:t xml:space="preserve">Pathogenesis and management of pain in osteoarthritis.</w:t>
      </w:r>
      <w:r>
        <w:t xml:space="preserve"> </w:t>
      </w:r>
      <w:r>
        <w:t xml:space="preserve">Lancet 2005;365(9463):965-73. —</w:t>
      </w:r>
      <w:r>
        <w:t xml:space="preserve"> </w:t>
      </w:r>
      <w:hyperlink r:id="rId74">
        <w:r>
          <w:rPr>
            <w:rStyle w:val="Hyperlink"/>
          </w:rPr>
          <w:t xml:space="preserve">PMID 15766999</w:t>
        </w:r>
      </w:hyperlink>
    </w:p>
    <w:p>
      <w:pPr>
        <w:pStyle w:val="Compact"/>
        <w:numPr>
          <w:ilvl w:val="0"/>
          <w:numId w:val="1030"/>
        </w:numPr>
      </w:pPr>
      <w:r>
        <w:t xml:space="preserve">Cornelis B, et al. </w:t>
      </w:r>
      <w:r>
        <w:rPr>
          <w:i/>
          <w:iCs/>
        </w:rPr>
        <w:t xml:space="preserve">Beyond the knee: Why hip examination matters in patients with knee pain.</w:t>
      </w:r>
      <w:r>
        <w:t xml:space="preserve"> </w:t>
      </w:r>
      <w:r>
        <w:t xml:space="preserve">J Exp Orthop 2025. —</w:t>
      </w:r>
      <w:r>
        <w:t xml:space="preserve"> </w:t>
      </w:r>
      <w:hyperlink r:id="rId75">
        <w:r>
          <w:rPr>
            <w:rStyle w:val="Hyperlink"/>
          </w:rPr>
          <w:t xml:space="preserve">PMID 41245703</w:t>
        </w:r>
      </w:hyperlink>
    </w:p>
    <w:p>
      <w:pPr>
        <w:pStyle w:val="Compact"/>
        <w:numPr>
          <w:ilvl w:val="0"/>
          <w:numId w:val="1030"/>
        </w:numPr>
      </w:pPr>
      <w:r>
        <w:t xml:space="preserve">Anders LM, et al. </w:t>
      </w:r>
      <w:r>
        <w:rPr>
          <w:i/>
          <w:iCs/>
        </w:rPr>
        <w:t xml:space="preserve">Hip precautions after primary total hip arthroplasty — a systematic review.</w:t>
      </w:r>
      <w:r>
        <w:t xml:space="preserve"> </w:t>
      </w:r>
      <w:r>
        <w:t xml:space="preserve">Acta Orthop 2021 (7 studi, 6.900 pazienti).</w:t>
      </w:r>
    </w:p>
    <w:p>
      <w:pPr>
        <w:pStyle w:val="Compact"/>
        <w:numPr>
          <w:ilvl w:val="0"/>
          <w:numId w:val="1030"/>
        </w:numPr>
      </w:pPr>
      <w:r>
        <w:t xml:space="preserve">Messier SP, Gutekunst DJ, Davis C, DeVita P.</w:t>
      </w:r>
      <w:r>
        <w:t xml:space="preserve"> </w:t>
      </w:r>
      <w:r>
        <w:rPr>
          <w:i/>
          <w:iCs/>
        </w:rPr>
        <w:t xml:space="preserve">Weight loss reduces knee-joint loads in overweight and obese older adults with knee osteoarthritis.</w:t>
      </w:r>
      <w:r>
        <w:t xml:space="preserve"> </w:t>
      </w:r>
      <w:r>
        <w:t xml:space="preserve">Arthritis Rheum 2005;52(7):2026-32. —</w:t>
      </w:r>
      <w:r>
        <w:t xml:space="preserve"> </w:t>
      </w:r>
      <w:hyperlink r:id="rId76">
        <w:r>
          <w:rPr>
            <w:rStyle w:val="Hyperlink"/>
          </w:rPr>
          <w:t xml:space="preserve">PMID 15986358</w:t>
        </w:r>
      </w:hyperlink>
    </w:p>
    <w:p>
      <w:pPr>
        <w:pStyle w:val="Compact"/>
        <w:numPr>
          <w:ilvl w:val="0"/>
          <w:numId w:val="1030"/>
        </w:numPr>
      </w:pPr>
      <w:r>
        <w:t xml:space="preserve">Messier SP, Mihalko SL, Legault C, et al. </w:t>
      </w:r>
      <w:r>
        <w:rPr>
          <w:i/>
          <w:iCs/>
        </w:rPr>
        <w:t xml:space="preserve">Effects of intensive diet and exercise on knee joint loads, inflammation, and clinical outcomes among overweight and obese adults with knee osteoarthritis: the IDEA randomized clinical trial.</w:t>
      </w:r>
      <w:r>
        <w:t xml:space="preserve"> </w:t>
      </w:r>
      <w:r>
        <w:t xml:space="preserve">JAMA 2013;310(12):1263-73. —</w:t>
      </w:r>
      <w:r>
        <w:t xml:space="preserve"> </w:t>
      </w:r>
      <w:hyperlink r:id="rId77">
        <w:r>
          <w:rPr>
            <w:rStyle w:val="Hyperlink"/>
          </w:rPr>
          <w:t xml:space="preserve">PMID 24065013</w:t>
        </w:r>
      </w:hyperlink>
    </w:p>
    <w:p>
      <w:pPr>
        <w:pStyle w:val="Compact"/>
        <w:numPr>
          <w:ilvl w:val="0"/>
          <w:numId w:val="1030"/>
        </w:numPr>
      </w:pPr>
      <w:r>
        <w:t xml:space="preserve">Øiestad BE, Juhl CB, Culvenor AG, Berg B, Thorlund JB.</w:t>
      </w:r>
      <w:r>
        <w:t xml:space="preserve"> </w:t>
      </w:r>
      <w:r>
        <w:rPr>
          <w:i/>
          <w:iCs/>
        </w:rPr>
        <w:t xml:space="preserve">Knee extensor muscle weakness is a risk factor for the development of knee osteoarthritis: an updated systematic review and meta-analysis.</w:t>
      </w:r>
      <w:r>
        <w:t xml:space="preserve"> </w:t>
      </w:r>
      <w:r>
        <w:t xml:space="preserve">Br J Sports Med 2022;56(6):349-355. —</w:t>
      </w:r>
      <w:r>
        <w:t xml:space="preserve"> </w:t>
      </w:r>
      <w:hyperlink r:id="rId78">
        <w:r>
          <w:rPr>
            <w:rStyle w:val="Hyperlink"/>
          </w:rPr>
          <w:t xml:space="preserve">PMID 34916210</w:t>
        </w:r>
      </w:hyperlink>
    </w:p>
    <w:p>
      <w:pPr>
        <w:pStyle w:val="Compact"/>
        <w:numPr>
          <w:ilvl w:val="0"/>
          <w:numId w:val="1030"/>
        </w:numPr>
      </w:pPr>
      <w:r>
        <w:t xml:space="preserve">Arendt-Nielsen L, Nie H, Laursen MB, et al. </w:t>
      </w:r>
      <w:r>
        <w:rPr>
          <w:i/>
          <w:iCs/>
        </w:rPr>
        <w:t xml:space="preserve">Sensitization in patients with painful knee osteoarthritis.</w:t>
      </w:r>
      <w:r>
        <w:t xml:space="preserve"> </w:t>
      </w:r>
      <w:r>
        <w:t xml:space="preserve">Pain 2010;149(3):573-581. —</w:t>
      </w:r>
      <w:r>
        <w:t xml:space="preserve"> </w:t>
      </w:r>
      <w:hyperlink r:id="rId79">
        <w:r>
          <w:rPr>
            <w:rStyle w:val="Hyperlink"/>
          </w:rPr>
          <w:t xml:space="preserve">PMID 20418016</w:t>
        </w:r>
      </w:hyperlink>
    </w:p>
    <w:p>
      <w:pPr>
        <w:pStyle w:val="Compact"/>
        <w:numPr>
          <w:ilvl w:val="0"/>
          <w:numId w:val="1030"/>
        </w:numPr>
      </w:pPr>
      <w:r>
        <w:t xml:space="preserve">Arendt-Nielsen L.</w:t>
      </w:r>
      <w:r>
        <w:t xml:space="preserve"> </w:t>
      </w:r>
      <w:r>
        <w:rPr>
          <w:i/>
          <w:iCs/>
        </w:rPr>
        <w:t xml:space="preserve">Pain sensitisation in osteoarthritis.</w:t>
      </w:r>
      <w:r>
        <w:t xml:space="preserve"> </w:t>
      </w:r>
      <w:r>
        <w:t xml:space="preserve">Clin Exp Rheumatol 2017;35 Suppl 107(5):68-74. —</w:t>
      </w:r>
      <w:r>
        <w:t xml:space="preserve"> </w:t>
      </w:r>
      <w:hyperlink r:id="rId80">
        <w:r>
          <w:rPr>
            <w:rStyle w:val="Hyperlink"/>
          </w:rPr>
          <w:t xml:space="preserve">PMID 28967356</w:t>
        </w:r>
      </w:hyperlink>
    </w:p>
    <w:p>
      <w:pPr>
        <w:pStyle w:val="Compact"/>
        <w:numPr>
          <w:ilvl w:val="0"/>
          <w:numId w:val="1030"/>
        </w:numPr>
      </w:pPr>
      <w:r>
        <w:t xml:space="preserve">French HP, Smart KM, Doyle F.</w:t>
      </w:r>
      <w:r>
        <w:t xml:space="preserve"> </w:t>
      </w:r>
      <w:r>
        <w:rPr>
          <w:i/>
          <w:iCs/>
        </w:rPr>
        <w:t xml:space="preserve">Prevalence of neuropathic pain in knee or hip osteoarthritis: a systematic review and meta-analysis.</w:t>
      </w:r>
      <w:r>
        <w:t xml:space="preserve"> </w:t>
      </w:r>
      <w:r>
        <w:t xml:space="preserve">Semin Arthritis Rheum 2017;47(1):1-8. —</w:t>
      </w:r>
      <w:r>
        <w:t xml:space="preserve"> </w:t>
      </w:r>
      <w:hyperlink r:id="rId81">
        <w:r>
          <w:rPr>
            <w:rStyle w:val="Hyperlink"/>
          </w:rPr>
          <w:t xml:space="preserve">PMID 28320529</w:t>
        </w:r>
      </w:hyperlink>
    </w:p>
    <w:p>
      <w:pPr>
        <w:pStyle w:val="Compact"/>
        <w:numPr>
          <w:ilvl w:val="0"/>
          <w:numId w:val="1030"/>
        </w:numPr>
      </w:pPr>
      <w:r>
        <w:t xml:space="preserve">Rice DA, McNair PJ.</w:t>
      </w:r>
      <w:r>
        <w:t xml:space="preserve"> </w:t>
      </w:r>
      <w:r>
        <w:rPr>
          <w:i/>
          <w:iCs/>
        </w:rPr>
        <w:t xml:space="preserve">Quadriceps arthrogenic muscle inhibition: neural mechanisms and treatment perspectives.</w:t>
      </w:r>
      <w:r>
        <w:t xml:space="preserve"> </w:t>
      </w:r>
      <w:r>
        <w:t xml:space="preserve">Semin Arthritis Rheum 2010;40(3):250-66. —</w:t>
      </w:r>
      <w:r>
        <w:t xml:space="preserve"> </w:t>
      </w:r>
      <w:hyperlink r:id="rId82">
        <w:r>
          <w:rPr>
            <w:rStyle w:val="Hyperlink"/>
          </w:rPr>
          <w:t xml:space="preserve">PMID 19954822</w:t>
        </w:r>
      </w:hyperlink>
    </w:p>
    <w:p>
      <w:pPr>
        <w:pStyle w:val="Compact"/>
        <w:numPr>
          <w:ilvl w:val="0"/>
          <w:numId w:val="1030"/>
        </w:numPr>
      </w:pPr>
      <w:r>
        <w:t xml:space="preserve">Bennell KL, Hunt MA, Wrigley TV, et al. </w:t>
      </w:r>
      <w:r>
        <w:rPr>
          <w:i/>
          <w:iCs/>
        </w:rPr>
        <w:t xml:space="preserve">Hip strengthening reduces symptoms but not knee load in people with medial knee osteoarthritis and varus malalignment: a randomised controlled trial.</w:t>
      </w:r>
      <w:r>
        <w:t xml:space="preserve"> </w:t>
      </w:r>
      <w:r>
        <w:t xml:space="preserve">Osteoarthritis Cartilage 2010;18(5):621-8. —</w:t>
      </w:r>
      <w:r>
        <w:t xml:space="preserve"> </w:t>
      </w:r>
      <w:hyperlink r:id="rId83">
        <w:r>
          <w:rPr>
            <w:rStyle w:val="Hyperlink"/>
          </w:rPr>
          <w:t xml:space="preserve">PMID 20175973</w:t>
        </w:r>
      </w:hyperlink>
    </w:p>
    <w:p>
      <w:pPr>
        <w:pStyle w:val="Compact"/>
        <w:numPr>
          <w:ilvl w:val="0"/>
          <w:numId w:val="1030"/>
        </w:numPr>
      </w:pPr>
      <w:r>
        <w:t xml:space="preserve">Irwin ML, Cartmel B, Gross CP, et al. </w:t>
      </w:r>
      <w:r>
        <w:rPr>
          <w:i/>
          <w:iCs/>
        </w:rPr>
        <w:t xml:space="preserve">Randomized exercise trial of aromatase inhibitor-induced arthralgia in breast cancer survivors.</w:t>
      </w:r>
      <w:r>
        <w:t xml:space="preserve"> </w:t>
      </w:r>
      <w:r>
        <w:t xml:space="preserve">J Clin Oncol 2015;33(10):1104-11. —</w:t>
      </w:r>
      <w:r>
        <w:t xml:space="preserve"> </w:t>
      </w:r>
      <w:hyperlink r:id="rId84">
        <w:r>
          <w:rPr>
            <w:rStyle w:val="Hyperlink"/>
          </w:rPr>
          <w:t xml:space="preserve">PMID 25452437</w:t>
        </w:r>
      </w:hyperlink>
    </w:p>
    <w:p>
      <w:pPr>
        <w:pStyle w:val="Compact"/>
        <w:numPr>
          <w:ilvl w:val="0"/>
          <w:numId w:val="1030"/>
        </w:numPr>
      </w:pPr>
      <w:r>
        <w:t xml:space="preserve">Lu C, Liu P, Zhou Y, et al. </w:t>
      </w:r>
      <w:r>
        <w:rPr>
          <w:i/>
          <w:iCs/>
        </w:rPr>
        <w:t xml:space="preserve">Musculoskeletal Pain during the Menopausal Transition: A Systematic Review and Meta-Analysis.</w:t>
      </w:r>
      <w:r>
        <w:t xml:space="preserve"> </w:t>
      </w:r>
      <w:r>
        <w:t xml:space="preserve">Neural Plast 2020;2020:8842110. —</w:t>
      </w:r>
      <w:r>
        <w:t xml:space="preserve"> </w:t>
      </w:r>
      <w:hyperlink r:id="rId85">
        <w:r>
          <w:rPr>
            <w:rStyle w:val="Hyperlink"/>
          </w:rPr>
          <w:t xml:space="preserve">PMID 33299396</w:t>
        </w:r>
      </w:hyperlink>
    </w:p>
    <w:p>
      <w:pPr>
        <w:pStyle w:val="Compact"/>
        <w:numPr>
          <w:ilvl w:val="0"/>
          <w:numId w:val="1030"/>
        </w:numPr>
      </w:pPr>
      <w:r>
        <w:t xml:space="preserve">Magliano M.</w:t>
      </w:r>
      <w:r>
        <w:t xml:space="preserve"> </w:t>
      </w:r>
      <w:r>
        <w:rPr>
          <w:i/>
          <w:iCs/>
        </w:rPr>
        <w:t xml:space="preserve">Menopausal arthralgia: fact or fiction.</w:t>
      </w:r>
      <w:r>
        <w:t xml:space="preserve"> </w:t>
      </w:r>
      <w:r>
        <w:t xml:space="preserve">Maturitas 2010;67(1):29-33. —</w:t>
      </w:r>
      <w:r>
        <w:t xml:space="preserve"> </w:t>
      </w:r>
      <w:hyperlink r:id="rId86">
        <w:r>
          <w:rPr>
            <w:rStyle w:val="Hyperlink"/>
          </w:rPr>
          <w:t xml:space="preserve">PMID 20537472</w:t>
        </w:r>
      </w:hyperlink>
    </w:p>
    <w:p>
      <w:pPr>
        <w:pStyle w:val="Compact"/>
        <w:numPr>
          <w:ilvl w:val="0"/>
          <w:numId w:val="1030"/>
        </w:numPr>
      </w:pPr>
      <w:r>
        <w:t xml:space="preserve">Yusuf E, Nelissen RG, Ioan-Facsinay A, et al. </w:t>
      </w:r>
      <w:r>
        <w:rPr>
          <w:i/>
          <w:iCs/>
        </w:rPr>
        <w:t xml:space="preserve">Association between weight or body mass index and hand osteoarthritis: a systematic review.</w:t>
      </w:r>
      <w:r>
        <w:t xml:space="preserve"> </w:t>
      </w:r>
      <w:r>
        <w:t xml:space="preserve">Ann Rheum Dis 2010;69(4):761-5. —</w:t>
      </w:r>
      <w:r>
        <w:t xml:space="preserve"> </w:t>
      </w:r>
      <w:hyperlink r:id="rId87">
        <w:r>
          <w:rPr>
            <w:rStyle w:val="Hyperlink"/>
          </w:rPr>
          <w:t xml:space="preserve">PMID 19487215</w:t>
        </w:r>
      </w:hyperlink>
    </w:p>
    <w:p>
      <w:pPr>
        <w:pStyle w:val="Compact"/>
        <w:numPr>
          <w:ilvl w:val="0"/>
          <w:numId w:val="1030"/>
        </w:numPr>
      </w:pPr>
      <w:r>
        <w:t xml:space="preserve">Herrett E, Williamson E, Brack K, et al. </w:t>
      </w:r>
      <w:r>
        <w:rPr>
          <w:i/>
          <w:iCs/>
        </w:rPr>
        <w:t xml:space="preserve">The effect of statins on muscle symptoms in primary care: the StatinWISE series of 200 N-of-1 RCTs.</w:t>
      </w:r>
      <w:r>
        <w:t xml:space="preserve"> </w:t>
      </w:r>
      <w:r>
        <w:t xml:space="preserve">Health Technol Assess 2021;25(16):1-62. —</w:t>
      </w:r>
      <w:r>
        <w:t xml:space="preserve"> </w:t>
      </w:r>
      <w:hyperlink r:id="rId88">
        <w:r>
          <w:rPr>
            <w:rStyle w:val="Hyperlink"/>
          </w:rPr>
          <w:t xml:space="preserve">PMID 33709907</w:t>
        </w:r>
      </w:hyperlink>
    </w:p>
    <w:p>
      <w:pPr>
        <w:pStyle w:val="Compact"/>
        <w:numPr>
          <w:ilvl w:val="0"/>
          <w:numId w:val="1030"/>
        </w:numPr>
      </w:pPr>
      <w:r>
        <w:t xml:space="preserve">Vervullens S, Meert L, Smeets RJEM, et al. </w:t>
      </w:r>
      <w:r>
        <w:rPr>
          <w:i/>
          <w:iCs/>
        </w:rPr>
        <w:t xml:space="preserve">Does pain intensity after total knee arthroplasty depend on somatosensory functioning in knee osteoarthritis patients? A prospective cohort study.</w:t>
      </w:r>
      <w:r>
        <w:t xml:space="preserve"> </w:t>
      </w:r>
      <w:r>
        <w:t xml:space="preserve">Clin Rheumatol 2024;43(6):2047-2059. —</w:t>
      </w:r>
      <w:r>
        <w:t xml:space="preserve"> </w:t>
      </w:r>
      <w:hyperlink r:id="rId89">
        <w:r>
          <w:rPr>
            <w:rStyle w:val="Hyperlink"/>
          </w:rPr>
          <w:t xml:space="preserve">PMID 38668988</w:t>
        </w:r>
      </w:hyperlink>
    </w:p>
    <w:p>
      <w:pPr>
        <w:pStyle w:val="Compact"/>
        <w:numPr>
          <w:ilvl w:val="0"/>
          <w:numId w:val="1030"/>
        </w:numPr>
      </w:pPr>
      <w:r>
        <w:t xml:space="preserve">Coronado RA, Gay CW, Bialosky JE, Carnaby GD, Bishop MD, George SZ.</w:t>
      </w:r>
      <w:r>
        <w:t xml:space="preserve"> </w:t>
      </w:r>
      <w:r>
        <w:rPr>
          <w:i/>
          <w:iCs/>
        </w:rPr>
        <w:t xml:space="preserve">Changes in pain sensitivity following spinal manipulation: a systematic review and meta-analysis.</w:t>
      </w:r>
      <w:r>
        <w:t xml:space="preserve"> </w:t>
      </w:r>
      <w:r>
        <w:t xml:space="preserve">J Electromyogr Kinesiol 2012;22(5):752-67. —</w:t>
      </w:r>
      <w:r>
        <w:t xml:space="preserve"> </w:t>
      </w:r>
      <w:hyperlink r:id="rId90">
        <w:r>
          <w:rPr>
            <w:rStyle w:val="Hyperlink"/>
          </w:rPr>
          <w:t xml:space="preserve">PMID 22296867</w:t>
        </w:r>
      </w:hyperlink>
    </w:p>
    <w:p>
      <w:pPr>
        <w:pStyle w:val="Compact"/>
        <w:numPr>
          <w:ilvl w:val="0"/>
          <w:numId w:val="1030"/>
        </w:numPr>
      </w:pPr>
      <w:r>
        <w:t xml:space="preserve">Courtney CA, Steffen AD, Fernández-de-las-Peñas C, et al. </w:t>
      </w:r>
      <w:r>
        <w:rPr>
          <w:i/>
          <w:iCs/>
        </w:rPr>
        <w:t xml:space="preserve">Joint Mobilization Enhances Mechanisms of Conditioned Pain Modulation in Individuals With Osteoarthritis of the Knee.</w:t>
      </w:r>
      <w:r>
        <w:t xml:space="preserve"> </w:t>
      </w:r>
      <w:r>
        <w:t xml:space="preserve">J Orthop Sports Phys Ther 2016;46(3):168-76. —</w:t>
      </w:r>
      <w:r>
        <w:t xml:space="preserve"> </w:t>
      </w:r>
      <w:hyperlink r:id="rId91">
        <w:r>
          <w:rPr>
            <w:rStyle w:val="Hyperlink"/>
          </w:rPr>
          <w:t xml:space="preserve">PMID 26721229</w:t>
        </w:r>
      </w:hyperlink>
    </w:p>
    <w:p>
      <w:pPr>
        <w:pStyle w:val="Compact"/>
        <w:numPr>
          <w:ilvl w:val="0"/>
          <w:numId w:val="1030"/>
        </w:numPr>
      </w:pPr>
      <w:r>
        <w:t xml:space="preserve">Staffe AT, Bech MW, Clemmensen SLK, Nielsen HT, Larsen DB, Petersen KK.</w:t>
      </w:r>
      <w:r>
        <w:t xml:space="preserve"> </w:t>
      </w:r>
      <w:r>
        <w:rPr>
          <w:i/>
          <w:iCs/>
        </w:rPr>
        <w:t xml:space="preserve">Total sleep deprivation increases pain sensitivity, impairs conditioned pain modulation and facilitates temporal summation of pain in healthy participants.</w:t>
      </w:r>
      <w:r>
        <w:t xml:space="preserve"> </w:t>
      </w:r>
      <w:r>
        <w:t xml:space="preserve">PLoS One 2019;14(12):e0225849. —</w:t>
      </w:r>
      <w:r>
        <w:t xml:space="preserve"> </w:t>
      </w:r>
      <w:hyperlink r:id="rId92">
        <w:r>
          <w:rPr>
            <w:rStyle w:val="Hyperlink"/>
          </w:rPr>
          <w:t xml:space="preserve">PMID 31800612</w:t>
        </w:r>
      </w:hyperlink>
    </w:p>
    <w:p>
      <w:pPr>
        <w:pStyle w:val="Compact"/>
        <w:numPr>
          <w:ilvl w:val="0"/>
          <w:numId w:val="1030"/>
        </w:numPr>
      </w:pPr>
      <w:r>
        <w:t xml:space="preserve">Smith MT, Edwards RR, McCann UD, Haythornthwaite JA.</w:t>
      </w:r>
      <w:r>
        <w:t xml:space="preserve"> </w:t>
      </w:r>
      <w:r>
        <w:rPr>
          <w:i/>
          <w:iCs/>
        </w:rPr>
        <w:t xml:space="preserve">The effects of sleep deprivation on pain inhibition and spontaneous pain in women.</w:t>
      </w:r>
      <w:r>
        <w:t xml:space="preserve"> </w:t>
      </w:r>
      <w:r>
        <w:t xml:space="preserve">Sleep 2007;30(4):494-505. —</w:t>
      </w:r>
      <w:r>
        <w:t xml:space="preserve"> </w:t>
      </w:r>
      <w:hyperlink r:id="rId93">
        <w:r>
          <w:rPr>
            <w:rStyle w:val="Hyperlink"/>
          </w:rPr>
          <w:t xml:space="preserve">PMID 17520794</w:t>
        </w:r>
      </w:hyperlink>
    </w:p>
    <w:p>
      <w:pPr>
        <w:pStyle w:val="Compact"/>
        <w:numPr>
          <w:ilvl w:val="0"/>
          <w:numId w:val="1030"/>
        </w:numPr>
      </w:pPr>
      <w:r>
        <w:t xml:space="preserve">Gordon C, et al. </w:t>
      </w:r>
      <w:r>
        <w:rPr>
          <w:i/>
          <w:iCs/>
        </w:rPr>
        <w:t xml:space="preserve">Effects of manual osteopathic interventions on psychometric and psychophysiological indicators of anxiety, depression and stress.</w:t>
      </w:r>
      <w:r>
        <w:t xml:space="preserve"> </w:t>
      </w:r>
      <w:r>
        <w:t xml:space="preserve">BMJ Open 2025. —</w:t>
      </w:r>
      <w:r>
        <w:t xml:space="preserve"> </w:t>
      </w:r>
      <w:hyperlink r:id="rId94">
        <w:r>
          <w:rPr>
            <w:rStyle w:val="Hyperlink"/>
          </w:rPr>
          <w:t xml:space="preserve">PMID 39920074</w:t>
        </w:r>
      </w:hyperlink>
    </w:p>
    <w:p>
      <w:pPr>
        <w:pStyle w:val="Compact"/>
        <w:numPr>
          <w:ilvl w:val="0"/>
          <w:numId w:val="1030"/>
        </w:numPr>
      </w:pPr>
      <w:r>
        <w:t xml:space="preserve">Ferreira PH, Ferreira ML, Maher CG, Refshauge KM, Latimer J, Adams RD.</w:t>
      </w:r>
      <w:r>
        <w:t xml:space="preserve"> </w:t>
      </w:r>
      <w:r>
        <w:rPr>
          <w:i/>
          <w:iCs/>
        </w:rPr>
        <w:t xml:space="preserve">The therapeutic alliance between clinicians and patients predicts outcome in chronic low back pain.</w:t>
      </w:r>
      <w:r>
        <w:t xml:space="preserve"> </w:t>
      </w:r>
      <w:r>
        <w:t xml:space="preserve">Phys Ther 2013;93(4):470-8. —</w:t>
      </w:r>
      <w:r>
        <w:t xml:space="preserve"> </w:t>
      </w:r>
      <w:hyperlink r:id="rId95">
        <w:r>
          <w:rPr>
            <w:rStyle w:val="Hyperlink"/>
          </w:rPr>
          <w:t xml:space="preserve">PMID 23139428</w:t>
        </w:r>
      </w:hyperlink>
    </w:p>
    <w:p>
      <w:pPr>
        <w:pStyle w:val="Compact"/>
        <w:numPr>
          <w:ilvl w:val="0"/>
          <w:numId w:val="1030"/>
        </w:numPr>
      </w:pPr>
      <w:r>
        <w:t xml:space="preserve">Zou K, Wong J, Abdullah N, et al. </w:t>
      </w:r>
      <w:r>
        <w:rPr>
          <w:i/>
          <w:iCs/>
        </w:rPr>
        <w:t xml:space="preserve">Examination of overall treatment effect and the proportion attributable to contextual effect in osteoarthritis.</w:t>
      </w:r>
      <w:r>
        <w:t xml:space="preserve"> </w:t>
      </w:r>
      <w:r>
        <w:t xml:space="preserve">Ann Rheum Dis 2016;75(11):1964-1970. —</w:t>
      </w:r>
      <w:r>
        <w:t xml:space="preserve"> </w:t>
      </w:r>
      <w:hyperlink r:id="rId96">
        <w:r>
          <w:rPr>
            <w:rStyle w:val="Hyperlink"/>
          </w:rPr>
          <w:t xml:space="preserve">PMID 26882927</w:t>
        </w:r>
      </w:hyperlink>
    </w:p>
    <w:p>
      <w:pPr>
        <w:pStyle w:val="Compact"/>
        <w:numPr>
          <w:ilvl w:val="0"/>
          <w:numId w:val="1030"/>
        </w:numPr>
      </w:pPr>
      <w:r>
        <w:t xml:space="preserve">Hoeksma HL, Dekker J, Ronday HK, et al. </w:t>
      </w:r>
      <w:r>
        <w:rPr>
          <w:i/>
          <w:iCs/>
        </w:rPr>
        <w:t xml:space="preserve">Comparison of manual therapy and exercise therapy in osteoarthritis of the hip: a randomized clinical trial.</w:t>
      </w:r>
      <w:r>
        <w:t xml:space="preserve"> </w:t>
      </w:r>
      <w:r>
        <w:t xml:space="preserve">Arthritis Rheum 2004;51(5):722-9. —</w:t>
      </w:r>
      <w:r>
        <w:t xml:space="preserve"> </w:t>
      </w:r>
      <w:hyperlink r:id="rId97">
        <w:r>
          <w:rPr>
            <w:rStyle w:val="Hyperlink"/>
          </w:rPr>
          <w:t xml:space="preserve">PMID 15478147</w:t>
        </w:r>
      </w:hyperlink>
    </w:p>
    <w:p>
      <w:pPr>
        <w:pStyle w:val="Compact"/>
        <w:numPr>
          <w:ilvl w:val="0"/>
          <w:numId w:val="1030"/>
        </w:numPr>
      </w:pPr>
      <w:r>
        <w:t xml:space="preserve">Dobson F, Hinman RS, Roos EM, et al. </w:t>
      </w:r>
      <w:r>
        <w:rPr>
          <w:i/>
          <w:iCs/>
        </w:rPr>
        <w:t xml:space="preserve">OARSI recommended performance-based tests to assess physical function in people diagnosed with hip or knee osteoarthritis.</w:t>
      </w:r>
      <w:r>
        <w:t xml:space="preserve"> </w:t>
      </w:r>
      <w:r>
        <w:t xml:space="preserve">Osteoarthritis Cartilage 2013;21(8):1042-52. —</w:t>
      </w:r>
      <w:r>
        <w:t xml:space="preserve"> </w:t>
      </w:r>
      <w:hyperlink r:id="rId98">
        <w:r>
          <w:rPr>
            <w:rStyle w:val="Hyperlink"/>
          </w:rPr>
          <w:t xml:space="preserve">PMID 23680877</w:t>
        </w:r>
      </w:hyperlink>
    </w:p>
    <w:p>
      <w:pPr>
        <w:pStyle w:val="Compact"/>
        <w:numPr>
          <w:ilvl w:val="0"/>
          <w:numId w:val="1030"/>
        </w:numPr>
      </w:pPr>
      <w:r>
        <w:t xml:space="preserve">Wright AA, Cook CE, Baxter GD, Dockerty JD, Abbott JH.</w:t>
      </w:r>
      <w:r>
        <w:t xml:space="preserve"> </w:t>
      </w:r>
      <w:r>
        <w:rPr>
          <w:i/>
          <w:iCs/>
        </w:rPr>
        <w:t xml:space="preserve">A comparison of 3 methodological approaches to defining major clinically important improvement of 4 performance measures in patients with hip osteoarthritis.</w:t>
      </w:r>
      <w:r>
        <w:t xml:space="preserve"> </w:t>
      </w:r>
      <w:r>
        <w:t xml:space="preserve">J Orthop Sports Phys Ther 2011;41(5):319-27. —</w:t>
      </w:r>
      <w:r>
        <w:t xml:space="preserve"> </w:t>
      </w:r>
      <w:hyperlink r:id="rId99">
        <w:r>
          <w:rPr>
            <w:rStyle w:val="Hyperlink"/>
          </w:rPr>
          <w:t xml:space="preserve">PMID 21335930</w:t>
        </w:r>
      </w:hyperlink>
    </w:p>
    <w:p>
      <w:pPr>
        <w:pStyle w:val="Compact"/>
        <w:numPr>
          <w:ilvl w:val="0"/>
          <w:numId w:val="1030"/>
        </w:numPr>
      </w:pPr>
      <w:r>
        <w:t xml:space="preserve">Georgopoulos V, Akin-Akinyosoye K, Zhang W, McWilliams DF, Hendrick P, Walsh DA.</w:t>
      </w:r>
      <w:r>
        <w:t xml:space="preserve"> </w:t>
      </w:r>
      <w:r>
        <w:rPr>
          <w:i/>
          <w:iCs/>
        </w:rPr>
        <w:t xml:space="preserve">Quantitative sensory testing and predicting outcomes for musculoskeletal pain, disability, and negative affect: a systematic review and meta-analysis.</w:t>
      </w:r>
      <w:r>
        <w:t xml:space="preserve"> </w:t>
      </w:r>
      <w:r>
        <w:t xml:space="preserve">Pain 2019;160(9):1920-32. —</w:t>
      </w:r>
      <w:r>
        <w:t xml:space="preserve"> </w:t>
      </w:r>
      <w:hyperlink r:id="rId100">
        <w:r>
          <w:rPr>
            <w:rStyle w:val="Hyperlink"/>
          </w:rPr>
          <w:t xml:space="preserve">PMID 31045746</w:t>
        </w:r>
      </w:hyperlink>
    </w:p>
    <w:p>
      <w:pPr>
        <w:pStyle w:val="Compact"/>
        <w:numPr>
          <w:ilvl w:val="0"/>
          <w:numId w:val="1030"/>
        </w:numPr>
      </w:pPr>
      <w:r>
        <w:t xml:space="preserve">Lacey RJ, Belcher J, Rathod T, Wilkie R, Thomas E, McBeth J.</w:t>
      </w:r>
      <w:r>
        <w:t xml:space="preserve"> </w:t>
      </w:r>
      <w:r>
        <w:rPr>
          <w:i/>
          <w:iCs/>
        </w:rPr>
        <w:t xml:space="preserve">Pain at multiple body sites and health-related quality of life in older adults: results from the North Staffordshire Osteoarthritis Project.</w:t>
      </w:r>
      <w:r>
        <w:t xml:space="preserve"> </w:t>
      </w:r>
      <w:r>
        <w:t xml:space="preserve">Rheumatology 2014;53(11):2071-9. —</w:t>
      </w:r>
      <w:r>
        <w:t xml:space="preserve"> </w:t>
      </w:r>
      <w:hyperlink r:id="rId101">
        <w:r>
          <w:rPr>
            <w:rStyle w:val="Hyperlink"/>
          </w:rPr>
          <w:t xml:space="preserve">PMID 24925881</w:t>
        </w:r>
      </w:hyperlink>
    </w:p>
    <w:p>
      <w:pPr>
        <w:pStyle w:val="Compact"/>
        <w:numPr>
          <w:ilvl w:val="0"/>
          <w:numId w:val="1030"/>
        </w:numPr>
      </w:pPr>
      <w:r>
        <w:t xml:space="preserve">Weston V, Coakley G, et al. </w:t>
      </w:r>
      <w:r>
        <w:rPr>
          <w:i/>
          <w:iCs/>
        </w:rPr>
        <w:t xml:space="preserve">Guideline for the management of the hot swollen joint in adults with a particular focus on septic arthritis.</w:t>
      </w:r>
      <w:r>
        <w:t xml:space="preserve"> </w:t>
      </w:r>
      <w:r>
        <w:t xml:space="preserve">J Antimicrob Chemother 2006;58(3):492-3. —</w:t>
      </w:r>
      <w:r>
        <w:t xml:space="preserve"> </w:t>
      </w:r>
      <w:hyperlink r:id="rId102">
        <w:r>
          <w:rPr>
            <w:rStyle w:val="Hyperlink"/>
          </w:rPr>
          <w:t xml:space="preserve">PMID 16857687</w:t>
        </w:r>
      </w:hyperlink>
    </w:p>
    <w:p>
      <w:pPr>
        <w:pStyle w:val="Compact"/>
        <w:numPr>
          <w:ilvl w:val="0"/>
          <w:numId w:val="1030"/>
        </w:numPr>
      </w:pPr>
      <w:r>
        <w:t xml:space="preserve">Mackie SL, Dejaco C, Appenzeller S, et al. </w:t>
      </w:r>
      <w:r>
        <w:rPr>
          <w:i/>
          <w:iCs/>
        </w:rPr>
        <w:t xml:space="preserve">British Society for Rheumatology guideline on diagnosis and treatment of giant cell arteritis: executive summary.</w:t>
      </w:r>
      <w:r>
        <w:t xml:space="preserve"> </w:t>
      </w:r>
      <w:r>
        <w:t xml:space="preserve">Rheumatology 2020;59(3):487-494. —</w:t>
      </w:r>
      <w:r>
        <w:t xml:space="preserve"> </w:t>
      </w:r>
      <w:hyperlink r:id="rId103">
        <w:r>
          <w:rPr>
            <w:rStyle w:val="Hyperlink"/>
          </w:rPr>
          <w:t xml:space="preserve">PMID 31970410</w:t>
        </w:r>
      </w:hyperlink>
    </w:p>
    <w:p>
      <w:pPr>
        <w:pStyle w:val="Compact"/>
        <w:numPr>
          <w:ilvl w:val="0"/>
          <w:numId w:val="1030"/>
        </w:numPr>
      </w:pPr>
      <w:r>
        <w:t xml:space="preserve">Combe B, Landewe R, Daien CI, et al. </w:t>
      </w:r>
      <w:r>
        <w:rPr>
          <w:i/>
          <w:iCs/>
        </w:rPr>
        <w:t xml:space="preserve">2016 update of the EULAR recommendations for the management of early arthritis.</w:t>
      </w:r>
      <w:r>
        <w:t xml:space="preserve"> </w:t>
      </w:r>
      <w:r>
        <w:t xml:space="preserve">Ann Rheum Dis 2017;76(6):948-959. —</w:t>
      </w:r>
      <w:r>
        <w:t xml:space="preserve"> </w:t>
      </w:r>
      <w:hyperlink r:id="rId104">
        <w:r>
          <w:rPr>
            <w:rStyle w:val="Hyperlink"/>
          </w:rPr>
          <w:t xml:space="preserve">PMID 27979873</w:t>
        </w:r>
      </w:hyperlink>
    </w:p>
    <w:p>
      <w:pPr>
        <w:pStyle w:val="Compact"/>
        <w:numPr>
          <w:ilvl w:val="0"/>
          <w:numId w:val="1030"/>
        </w:numPr>
      </w:pPr>
      <w:r>
        <w:t xml:space="preserve">Nell VP, Machold KP, Eberl G, Stamm TA, Uffmann M, Smolen JS.</w:t>
      </w:r>
      <w:r>
        <w:t xml:space="preserve"> </w:t>
      </w:r>
      <w:r>
        <w:rPr>
          <w:i/>
          <w:iCs/>
        </w:rPr>
        <w:t xml:space="preserve">Benefit of very early referral and very early therapy with disease-modifying anti-rheumatic drugs in patients with early rheumatoid arthritis.</w:t>
      </w:r>
      <w:r>
        <w:t xml:space="preserve"> </w:t>
      </w:r>
      <w:r>
        <w:t xml:space="preserve">Rheumatology 2004;43(7):906-14. —</w:t>
      </w:r>
      <w:r>
        <w:t xml:space="preserve"> </w:t>
      </w:r>
      <w:hyperlink r:id="rId105">
        <w:r>
          <w:rPr>
            <w:rStyle w:val="Hyperlink"/>
          </w:rPr>
          <w:t xml:space="preserve">PMID 15113999</w:t>
        </w:r>
      </w:hyperlink>
    </w:p>
    <w:p>
      <w:pPr>
        <w:pStyle w:val="Compact"/>
        <w:numPr>
          <w:ilvl w:val="0"/>
          <w:numId w:val="1030"/>
        </w:numPr>
      </w:pPr>
      <w:r>
        <w:t xml:space="preserve">Cadet C, Maheu E.</w:t>
      </w:r>
      <w:r>
        <w:t xml:space="preserve"> </w:t>
      </w:r>
      <w:r>
        <w:rPr>
          <w:i/>
          <w:iCs/>
        </w:rPr>
        <w:t xml:space="preserve">Non-steroidal anti-inflammatory drugs in the pharmacological management of osteoarthritis in the very old: prescribe or proscribe?</w:t>
      </w:r>
      <w:r>
        <w:t xml:space="preserve"> </w:t>
      </w:r>
      <w:r>
        <w:t xml:space="preserve">Ther Adv Musculoskelet Dis 2021;13. —</w:t>
      </w:r>
      <w:r>
        <w:t xml:space="preserve"> </w:t>
      </w:r>
      <w:hyperlink r:id="rId106">
        <w:r>
          <w:rPr>
            <w:rStyle w:val="Hyperlink"/>
          </w:rPr>
          <w:t xml:space="preserve">PMID 34211591</w:t>
        </w:r>
      </w:hyperlink>
    </w:p>
    <w:p>
      <w:pPr>
        <w:pStyle w:val="Compact"/>
        <w:numPr>
          <w:ilvl w:val="0"/>
          <w:numId w:val="1030"/>
        </w:numPr>
      </w:pPr>
      <w:r>
        <w:t xml:space="preserve">Sherrington C, Fairhall NJ, Wallbank GK, et al. </w:t>
      </w:r>
      <w:r>
        <w:rPr>
          <w:i/>
          <w:iCs/>
        </w:rPr>
        <w:t xml:space="preserve">Exercise for preventing falls in older people living in the community.</w:t>
      </w:r>
      <w:r>
        <w:t xml:space="preserve"> </w:t>
      </w:r>
      <w:r>
        <w:t xml:space="preserve">Cochrane Database Syst Rev 2019;1:CD012424. —</w:t>
      </w:r>
      <w:r>
        <w:t xml:space="preserve"> </w:t>
      </w:r>
      <w:hyperlink r:id="rId107">
        <w:r>
          <w:rPr>
            <w:rStyle w:val="Hyperlink"/>
          </w:rPr>
          <w:t xml:space="preserve">PMID 30703272</w:t>
        </w:r>
      </w:hyperlink>
    </w:p>
    <w:p>
      <w:pPr>
        <w:pStyle w:val="Compact"/>
        <w:numPr>
          <w:ilvl w:val="0"/>
          <w:numId w:val="1030"/>
        </w:numPr>
      </w:pPr>
      <w:r>
        <w:t xml:space="preserve">Lawford BJ, Hall M, Hinman RS, et al. </w:t>
      </w:r>
      <w:r>
        <w:rPr>
          <w:i/>
          <w:iCs/>
        </w:rPr>
        <w:t xml:space="preserve">Exercise for osteoarthritis of the knee.</w:t>
      </w:r>
      <w:r>
        <w:t xml:space="preserve"> </w:t>
      </w:r>
      <w:r>
        <w:t xml:space="preserve">Cochrane Database Syst Rev 2024;12:CD004376. —</w:t>
      </w:r>
      <w:r>
        <w:t xml:space="preserve"> </w:t>
      </w:r>
      <w:hyperlink r:id="rId108">
        <w:r>
          <w:rPr>
            <w:rStyle w:val="Hyperlink"/>
          </w:rPr>
          <w:t xml:space="preserve">PMID 39625083</w:t>
        </w:r>
      </w:hyperlink>
    </w:p>
    <w:p>
      <w:pPr>
        <w:pStyle w:val="Compact"/>
        <w:numPr>
          <w:ilvl w:val="0"/>
          <w:numId w:val="1030"/>
        </w:numPr>
      </w:pPr>
      <w:r>
        <w:t xml:space="preserve">Hall M, Lawford BJ, Hinman RS, et al. </w:t>
      </w:r>
      <w:r>
        <w:rPr>
          <w:i/>
          <w:iCs/>
        </w:rPr>
        <w:t xml:space="preserve">Exercise for osteoarthritis of the hip.</w:t>
      </w:r>
      <w:r>
        <w:t xml:space="preserve"> </w:t>
      </w:r>
      <w:r>
        <w:t xml:space="preserve">Cochrane Database Syst Rev 2026;7:CD007912. —</w:t>
      </w:r>
      <w:r>
        <w:t xml:space="preserve"> </w:t>
      </w:r>
      <w:hyperlink r:id="rId109">
        <w:r>
          <w:rPr>
            <w:rStyle w:val="Hyperlink"/>
          </w:rPr>
          <w:t xml:space="preserve">PMID 42486497</w:t>
        </w:r>
      </w:hyperlink>
    </w:p>
    <w:p>
      <w:pPr>
        <w:pStyle w:val="Compact"/>
        <w:numPr>
          <w:ilvl w:val="0"/>
          <w:numId w:val="1030"/>
        </w:numPr>
      </w:pPr>
      <w:r>
        <w:t xml:space="preserve">Østerås N, Kjeken I, Smedslund G, et al. </w:t>
      </w:r>
      <w:r>
        <w:rPr>
          <w:i/>
          <w:iCs/>
        </w:rPr>
        <w:t xml:space="preserve">Exercise for Hand Osteoarthritis: A Cochrane Systematic Review.</w:t>
      </w:r>
      <w:r>
        <w:t xml:space="preserve"> </w:t>
      </w:r>
      <w:r>
        <w:t xml:space="preserve">J Rheumatol 2017;44(12):1850-1858. —</w:t>
      </w:r>
      <w:r>
        <w:t xml:space="preserve"> </w:t>
      </w:r>
      <w:hyperlink r:id="rId110">
        <w:r>
          <w:rPr>
            <w:rStyle w:val="Hyperlink"/>
          </w:rPr>
          <w:t xml:space="preserve">PMID 29032354</w:t>
        </w:r>
      </w:hyperlink>
    </w:p>
    <w:p>
      <w:pPr>
        <w:pStyle w:val="Compact"/>
        <w:numPr>
          <w:ilvl w:val="0"/>
          <w:numId w:val="1030"/>
        </w:numPr>
      </w:pPr>
      <w:r>
        <w:t xml:space="preserve">Vancampfort D, Van Damme T, McGrath RL, et al. </w:t>
      </w:r>
      <w:r>
        <w:rPr>
          <w:i/>
          <w:iCs/>
        </w:rPr>
        <w:t xml:space="preserve">Dropout From Exercise Interventions in Adults With Knee or Hip Osteoarthritis: A Systematic Review and Meta-analysis.</w:t>
      </w:r>
      <w:r>
        <w:t xml:space="preserve"> </w:t>
      </w:r>
      <w:r>
        <w:t xml:space="preserve">Arch Phys Med Rehabil 2024;105(12):2317-2326. —</w:t>
      </w:r>
      <w:r>
        <w:t xml:space="preserve"> </w:t>
      </w:r>
      <w:hyperlink r:id="rId111">
        <w:r>
          <w:rPr>
            <w:rStyle w:val="Hyperlink"/>
          </w:rPr>
          <w:t xml:space="preserve">PMID 38484833</w:t>
        </w:r>
      </w:hyperlink>
    </w:p>
    <w:p>
      <w:pPr>
        <w:pStyle w:val="Compact"/>
        <w:numPr>
          <w:ilvl w:val="0"/>
          <w:numId w:val="1030"/>
        </w:numPr>
      </w:pPr>
      <w:r>
        <w:t xml:space="preserve">Kroon FP, van der Burg LR, Buchbinder R, et al. </w:t>
      </w:r>
      <w:r>
        <w:rPr>
          <w:i/>
          <w:iCs/>
        </w:rPr>
        <w:t xml:space="preserve">Self-management education programmes for osteoarthritis.</w:t>
      </w:r>
      <w:r>
        <w:t xml:space="preserve"> </w:t>
      </w:r>
      <w:r>
        <w:t xml:space="preserve">Cochrane Database Syst Rev 2014;1:CD008963. —</w:t>
      </w:r>
      <w:r>
        <w:t xml:space="preserve"> </w:t>
      </w:r>
      <w:hyperlink r:id="rId112">
        <w:r>
          <w:rPr>
            <w:rStyle w:val="Hyperlink"/>
          </w:rPr>
          <w:t xml:space="preserve">PMID 24425500</w:t>
        </w:r>
      </w:hyperlink>
    </w:p>
    <w:p>
      <w:pPr>
        <w:pStyle w:val="Compact"/>
        <w:numPr>
          <w:ilvl w:val="0"/>
          <w:numId w:val="1030"/>
        </w:numPr>
      </w:pPr>
      <w:r>
        <w:t xml:space="preserve">Smith BE, Hendrick P, Smith TO, et al. </w:t>
      </w:r>
      <w:r>
        <w:rPr>
          <w:i/>
          <w:iCs/>
        </w:rPr>
        <w:t xml:space="preserve">Should exercises be painful in the management of chronic musculoskeletal pain? A systematic review and meta-analysis.</w:t>
      </w:r>
      <w:r>
        <w:t xml:space="preserve"> </w:t>
      </w:r>
      <w:r>
        <w:t xml:space="preserve">Br J Sports Med 2017;51(23):1679-1687. —</w:t>
      </w:r>
      <w:r>
        <w:t xml:space="preserve"> </w:t>
      </w:r>
      <w:hyperlink r:id="rId113">
        <w:r>
          <w:rPr>
            <w:rStyle w:val="Hyperlink"/>
          </w:rPr>
          <w:t xml:space="preserve">PMID 28596288</w:t>
        </w:r>
      </w:hyperlink>
    </w:p>
    <w:p>
      <w:pPr>
        <w:pStyle w:val="Compact"/>
        <w:numPr>
          <w:ilvl w:val="0"/>
          <w:numId w:val="1030"/>
        </w:numPr>
      </w:pPr>
      <w:r>
        <w:t xml:space="preserve">Smith MT, Finan PH, Buenaver LF, et al. </w:t>
      </w:r>
      <w:r>
        <w:rPr>
          <w:i/>
          <w:iCs/>
        </w:rPr>
        <w:t xml:space="preserve">Cognitive-behavioral therapy for insomnia in knee osteoarthritis: a randomized, double-blind, active placebo-controlled clinical trial.</w:t>
      </w:r>
      <w:r>
        <w:t xml:space="preserve"> </w:t>
      </w:r>
      <w:r>
        <w:t xml:space="preserve">Arthritis Rheumatol 2015;67(5):1221-33. —</w:t>
      </w:r>
      <w:r>
        <w:t xml:space="preserve"> </w:t>
      </w:r>
      <w:hyperlink r:id="rId114">
        <w:r>
          <w:rPr>
            <w:rStyle w:val="Hyperlink"/>
          </w:rPr>
          <w:t xml:space="preserve">PMID 25623343</w:t>
        </w:r>
      </w:hyperlink>
    </w:p>
    <w:p>
      <w:pPr>
        <w:pStyle w:val="Compact"/>
        <w:numPr>
          <w:ilvl w:val="0"/>
          <w:numId w:val="1030"/>
        </w:numPr>
      </w:pPr>
      <w:r>
        <w:t xml:space="preserve">French HP, Brennan A, White B, Cusack T.</w:t>
      </w:r>
      <w:r>
        <w:t xml:space="preserve"> </w:t>
      </w:r>
      <w:r>
        <w:rPr>
          <w:i/>
          <w:iCs/>
        </w:rPr>
        <w:t xml:space="preserve">Manual therapy for osteoarthritis of the hip or knee — a systematic review.</w:t>
      </w:r>
      <w:r>
        <w:t xml:space="preserve"> </w:t>
      </w:r>
      <w:r>
        <w:t xml:space="preserve">Man Ther 2011;16(2):109-17. —</w:t>
      </w:r>
      <w:r>
        <w:t xml:space="preserve"> </w:t>
      </w:r>
      <w:hyperlink r:id="rId115">
        <w:r>
          <w:rPr>
            <w:rStyle w:val="Hyperlink"/>
          </w:rPr>
          <w:t xml:space="preserve">PMID 21146444</w:t>
        </w:r>
      </w:hyperlink>
    </w:p>
    <w:p>
      <w:pPr>
        <w:pStyle w:val="Compact"/>
        <w:numPr>
          <w:ilvl w:val="0"/>
          <w:numId w:val="1030"/>
        </w:numPr>
      </w:pPr>
      <w:r>
        <w:t xml:space="preserve">Altınbilek T, Murat S, Yumuşakhuylu Y, İçağasıoğlu A.</w:t>
      </w:r>
      <w:r>
        <w:t xml:space="preserve"> </w:t>
      </w:r>
      <w:r>
        <w:rPr>
          <w:i/>
          <w:iCs/>
        </w:rPr>
        <w:t xml:space="preserve">Osteopathic manipulative treatment improves function and relieves pain in knee osteoarthritis: A single-blind, randomized-controlled trial.</w:t>
      </w:r>
      <w:r>
        <w:t xml:space="preserve"> </w:t>
      </w:r>
      <w:r>
        <w:t xml:space="preserve">Turk J Phys Med Rehabil 2018;64(2):114-120. —</w:t>
      </w:r>
      <w:r>
        <w:t xml:space="preserve"> </w:t>
      </w:r>
      <w:hyperlink r:id="rId116">
        <w:r>
          <w:rPr>
            <w:rStyle w:val="Hyperlink"/>
          </w:rPr>
          <w:t xml:space="preserve">PMID 31453500</w:t>
        </w:r>
      </w:hyperlink>
    </w:p>
    <w:p>
      <w:pPr>
        <w:pStyle w:val="Compact"/>
        <w:numPr>
          <w:ilvl w:val="0"/>
          <w:numId w:val="1030"/>
        </w:numPr>
      </w:pPr>
      <w:r>
        <w:t xml:space="preserve">Wandel S, Jüni P, Tendal B, et al. </w:t>
      </w:r>
      <w:r>
        <w:rPr>
          <w:i/>
          <w:iCs/>
        </w:rPr>
        <w:t xml:space="preserve">Effects of glucosamine, chondroitin, or placebo in patients with osteoarthritis of hip or knee: network meta-analysis.</w:t>
      </w:r>
      <w:r>
        <w:t xml:space="preserve"> </w:t>
      </w:r>
      <w:r>
        <w:t xml:space="preserve">BMJ 2010;341:c4675. —</w:t>
      </w:r>
      <w:r>
        <w:t xml:space="preserve"> </w:t>
      </w:r>
      <w:hyperlink r:id="rId117">
        <w:r>
          <w:rPr>
            <w:rStyle w:val="Hyperlink"/>
          </w:rPr>
          <w:t xml:space="preserve">PMID 20847017</w:t>
        </w:r>
      </w:hyperlink>
    </w:p>
    <w:p>
      <w:pPr>
        <w:pStyle w:val="Compact"/>
        <w:numPr>
          <w:ilvl w:val="0"/>
          <w:numId w:val="1030"/>
        </w:numPr>
      </w:pPr>
      <w:r>
        <w:t xml:space="preserve">Hansen S, et al. </w:t>
      </w:r>
      <w:r>
        <w:rPr>
          <w:i/>
          <w:iCs/>
        </w:rPr>
        <w:t xml:space="preserve">Effects of mobilization or manipulation of the thoracic spine on autonomic nervous system markers in symptomatic populations: a systematic review and meta-analysis.</w:t>
      </w:r>
      <w:r>
        <w:t xml:space="preserve"> </w:t>
      </w:r>
      <w:r>
        <w:t xml:space="preserve">J Man Manip Ther 2025. —</w:t>
      </w:r>
      <w:r>
        <w:t xml:space="preserve"> </w:t>
      </w:r>
      <w:hyperlink r:id="rId118">
        <w:r>
          <w:rPr>
            <w:rStyle w:val="Hyperlink"/>
          </w:rPr>
          <w:t xml:space="preserve">PMID 40232939</w:t>
        </w:r>
      </w:hyperlink>
    </w:p>
    <w:p>
      <w:pPr>
        <w:pStyle w:val="Compact"/>
        <w:numPr>
          <w:ilvl w:val="0"/>
          <w:numId w:val="1030"/>
        </w:numPr>
      </w:pPr>
      <w:r>
        <w:t xml:space="preserve">Rushton A, Carlesso LC, Flynn T, et al. </w:t>
      </w:r>
      <w:r>
        <w:rPr>
          <w:i/>
          <w:iCs/>
        </w:rPr>
        <w:t xml:space="preserve">International Framework for Examination of the Cervical Region for Potential of Vascular Pathologies of the Neck Prior to Musculoskeletal Intervention: International IFOMPT Cervical Framework.</w:t>
      </w:r>
      <w:r>
        <w:t xml:space="preserve"> </w:t>
      </w:r>
      <w:r>
        <w:t xml:space="preserve">J Orthop Sports Phys Ther 2023;53(1):7-22.</w:t>
      </w:r>
    </w:p>
    <w:p>
      <w:pPr>
        <w:pStyle w:val="Compact"/>
        <w:numPr>
          <w:ilvl w:val="0"/>
          <w:numId w:val="1030"/>
        </w:numPr>
      </w:pPr>
      <w:r>
        <w:t xml:space="preserve">Chu EC, et al. </w:t>
      </w:r>
      <w:r>
        <w:rPr>
          <w:i/>
          <w:iCs/>
        </w:rPr>
        <w:t xml:space="preserve">A retrospective analysis of the incidence of severe adverse events among recipients of chiropractic spinal manipulative therapy.</w:t>
      </w:r>
      <w:r>
        <w:t xml:space="preserve"> </w:t>
      </w:r>
      <w:r>
        <w:t xml:space="preserve">Sci Rep 2023;13:1254. —</w:t>
      </w:r>
      <w:r>
        <w:t xml:space="preserve"> </w:t>
      </w:r>
      <w:hyperlink r:id="rId119">
        <w:r>
          <w:rPr>
            <w:rStyle w:val="Hyperlink"/>
          </w:rPr>
          <w:t xml:space="preserve">PMID 36690712</w:t>
        </w:r>
      </w:hyperlink>
    </w:p>
    <w:p>
      <w:pPr>
        <w:pStyle w:val="Compact"/>
        <w:numPr>
          <w:ilvl w:val="0"/>
          <w:numId w:val="1030"/>
        </w:numPr>
      </w:pPr>
      <w:r>
        <w:t xml:space="preserve">Li Y, et al. </w:t>
      </w:r>
      <w:r>
        <w:rPr>
          <w:i/>
          <w:iCs/>
        </w:rPr>
        <w:t xml:space="preserve">The prevalence and under-diagnosis of vertebral fractures on chest radiograph.</w:t>
      </w:r>
      <w:r>
        <w:t xml:space="preserve"> </w:t>
      </w:r>
      <w:r>
        <w:t xml:space="preserve">BMC Musculoskelet Disord 2018;19:235. —</w:t>
      </w:r>
      <w:r>
        <w:t xml:space="preserve"> </w:t>
      </w:r>
      <w:hyperlink r:id="rId120">
        <w:r>
          <w:rPr>
            <w:rStyle w:val="Hyperlink"/>
          </w:rPr>
          <w:t xml:space="preserve">PMID 30021567</w:t>
        </w:r>
      </w:hyperlink>
    </w:p>
    <w:p>
      <w:pPr>
        <w:pStyle w:val="Compact"/>
        <w:numPr>
          <w:ilvl w:val="0"/>
          <w:numId w:val="1030"/>
        </w:numPr>
      </w:pPr>
      <w:r>
        <w:t xml:space="preserve">Holden MA, Metcalf B, Lawford BJ, et al. </w:t>
      </w:r>
      <w:r>
        <w:rPr>
          <w:i/>
          <w:iCs/>
        </w:rPr>
        <w:t xml:space="preserve">Moderators of the effect of therapeutic exercise for knee and hip osteoarthritis: a systematic review and individual participant data meta-analysis.</w:t>
      </w:r>
      <w:r>
        <w:t xml:space="preserve"> </w:t>
      </w:r>
      <w:r>
        <w:t xml:space="preserve">Lancet Rheumatol 2023;5(7):e386-e400. —</w:t>
      </w:r>
      <w:r>
        <w:t xml:space="preserve"> </w:t>
      </w:r>
      <w:hyperlink r:id="rId121">
        <w:r>
          <w:rPr>
            <w:rStyle w:val="Hyperlink"/>
          </w:rPr>
          <w:t xml:space="preserve">PMID 38251550</w:t>
        </w:r>
      </w:hyperlink>
    </w:p>
    <w:p>
      <w:pPr>
        <w:pStyle w:val="Compact"/>
        <w:numPr>
          <w:ilvl w:val="0"/>
          <w:numId w:val="1030"/>
        </w:numPr>
      </w:pPr>
      <w:r>
        <w:t xml:space="preserve">Naugle KM, Fillingim RB, Riley JL 3rd.</w:t>
      </w:r>
      <w:r>
        <w:t xml:space="preserve"> </w:t>
      </w:r>
      <w:r>
        <w:rPr>
          <w:i/>
          <w:iCs/>
        </w:rPr>
        <w:t xml:space="preserve">A meta-analytic review of the hypoalgesic effects of exercise.</w:t>
      </w:r>
      <w:r>
        <w:t xml:space="preserve"> </w:t>
      </w:r>
      <w:r>
        <w:t xml:space="preserve">J Pain 2012;13(12):1139-50. —</w:t>
      </w:r>
      <w:r>
        <w:t xml:space="preserve"> </w:t>
      </w:r>
      <w:hyperlink r:id="rId122">
        <w:r>
          <w:rPr>
            <w:rStyle w:val="Hyperlink"/>
          </w:rPr>
          <w:t xml:space="preserve">PMID 23141188</w:t>
        </w:r>
      </w:hyperlink>
    </w:p>
    <w:p>
      <w:pPr>
        <w:pStyle w:val="Compact"/>
        <w:numPr>
          <w:ilvl w:val="0"/>
          <w:numId w:val="1030"/>
        </w:numPr>
      </w:pPr>
      <w:r>
        <w:t xml:space="preserve">Fingleton C, Smart KM, Doody CM.</w:t>
      </w:r>
      <w:r>
        <w:t xml:space="preserve"> </w:t>
      </w:r>
      <w:r>
        <w:rPr>
          <w:i/>
          <w:iCs/>
        </w:rPr>
        <w:t xml:space="preserve">Exercise-induced Hypoalgesia in People With Knee Osteoarthritis With Normal and Abnormal Conditioned Pain Modulation.</w:t>
      </w:r>
      <w:r>
        <w:t xml:space="preserve"> </w:t>
      </w:r>
      <w:r>
        <w:t xml:space="preserve">Clin J Pain 2017;33(5):395-404. —</w:t>
      </w:r>
      <w:r>
        <w:t xml:space="preserve"> </w:t>
      </w:r>
      <w:hyperlink r:id="rId123">
        <w:r>
          <w:rPr>
            <w:rStyle w:val="Hyperlink"/>
          </w:rPr>
          <w:t xml:space="preserve">PMID 27518487</w:t>
        </w:r>
      </w:hyperlink>
    </w:p>
    <w:p>
      <w:pPr>
        <w:pStyle w:val="Compact"/>
        <w:numPr>
          <w:ilvl w:val="0"/>
          <w:numId w:val="1030"/>
        </w:numPr>
      </w:pPr>
      <w:r>
        <w:t xml:space="preserve">Ferreira ML, Zhang Y, Metcalf B, et al. </w:t>
      </w:r>
      <w:r>
        <w:rPr>
          <w:i/>
          <w:iCs/>
        </w:rPr>
        <w:t xml:space="preserve">The influence of weather on the risk of pain exacerbation in patients with knee osteoarthritis — a case-crossover study.</w:t>
      </w:r>
      <w:r>
        <w:t xml:space="preserve"> </w:t>
      </w:r>
      <w:r>
        <w:t xml:space="preserve">Osteoarthritis Cartilage 2016;24(12):2042-2047. —</w:t>
      </w:r>
      <w:r>
        <w:t xml:space="preserve"> </w:t>
      </w:r>
      <w:hyperlink r:id="rId124">
        <w:r>
          <w:rPr>
            <w:rStyle w:val="Hyperlink"/>
          </w:rPr>
          <w:t xml:space="preserve">PMID 27492467</w:t>
        </w:r>
      </w:hyperlink>
    </w:p>
    <w:p>
      <w:pPr>
        <w:pStyle w:val="Compact"/>
        <w:numPr>
          <w:ilvl w:val="0"/>
          <w:numId w:val="1030"/>
        </w:numPr>
      </w:pPr>
      <w:r>
        <w:t xml:space="preserve">DPR 7 luglio 2021 n. 131, art. 2 — profilo professionale dell’Osteopata.</w:t>
      </w:r>
    </w:p>
    <w:bookmarkEnd w:id="125"/>
    <w:bookmarkEnd w:id="1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5" Target="https://pubmed.ncbi.nlm.nih.gov/15113999/" TargetMode="External" /><Relationship Type="http://schemas.openxmlformats.org/officeDocument/2006/relationships/hyperlink" Id="rId97" Target="https://pubmed.ncbi.nlm.nih.gov/15478147/" TargetMode="External" /><Relationship Type="http://schemas.openxmlformats.org/officeDocument/2006/relationships/hyperlink" Id="rId74" Target="https://pubmed.ncbi.nlm.nih.gov/15766999/" TargetMode="External" /><Relationship Type="http://schemas.openxmlformats.org/officeDocument/2006/relationships/hyperlink" Id="rId76" Target="https://pubmed.ncbi.nlm.nih.gov/15986358/" TargetMode="External" /><Relationship Type="http://schemas.openxmlformats.org/officeDocument/2006/relationships/hyperlink" Id="rId102" Target="https://pubmed.ncbi.nlm.nih.gov/16857687/" TargetMode="External" /><Relationship Type="http://schemas.openxmlformats.org/officeDocument/2006/relationships/hyperlink" Id="rId93" Target="https://pubmed.ncbi.nlm.nih.gov/17520794/" TargetMode="External" /><Relationship Type="http://schemas.openxmlformats.org/officeDocument/2006/relationships/hyperlink" Id="rId73" Target="https://pubmed.ncbi.nlm.nih.gov/18160318/" TargetMode="External" /><Relationship Type="http://schemas.openxmlformats.org/officeDocument/2006/relationships/hyperlink" Id="rId72" Target="https://pubmed.ncbi.nlm.nih.gov/18977088/" TargetMode="External" /><Relationship Type="http://schemas.openxmlformats.org/officeDocument/2006/relationships/hyperlink" Id="rId87" Target="https://pubmed.ncbi.nlm.nih.gov/19487215/" TargetMode="External" /><Relationship Type="http://schemas.openxmlformats.org/officeDocument/2006/relationships/hyperlink" Id="rId82" Target="https://pubmed.ncbi.nlm.nih.gov/19954822/" TargetMode="External" /><Relationship Type="http://schemas.openxmlformats.org/officeDocument/2006/relationships/hyperlink" Id="rId83" Target="https://pubmed.ncbi.nlm.nih.gov/20175973/" TargetMode="External" /><Relationship Type="http://schemas.openxmlformats.org/officeDocument/2006/relationships/hyperlink" Id="rId79" Target="https://pubmed.ncbi.nlm.nih.gov/20418016/" TargetMode="External" /><Relationship Type="http://schemas.openxmlformats.org/officeDocument/2006/relationships/hyperlink" Id="rId86" Target="https://pubmed.ncbi.nlm.nih.gov/20537472/" TargetMode="External" /><Relationship Type="http://schemas.openxmlformats.org/officeDocument/2006/relationships/hyperlink" Id="rId117" Target="https://pubmed.ncbi.nlm.nih.gov/20847017/" TargetMode="External" /><Relationship Type="http://schemas.openxmlformats.org/officeDocument/2006/relationships/hyperlink" Id="rId115" Target="https://pubmed.ncbi.nlm.nih.gov/21146444/" TargetMode="External" /><Relationship Type="http://schemas.openxmlformats.org/officeDocument/2006/relationships/hyperlink" Id="rId99" Target="https://pubmed.ncbi.nlm.nih.gov/21335930/" TargetMode="External" /><Relationship Type="http://schemas.openxmlformats.org/officeDocument/2006/relationships/hyperlink" Id="rId90" Target="https://pubmed.ncbi.nlm.nih.gov/22296867/" TargetMode="External" /><Relationship Type="http://schemas.openxmlformats.org/officeDocument/2006/relationships/hyperlink" Id="rId95" Target="https://pubmed.ncbi.nlm.nih.gov/23139428/" TargetMode="External" /><Relationship Type="http://schemas.openxmlformats.org/officeDocument/2006/relationships/hyperlink" Id="rId122" Target="https://pubmed.ncbi.nlm.nih.gov/23141188/" TargetMode="External" /><Relationship Type="http://schemas.openxmlformats.org/officeDocument/2006/relationships/hyperlink" Id="rId98" Target="https://pubmed.ncbi.nlm.nih.gov/23680877/" TargetMode="External" /><Relationship Type="http://schemas.openxmlformats.org/officeDocument/2006/relationships/hyperlink" Id="rId77" Target="https://pubmed.ncbi.nlm.nih.gov/24065013/" TargetMode="External" /><Relationship Type="http://schemas.openxmlformats.org/officeDocument/2006/relationships/hyperlink" Id="rId112" Target="https://pubmed.ncbi.nlm.nih.gov/24425500/" TargetMode="External" /><Relationship Type="http://schemas.openxmlformats.org/officeDocument/2006/relationships/hyperlink" Id="rId101" Target="https://pubmed.ncbi.nlm.nih.gov/24925881/" TargetMode="External" /><Relationship Type="http://schemas.openxmlformats.org/officeDocument/2006/relationships/hyperlink" Id="rId84" Target="https://pubmed.ncbi.nlm.nih.gov/25452437/" TargetMode="External" /><Relationship Type="http://schemas.openxmlformats.org/officeDocument/2006/relationships/hyperlink" Id="rId114" Target="https://pubmed.ncbi.nlm.nih.gov/25623343/" TargetMode="External" /><Relationship Type="http://schemas.openxmlformats.org/officeDocument/2006/relationships/hyperlink" Id="rId71" Target="https://pubmed.ncbi.nlm.nih.gov/26359488/" TargetMode="External" /><Relationship Type="http://schemas.openxmlformats.org/officeDocument/2006/relationships/hyperlink" Id="rId91" Target="https://pubmed.ncbi.nlm.nih.gov/26721229/" TargetMode="External" /><Relationship Type="http://schemas.openxmlformats.org/officeDocument/2006/relationships/hyperlink" Id="rId96" Target="https://pubmed.ncbi.nlm.nih.gov/26882927/" TargetMode="External" /><Relationship Type="http://schemas.openxmlformats.org/officeDocument/2006/relationships/hyperlink" Id="rId124" Target="https://pubmed.ncbi.nlm.nih.gov/27492467/" TargetMode="External" /><Relationship Type="http://schemas.openxmlformats.org/officeDocument/2006/relationships/hyperlink" Id="rId123" Target="https://pubmed.ncbi.nlm.nih.gov/27518487/" TargetMode="External" /><Relationship Type="http://schemas.openxmlformats.org/officeDocument/2006/relationships/hyperlink" Id="rId104" Target="https://pubmed.ncbi.nlm.nih.gov/27979873/" TargetMode="External" /><Relationship Type="http://schemas.openxmlformats.org/officeDocument/2006/relationships/hyperlink" Id="rId81" Target="https://pubmed.ncbi.nlm.nih.gov/28320529/" TargetMode="External" /><Relationship Type="http://schemas.openxmlformats.org/officeDocument/2006/relationships/hyperlink" Id="rId113" Target="https://pubmed.ncbi.nlm.nih.gov/28596288/" TargetMode="External" /><Relationship Type="http://schemas.openxmlformats.org/officeDocument/2006/relationships/hyperlink" Id="rId80" Target="https://pubmed.ncbi.nlm.nih.gov/28967356/" TargetMode="External" /><Relationship Type="http://schemas.openxmlformats.org/officeDocument/2006/relationships/hyperlink" Id="rId110" Target="https://pubmed.ncbi.nlm.nih.gov/29032354/" TargetMode="External" /><Relationship Type="http://schemas.openxmlformats.org/officeDocument/2006/relationships/hyperlink" Id="rId69" Target="https://pubmed.ncbi.nlm.nih.gov/29037845/" TargetMode="External" /><Relationship Type="http://schemas.openxmlformats.org/officeDocument/2006/relationships/hyperlink" Id="rId70" Target="https://pubmed.ncbi.nlm.nih.gov/29246141/" TargetMode="External" /><Relationship Type="http://schemas.openxmlformats.org/officeDocument/2006/relationships/hyperlink" Id="rId120" Target="https://pubmed.ncbi.nlm.nih.gov/30021567/" TargetMode="External" /><Relationship Type="http://schemas.openxmlformats.org/officeDocument/2006/relationships/hyperlink" Id="rId107" Target="https://pubmed.ncbi.nlm.nih.gov/30703272/" TargetMode="External" /><Relationship Type="http://schemas.openxmlformats.org/officeDocument/2006/relationships/hyperlink" Id="rId100" Target="https://pubmed.ncbi.nlm.nih.gov/31045746/" TargetMode="External" /><Relationship Type="http://schemas.openxmlformats.org/officeDocument/2006/relationships/hyperlink" Id="rId116" Target="https://pubmed.ncbi.nlm.nih.gov/31453500/" TargetMode="External" /><Relationship Type="http://schemas.openxmlformats.org/officeDocument/2006/relationships/hyperlink" Id="rId92" Target="https://pubmed.ncbi.nlm.nih.gov/31800612/" TargetMode="External" /><Relationship Type="http://schemas.openxmlformats.org/officeDocument/2006/relationships/hyperlink" Id="rId103" Target="https://pubmed.ncbi.nlm.nih.gov/31970410/" TargetMode="External" /><Relationship Type="http://schemas.openxmlformats.org/officeDocument/2006/relationships/hyperlink" Id="rId85" Target="https://pubmed.ncbi.nlm.nih.gov/33299396/" TargetMode="External" /><Relationship Type="http://schemas.openxmlformats.org/officeDocument/2006/relationships/hyperlink" Id="rId88" Target="https://pubmed.ncbi.nlm.nih.gov/33709907/" TargetMode="External" /><Relationship Type="http://schemas.openxmlformats.org/officeDocument/2006/relationships/hyperlink" Id="rId106" Target="https://pubmed.ncbi.nlm.nih.gov/34211591/" TargetMode="External" /><Relationship Type="http://schemas.openxmlformats.org/officeDocument/2006/relationships/hyperlink" Id="rId78" Target="https://pubmed.ncbi.nlm.nih.gov/34916210/" TargetMode="External" /><Relationship Type="http://schemas.openxmlformats.org/officeDocument/2006/relationships/hyperlink" Id="rId119" Target="https://pubmed.ncbi.nlm.nih.gov/36690712/" TargetMode="External" /><Relationship Type="http://schemas.openxmlformats.org/officeDocument/2006/relationships/hyperlink" Id="rId121" Target="https://pubmed.ncbi.nlm.nih.gov/38251550/" TargetMode="External" /><Relationship Type="http://schemas.openxmlformats.org/officeDocument/2006/relationships/hyperlink" Id="rId111" Target="https://pubmed.ncbi.nlm.nih.gov/38484833/" TargetMode="External" /><Relationship Type="http://schemas.openxmlformats.org/officeDocument/2006/relationships/hyperlink" Id="rId89" Target="https://pubmed.ncbi.nlm.nih.gov/38668988/" TargetMode="External" /><Relationship Type="http://schemas.openxmlformats.org/officeDocument/2006/relationships/hyperlink" Id="rId108" Target="https://pubmed.ncbi.nlm.nih.gov/39625083/" TargetMode="External" /><Relationship Type="http://schemas.openxmlformats.org/officeDocument/2006/relationships/hyperlink" Id="rId94" Target="https://pubmed.ncbi.nlm.nih.gov/39920074/" TargetMode="External" /><Relationship Type="http://schemas.openxmlformats.org/officeDocument/2006/relationships/hyperlink" Id="rId118" Target="https://pubmed.ncbi.nlm.nih.gov/40232939/" TargetMode="External" /><Relationship Type="http://schemas.openxmlformats.org/officeDocument/2006/relationships/hyperlink" Id="rId75" Target="https://pubmed.ncbi.nlm.nih.gov/41245703/" TargetMode="External" /><Relationship Type="http://schemas.openxmlformats.org/officeDocument/2006/relationships/hyperlink" Id="rId109" Target="https://pubmed.ncbi.nlm.nih.gov/42486497/" TargetMode="External" /></Relationships>
</file>

<file path=word/_rels/footnotes.xml.rels><?xml version="1.0" encoding="UTF-8"?><Relationships xmlns="http://schemas.openxmlformats.org/package/2006/relationships"><Relationship Type="http://schemas.openxmlformats.org/officeDocument/2006/relationships/hyperlink" Id="rId105" Target="https://pubmed.ncbi.nlm.nih.gov/15113999/" TargetMode="External" /><Relationship Type="http://schemas.openxmlformats.org/officeDocument/2006/relationships/hyperlink" Id="rId97" Target="https://pubmed.ncbi.nlm.nih.gov/15478147/" TargetMode="External" /><Relationship Type="http://schemas.openxmlformats.org/officeDocument/2006/relationships/hyperlink" Id="rId74" Target="https://pubmed.ncbi.nlm.nih.gov/15766999/" TargetMode="External" /><Relationship Type="http://schemas.openxmlformats.org/officeDocument/2006/relationships/hyperlink" Id="rId76" Target="https://pubmed.ncbi.nlm.nih.gov/15986358/" TargetMode="External" /><Relationship Type="http://schemas.openxmlformats.org/officeDocument/2006/relationships/hyperlink" Id="rId102" Target="https://pubmed.ncbi.nlm.nih.gov/16857687/" TargetMode="External" /><Relationship Type="http://schemas.openxmlformats.org/officeDocument/2006/relationships/hyperlink" Id="rId93" Target="https://pubmed.ncbi.nlm.nih.gov/17520794/" TargetMode="External" /><Relationship Type="http://schemas.openxmlformats.org/officeDocument/2006/relationships/hyperlink" Id="rId73" Target="https://pubmed.ncbi.nlm.nih.gov/18160318/" TargetMode="External" /><Relationship Type="http://schemas.openxmlformats.org/officeDocument/2006/relationships/hyperlink" Id="rId72" Target="https://pubmed.ncbi.nlm.nih.gov/18977088/" TargetMode="External" /><Relationship Type="http://schemas.openxmlformats.org/officeDocument/2006/relationships/hyperlink" Id="rId87" Target="https://pubmed.ncbi.nlm.nih.gov/19487215/" TargetMode="External" /><Relationship Type="http://schemas.openxmlformats.org/officeDocument/2006/relationships/hyperlink" Id="rId82" Target="https://pubmed.ncbi.nlm.nih.gov/19954822/" TargetMode="External" /><Relationship Type="http://schemas.openxmlformats.org/officeDocument/2006/relationships/hyperlink" Id="rId83" Target="https://pubmed.ncbi.nlm.nih.gov/20175973/" TargetMode="External" /><Relationship Type="http://schemas.openxmlformats.org/officeDocument/2006/relationships/hyperlink" Id="rId79" Target="https://pubmed.ncbi.nlm.nih.gov/20418016/" TargetMode="External" /><Relationship Type="http://schemas.openxmlformats.org/officeDocument/2006/relationships/hyperlink" Id="rId86" Target="https://pubmed.ncbi.nlm.nih.gov/20537472/" TargetMode="External" /><Relationship Type="http://schemas.openxmlformats.org/officeDocument/2006/relationships/hyperlink" Id="rId117" Target="https://pubmed.ncbi.nlm.nih.gov/20847017/" TargetMode="External" /><Relationship Type="http://schemas.openxmlformats.org/officeDocument/2006/relationships/hyperlink" Id="rId115" Target="https://pubmed.ncbi.nlm.nih.gov/21146444/" TargetMode="External" /><Relationship Type="http://schemas.openxmlformats.org/officeDocument/2006/relationships/hyperlink" Id="rId99" Target="https://pubmed.ncbi.nlm.nih.gov/21335930/" TargetMode="External" /><Relationship Type="http://schemas.openxmlformats.org/officeDocument/2006/relationships/hyperlink" Id="rId90" Target="https://pubmed.ncbi.nlm.nih.gov/22296867/" TargetMode="External" /><Relationship Type="http://schemas.openxmlformats.org/officeDocument/2006/relationships/hyperlink" Id="rId95" Target="https://pubmed.ncbi.nlm.nih.gov/23139428/" TargetMode="External" /><Relationship Type="http://schemas.openxmlformats.org/officeDocument/2006/relationships/hyperlink" Id="rId122" Target="https://pubmed.ncbi.nlm.nih.gov/23141188/" TargetMode="External" /><Relationship Type="http://schemas.openxmlformats.org/officeDocument/2006/relationships/hyperlink" Id="rId98" Target="https://pubmed.ncbi.nlm.nih.gov/23680877/" TargetMode="External" /><Relationship Type="http://schemas.openxmlformats.org/officeDocument/2006/relationships/hyperlink" Id="rId77" Target="https://pubmed.ncbi.nlm.nih.gov/24065013/" TargetMode="External" /><Relationship Type="http://schemas.openxmlformats.org/officeDocument/2006/relationships/hyperlink" Id="rId112" Target="https://pubmed.ncbi.nlm.nih.gov/24425500/" TargetMode="External" /><Relationship Type="http://schemas.openxmlformats.org/officeDocument/2006/relationships/hyperlink" Id="rId101" Target="https://pubmed.ncbi.nlm.nih.gov/24925881/" TargetMode="External" /><Relationship Type="http://schemas.openxmlformats.org/officeDocument/2006/relationships/hyperlink" Id="rId84" Target="https://pubmed.ncbi.nlm.nih.gov/25452437/" TargetMode="External" /><Relationship Type="http://schemas.openxmlformats.org/officeDocument/2006/relationships/hyperlink" Id="rId114" Target="https://pubmed.ncbi.nlm.nih.gov/25623343/" TargetMode="External" /><Relationship Type="http://schemas.openxmlformats.org/officeDocument/2006/relationships/hyperlink" Id="rId71" Target="https://pubmed.ncbi.nlm.nih.gov/26359488/" TargetMode="External" /><Relationship Type="http://schemas.openxmlformats.org/officeDocument/2006/relationships/hyperlink" Id="rId91" Target="https://pubmed.ncbi.nlm.nih.gov/26721229/" TargetMode="External" /><Relationship Type="http://schemas.openxmlformats.org/officeDocument/2006/relationships/hyperlink" Id="rId96" Target="https://pubmed.ncbi.nlm.nih.gov/26882927/" TargetMode="External" /><Relationship Type="http://schemas.openxmlformats.org/officeDocument/2006/relationships/hyperlink" Id="rId124" Target="https://pubmed.ncbi.nlm.nih.gov/27492467/" TargetMode="External" /><Relationship Type="http://schemas.openxmlformats.org/officeDocument/2006/relationships/hyperlink" Id="rId123" Target="https://pubmed.ncbi.nlm.nih.gov/27518487/" TargetMode="External" /><Relationship Type="http://schemas.openxmlformats.org/officeDocument/2006/relationships/hyperlink" Id="rId104" Target="https://pubmed.ncbi.nlm.nih.gov/27979873/" TargetMode="External" /><Relationship Type="http://schemas.openxmlformats.org/officeDocument/2006/relationships/hyperlink" Id="rId81" Target="https://pubmed.ncbi.nlm.nih.gov/28320529/" TargetMode="External" /><Relationship Type="http://schemas.openxmlformats.org/officeDocument/2006/relationships/hyperlink" Id="rId113" Target="https://pubmed.ncbi.nlm.nih.gov/28596288/" TargetMode="External" /><Relationship Type="http://schemas.openxmlformats.org/officeDocument/2006/relationships/hyperlink" Id="rId80" Target="https://pubmed.ncbi.nlm.nih.gov/28967356/" TargetMode="External" /><Relationship Type="http://schemas.openxmlformats.org/officeDocument/2006/relationships/hyperlink" Id="rId110" Target="https://pubmed.ncbi.nlm.nih.gov/29032354/" TargetMode="External" /><Relationship Type="http://schemas.openxmlformats.org/officeDocument/2006/relationships/hyperlink" Id="rId69" Target="https://pubmed.ncbi.nlm.nih.gov/29037845/" TargetMode="External" /><Relationship Type="http://schemas.openxmlformats.org/officeDocument/2006/relationships/hyperlink" Id="rId70" Target="https://pubmed.ncbi.nlm.nih.gov/29246141/" TargetMode="External" /><Relationship Type="http://schemas.openxmlformats.org/officeDocument/2006/relationships/hyperlink" Id="rId120" Target="https://pubmed.ncbi.nlm.nih.gov/30021567/" TargetMode="External" /><Relationship Type="http://schemas.openxmlformats.org/officeDocument/2006/relationships/hyperlink" Id="rId107" Target="https://pubmed.ncbi.nlm.nih.gov/30703272/" TargetMode="External" /><Relationship Type="http://schemas.openxmlformats.org/officeDocument/2006/relationships/hyperlink" Id="rId100" Target="https://pubmed.ncbi.nlm.nih.gov/31045746/" TargetMode="External" /><Relationship Type="http://schemas.openxmlformats.org/officeDocument/2006/relationships/hyperlink" Id="rId116" Target="https://pubmed.ncbi.nlm.nih.gov/31453500/" TargetMode="External" /><Relationship Type="http://schemas.openxmlformats.org/officeDocument/2006/relationships/hyperlink" Id="rId92" Target="https://pubmed.ncbi.nlm.nih.gov/31800612/" TargetMode="External" /><Relationship Type="http://schemas.openxmlformats.org/officeDocument/2006/relationships/hyperlink" Id="rId103" Target="https://pubmed.ncbi.nlm.nih.gov/31970410/" TargetMode="External" /><Relationship Type="http://schemas.openxmlformats.org/officeDocument/2006/relationships/hyperlink" Id="rId85" Target="https://pubmed.ncbi.nlm.nih.gov/33299396/" TargetMode="External" /><Relationship Type="http://schemas.openxmlformats.org/officeDocument/2006/relationships/hyperlink" Id="rId88" Target="https://pubmed.ncbi.nlm.nih.gov/33709907/" TargetMode="External" /><Relationship Type="http://schemas.openxmlformats.org/officeDocument/2006/relationships/hyperlink" Id="rId106" Target="https://pubmed.ncbi.nlm.nih.gov/34211591/" TargetMode="External" /><Relationship Type="http://schemas.openxmlformats.org/officeDocument/2006/relationships/hyperlink" Id="rId78" Target="https://pubmed.ncbi.nlm.nih.gov/34916210/" TargetMode="External" /><Relationship Type="http://schemas.openxmlformats.org/officeDocument/2006/relationships/hyperlink" Id="rId119" Target="https://pubmed.ncbi.nlm.nih.gov/36690712/" TargetMode="External" /><Relationship Type="http://schemas.openxmlformats.org/officeDocument/2006/relationships/hyperlink" Id="rId121" Target="https://pubmed.ncbi.nlm.nih.gov/38251550/" TargetMode="External" /><Relationship Type="http://schemas.openxmlformats.org/officeDocument/2006/relationships/hyperlink" Id="rId111" Target="https://pubmed.ncbi.nlm.nih.gov/38484833/" TargetMode="External" /><Relationship Type="http://schemas.openxmlformats.org/officeDocument/2006/relationships/hyperlink" Id="rId89" Target="https://pubmed.ncbi.nlm.nih.gov/38668988/" TargetMode="External" /><Relationship Type="http://schemas.openxmlformats.org/officeDocument/2006/relationships/hyperlink" Id="rId108" Target="https://pubmed.ncbi.nlm.nih.gov/39625083/" TargetMode="External" /><Relationship Type="http://schemas.openxmlformats.org/officeDocument/2006/relationships/hyperlink" Id="rId94" Target="https://pubmed.ncbi.nlm.nih.gov/39920074/" TargetMode="External" /><Relationship Type="http://schemas.openxmlformats.org/officeDocument/2006/relationships/hyperlink" Id="rId118" Target="https://pubmed.ncbi.nlm.nih.gov/40232939/" TargetMode="External" /><Relationship Type="http://schemas.openxmlformats.org/officeDocument/2006/relationships/hyperlink" Id="rId75" Target="https://pubmed.ncbi.nlm.nih.gov/41245703/" TargetMode="External" /><Relationship Type="http://schemas.openxmlformats.org/officeDocument/2006/relationships/hyperlink" Id="rId109" Target="https://pubmed.ncbi.nlm.nih.gov/4248649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Bibbia Teorica — Dolori Articolari</dc:title>
  <dc:creator>Mobilitas — Direzione Osteopatica</dc:creator>
  <dc:language>it-IT</dc:language>
  <cp:keywords/>
  <dcterms:created xsi:type="dcterms:W3CDTF">2026-08-30T20:33:12Z</dcterms:created>
  <dcterms:modified xsi:type="dcterms:W3CDTF">2026-08-30T20:33:12Z</dcterms:modified>
</cp:coreProperties>
</file>

<file path=docProps/custom.xml><?xml version="1.0" encoding="utf-8"?>
<Properties xmlns="http://schemas.openxmlformats.org/officeDocument/2006/custom-properties" xmlns:vt="http://schemas.openxmlformats.org/officeDocument/2006/docPropsVTypes"/>
</file>