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9" w:name="mappa-concettuale-dolori-articolari"/>
    <w:p>
      <w:pPr>
        <w:pStyle w:val="Heading1"/>
      </w:pPr>
      <w:r>
        <w:t xml:space="preserve">Mappa concettuale — Dolori articolari</w:t>
      </w:r>
    </w:p>
    <w:p>
      <w:pPr>
        <w:pStyle w:val="FirstParagraph"/>
      </w:pPr>
      <w:r>
        <w:rPr>
          <w:b/>
          <w:bCs/>
        </w:rPr>
        <w:t xml:space="preserve">Mobilitas · OsteoTouch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Krysia Dziedzic (Keele University)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Lars Arendt-Nielsen (Aalborg University) —</w:t>
      </w:r>
      <w:r>
        <w:t xml:space="preserve"> </w:t>
      </w:r>
      <w:r>
        <w:rPr>
          <w:b/>
          <w:bCs/>
        </w:rPr>
        <w:t xml:space="preserve">v7.0 — agosto 2026 (revisione di lingua, 6º livello applicato)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Dolore in due o più articolazioni periferiche: mani, anche, ginocchia, piedi.</w:t>
      </w:r>
      <w:r>
        <w:t xml:space="preserve"> </w:t>
      </w:r>
      <w:r>
        <w:t xml:space="preserve">Oltre i 45 anni riguarda il 54% dei rispondenti a un’indagine postale su 15.083 adulti inglesi, ed è più frequente del dolore in una sede sola.</w:t>
      </w:r>
      <w:r>
        <w:t xml:space="preserve"> </w:t>
      </w:r>
      <w:r>
        <w:t xml:space="preserve">Il numero di sedi è stabile nel tempo: a quattordici anni lo predice soprattutto sé stesso.</w:t>
      </w:r>
    </w:p>
    <w:p>
      <w:r>
        <w:pict>
          <v:rect style="width:0;height:1.5pt" o:hralign="center" o:hrstd="t" o:hr="t"/>
        </w:pict>
      </w:r>
    </w:p>
    <w:bookmarkEnd w:id="9"/>
    <w:bookmarkStart w:id="10" w:name="la-catena-causale"/>
    <w:p>
      <w:pPr>
        <w:pStyle w:val="Heading2"/>
      </w:pPr>
      <w:r>
        <w:t xml:space="preserve">2 · La catena causale</w:t>
      </w:r>
    </w:p>
    <w:p>
      <w:pPr>
        <w:pStyle w:val="FirstParagraph"/>
      </w:pPr>
      <w:r>
        <w:rPr>
          <w:rStyle w:val="VerbatimChar"/>
        </w:rPr>
        <w:t xml:space="preserve">carico concentrato in poche articolazioni → dolore e versamento → il muscolo estensore si spegne per riflesso, e il paziente risparmia → (il carico si sposta sulle articolazioni vicine)* → il segnale nocicettivo dura anni → la soglia dolorosa scende anche dove non c'è danno → "mi fa male dappertutto"</w:t>
      </w:r>
    </w:p>
    <w:p>
      <w:pPr>
        <w:pStyle w:val="BodyText"/>
      </w:pPr>
      <w:r>
        <w:t xml:space="preserve">*L’anello fra parentesi è</w:t>
      </w:r>
      <w:r>
        <w:t xml:space="preserve"> </w:t>
      </w:r>
      <w:r>
        <w:rPr>
          <w:b/>
          <w:bCs/>
        </w:rPr>
        <w:t xml:space="preserve">IPOTESI, con prove contrarie</w:t>
      </w:r>
      <w:r>
        <w:t xml:space="preserve">: il rinforzo d’anca migliora i sintomi del ginocchio senza cambiare il carico misurato (Bennell). Tutti gli altri anelli sono misurati.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p>
      <w:pPr>
        <w:pStyle w:val="FirstParagraph"/>
      </w:pPr>
      <w:r>
        <w:rPr>
          <w:i/>
          <w:iCs/>
        </w:rPr>
        <w:t xml:space="preserve">L’ordine è per solidità decrescente. Il più frequente è il quarto.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Sono cinque meccanismi:</w:t>
      </w:r>
      <w:r>
        <w:rPr>
          <w:i/>
          <w:iCs/>
        </w:rPr>
        <w:t xml:space="preserve"> </w:t>
      </w:r>
      <w:r>
        <w:rPr>
          <w:i/>
          <w:iCs/>
        </w:rPr>
        <w:t xml:space="preserve">3a e 3b sono le due facce del terzo, ed è così che si contano nella prova ad alta voce.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Contatore tarato male (nociplastico)</w:t>
            </w:r>
          </w:p>
        </w:tc>
        <w:tc>
          <w:tcPr/>
          <w:p>
            <w:pPr>
              <w:pStyle w:val="Compact"/>
            </w:pPr>
            <w:r>
              <w:t xml:space="preserve">Soglia bassa lontano dalle articolazioni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da un’altra articolazione</w:t>
            </w:r>
          </w:p>
        </w:tc>
        <w:tc>
          <w:tcPr/>
          <w:p>
            <w:pPr>
              <w:pStyle w:val="Compact"/>
            </w:pPr>
            <w:r>
              <w:t xml:space="preserve">Sede muta alla palpazione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 · Muscolo staccato dall’interruttore</w:t>
            </w:r>
          </w:p>
        </w:tc>
        <w:tc>
          <w:tcPr/>
          <w:p>
            <w:pPr>
              <w:pStyle w:val="Compact"/>
            </w:pPr>
            <w:r>
              <w:t xml:space="preserve">Contrazione che</w:t>
            </w:r>
            <w:r>
              <w:t xml:space="preserve"> </w:t>
            </w:r>
            <w:r>
              <w:t xml:space="preserve">“non arriva”</w:t>
            </w:r>
          </w:p>
        </w:tc>
        <w:tc>
          <w:tcPr/>
          <w:p>
            <w:pPr>
              <w:pStyle w:val="Compact"/>
            </w:pPr>
            <w:r>
              <w:t xml:space="preserve">DIMOSTRATO +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 · Risparmio che nessuno ha deciso</w:t>
            </w:r>
          </w:p>
        </w:tc>
        <w:tc>
          <w:tcPr/>
          <w:p>
            <w:pPr>
              <w:pStyle w:val="Compact"/>
            </w:pPr>
            <w:r>
              <w:t xml:space="preserve">Attività abbandonate una a una</w:t>
            </w:r>
          </w:p>
        </w:tc>
        <w:tc>
          <w:tcPr/>
          <w:p>
            <w:pPr>
              <w:pStyle w:val="Compact"/>
            </w:pPr>
            <w:r>
              <w:t xml:space="preserve">DIMOSTRATO + RAGIONAMENTO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Carico concentrato</w:t>
            </w:r>
          </w:p>
        </w:tc>
        <w:tc>
          <w:tcPr/>
          <w:p>
            <w:pPr>
              <w:pStyle w:val="Compact"/>
            </w:pPr>
            <w:r>
              <w:t xml:space="preserve">Escursione ridotta a monte</w:t>
            </w:r>
          </w:p>
        </w:tc>
        <w:tc>
          <w:tcPr/>
          <w:p>
            <w:pPr>
              <w:pStyle w:val="Compact"/>
            </w:pPr>
            <w:r>
              <w:t xml:space="preserve">DIMOSTRATO +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Addebito da fuori (farmaco, menopausa)</w:t>
            </w:r>
          </w:p>
        </w:tc>
        <w:tc>
          <w:tcPr/>
          <w:p>
            <w:pPr>
              <w:pStyle w:val="Compact"/>
            </w:pPr>
            <w:r>
              <w:t xml:space="preserve">Esordio che coincide con una data</w:t>
            </w:r>
          </w:p>
        </w:tc>
        <w:tc>
          <w:tcPr/>
          <w:p>
            <w:pPr>
              <w:pStyle w:val="Compact"/>
            </w:pPr>
            <w:r>
              <w:t xml:space="preserve">DIMOSTRATO + IPOTESI</w:t>
            </w:r>
          </w:p>
        </w:tc>
      </w:tr>
    </w:tbl>
    <w:p>
      <w:pPr>
        <w:pStyle w:val="BodyText"/>
      </w:pPr>
      <w:r>
        <w:rPr>
          <w:b/>
          <w:bCs/>
        </w:rPr>
        <w:t xml:space="preserve">L’etichetta si spezza quando i pezzi non hanno la stessa forza.</w:t>
      </w:r>
      <w:r>
        <w:t xml:space="preserve"> </w:t>
      </w:r>
      <w:r>
        <w:t xml:space="preserve">La catena fra articolazioni è vera come influenza, e non è mai stata dimostrata come trasmissione rigida.</w:t>
      </w:r>
    </w:p>
    <w:p>
      <w:pPr>
        <w:pStyle w:val="BodyText"/>
      </w:pPr>
      <w:r>
        <w:rPr>
          <w:b/>
          <w:bCs/>
        </w:rPr>
        <w:t xml:space="preserve">Tre parole, e sono la chiave dei sottotipi.</w:t>
      </w:r>
      <w:r>
        <w:t xml:space="preserve"> </w:t>
      </w:r>
      <w:r>
        <w:t xml:space="preserve">Nocicettivo: nasce dal tessuto. Neuropatico: nasce dal nervo, segue il territorio, brucia, ed è circa il 23% in artrosi di anca e ginocchio. Nociplastico: nasce dall’elaborazione. Il quadro è quasi sempre misto.</w:t>
      </w:r>
    </w:p>
    <w:p>
      <w:r>
        <w:pict>
          <v:rect style="width:0;height:1.5pt" o:hralign="center" o:hrstd="t" o:hr="t"/>
        </w:pict>
      </w:r>
    </w:p>
    <w:bookmarkEnd w:id="11"/>
    <w:bookmarkStart w:id="12" w:name="i-sottotipi-e-chi-comanda"/>
    <w:p>
      <w:pPr>
        <w:pStyle w:val="Heading2"/>
      </w:pPr>
      <w:r>
        <w:t xml:space="preserve">4 ·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· Multisede meccanico</w:t>
            </w:r>
          </w:p>
        </w:tc>
        <w:tc>
          <w:tcPr/>
          <w:p>
            <w:pPr>
              <w:pStyle w:val="Compact"/>
            </w:pPr>
            <w:r>
              <w:t xml:space="preserve">Dolore da attività, rigidità ≤30 min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· Multisede a soglia bassa</w:t>
            </w:r>
          </w:p>
        </w:tc>
        <w:tc>
          <w:tcPr/>
          <w:p>
            <w:pPr>
              <w:pStyle w:val="Compact"/>
            </w:pPr>
            <w:r>
              <w:t xml:space="preserve">Dolore sproporzionato, sonno rotto</w:t>
            </w:r>
          </w:p>
        </w:tc>
        <w:tc>
          <w:tcPr/>
          <w:p>
            <w:pPr>
              <w:pStyle w:val="Compact"/>
            </w:pPr>
            <w:r>
              <w:t xml:space="preserve">Abbastanza, tempi diversi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· Multisede riferito</w:t>
            </w:r>
          </w:p>
        </w:tc>
        <w:tc>
          <w:tcPr/>
          <w:p>
            <w:pPr>
              <w:pStyle w:val="Compact"/>
            </w:pPr>
            <w:r>
              <w:t xml:space="preserve">Sede muta, sorgente a monte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· Sospetto infiammatorio</w:t>
            </w:r>
          </w:p>
        </w:tc>
        <w:tc>
          <w:tcPr/>
          <w:p>
            <w:pPr>
              <w:pStyle w:val="Compact"/>
            </w:pPr>
            <w:r>
              <w:t xml:space="preserve">Gonfiore,</w:t>
            </w:r>
            <w:r>
              <w:t xml:space="preserve"> </w:t>
            </w:r>
            <w:r>
              <w:rPr>
                <w:b/>
                <w:bCs/>
              </w:rPr>
              <w:t xml:space="preserve">o segni fuori dall’articolazione</w:t>
            </w:r>
          </w:p>
        </w:tc>
        <w:tc>
          <w:tcPr/>
          <w:p>
            <w:pPr>
              <w:pStyle w:val="Compact"/>
            </w:pPr>
            <w:r>
              <w:t xml:space="preserve">Niente: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· Esogeno o sistemico</w:t>
            </w:r>
          </w:p>
        </w:tc>
        <w:tc>
          <w:tcPr/>
          <w:p>
            <w:pPr>
              <w:pStyle w:val="Compact"/>
            </w:pPr>
            <w:r>
              <w:t xml:space="preserve">Esordio dopo un farmaco o con la menopausa</w:t>
            </w:r>
          </w:p>
        </w:tc>
        <w:tc>
          <w:tcPr/>
          <w:p>
            <w:pPr>
              <w:pStyle w:val="Compact"/>
            </w:pPr>
            <w:r>
              <w:t xml:space="preserve">Il quadro no: invio. La meccanica sì</w:t>
            </w:r>
          </w:p>
        </w:tc>
      </w:tr>
    </w:tbl>
    <w:p>
      <w:pPr>
        <w:pStyle w:val="BodyText"/>
      </w:pPr>
      <w:r>
        <w:rPr>
          <w:b/>
          <w:bCs/>
        </w:rPr>
        <w:t xml:space="preserve">A e B convivono nella maggioranza dei casi:</w:t>
      </w:r>
      <w:r>
        <w:t xml:space="preserve"> </w:t>
      </w:r>
      <w:r>
        <w:t xml:space="preserve">B decide i tempi e la progressione, A decide il bersaglio. Il marker resta quello di B.</w:t>
      </w:r>
      <w:r>
        <w:t xml:space="preserve"> </w:t>
      </w:r>
      <w:r>
        <w:rPr>
          <w:b/>
          <w:bCs/>
        </w:rPr>
        <w:t xml:space="preserve">Sotto i 45 anni questa tabella non si applica:</w:t>
      </w:r>
      <w:r>
        <w:t xml:space="preserve"> </w:t>
      </w:r>
      <w:r>
        <w:t xml:space="preserve">il criterio della linea guida non è coperto, e il canale medico si attiva prima.</w:t>
      </w:r>
    </w:p>
    <w:p>
      <w:r>
        <w:pict>
          <v:rect style="width:0;height:1.5pt" o:hralign="center" o:hrstd="t" o:hr="t"/>
        </w:pict>
      </w:r>
    </w:p>
    <w:bookmarkEnd w:id="12"/>
    <w:bookmarkStart w:id="13" w:name="le-bandiere-rosse"/>
    <w:p>
      <w:pPr>
        <w:pStyle w:val="Heading2"/>
      </w:pPr>
      <w:r>
        <w:t xml:space="preserve">5 · Le bandiere rosse</w:t>
      </w:r>
    </w:p>
    <w:p>
      <w:pPr>
        <w:pStyle w:val="Compact"/>
        <w:numPr>
          <w:ilvl w:val="0"/>
          <w:numId w:val="1001"/>
        </w:numPr>
      </w:pPr>
      <w:r>
        <w:t xml:space="preserve">Articolazione calda, rossa e gonfia →</w:t>
      </w:r>
      <w:r>
        <w:t xml:space="preserve"> </w:t>
      </w:r>
      <w:r>
        <w:rPr>
          <w:b/>
          <w:bCs/>
        </w:rPr>
        <w:t xml:space="preserve">pronto soccorso, in giornata.</w:t>
      </w:r>
      <w:r>
        <w:t xml:space="preserve"> </w:t>
      </w:r>
      <w:r>
        <w:t xml:space="preserve">Protesi e infiltrazione recente alzano il rischio; nell’anziano e nel diabetico la febbre può mancare.</w:t>
      </w:r>
    </w:p>
    <w:p>
      <w:pPr>
        <w:pStyle w:val="Compact"/>
        <w:numPr>
          <w:ilvl w:val="0"/>
          <w:numId w:val="1001"/>
        </w:numPr>
      </w:pPr>
      <w:r>
        <w:t xml:space="preserve">Perdita del visus anche transitoria, o diplopia →</w:t>
      </w:r>
      <w:r>
        <w:t xml:space="preserve"> </w:t>
      </w:r>
      <w:r>
        <w:rPr>
          <w:b/>
          <w:bCs/>
        </w:rPr>
        <w:t xml:space="preserve">112 o pronto soccorso, stessa giornata.</w:t>
      </w:r>
    </w:p>
    <w:p>
      <w:pPr>
        <w:pStyle w:val="Compact"/>
        <w:numPr>
          <w:ilvl w:val="0"/>
          <w:numId w:val="1001"/>
        </w:numPr>
      </w:pPr>
      <w:r>
        <w:t xml:space="preserve">Cefalea nuova oltre i 50 con dolore mandibolare o cuoio capelluto dolente →</w:t>
      </w:r>
      <w:r>
        <w:t xml:space="preserve"> </w:t>
      </w:r>
      <w:r>
        <w:rPr>
          <w:b/>
          <w:bCs/>
        </w:rPr>
        <w:t xml:space="preserve">urgente, entro 3 giorni.</w:t>
      </w:r>
      <w:r>
        <w:t xml:space="preserve"> </w:t>
      </w:r>
      <w:r>
        <w:rPr>
          <w:i/>
          <w:iCs/>
        </w:rPr>
        <w:t xml:space="preserve">Non serve il sintomo visivo perché scatti.</w:t>
      </w:r>
    </w:p>
    <w:p>
      <w:pPr>
        <w:pStyle w:val="Compact"/>
        <w:numPr>
          <w:ilvl w:val="0"/>
          <w:numId w:val="1001"/>
        </w:numPr>
      </w:pPr>
      <w:r>
        <w:t xml:space="preserve">Gonfiore articolare con dolore o rigidità →</w:t>
      </w:r>
      <w:r>
        <w:t xml:space="preserve"> </w:t>
      </w:r>
      <w:r>
        <w:rPr>
          <w:b/>
          <w:bCs/>
        </w:rPr>
        <w:t xml:space="preserve">reumatologo, invio non attendere.</w:t>
      </w:r>
      <w:r>
        <w:t xml:space="preserve"> </w:t>
      </w:r>
      <w:r>
        <w:t xml:space="preserve">La finestra EULAR è di 6 settimane dall’esordio: un esordio più remoto</w:t>
      </w:r>
      <w:r>
        <w:t xml:space="preserve"> </w:t>
      </w:r>
      <w:r>
        <w:rPr>
          <w:b/>
          <w:bCs/>
        </w:rPr>
        <w:t xml:space="preserve">aumenta</w:t>
      </w:r>
      <w:r>
        <w:t xml:space="preserve"> </w:t>
      </w:r>
      <w:r>
        <w:t xml:space="preserve">l’urgenza.</w:t>
      </w:r>
    </w:p>
    <w:p>
      <w:pPr>
        <w:pStyle w:val="Compact"/>
        <w:numPr>
          <w:ilvl w:val="0"/>
          <w:numId w:val="1001"/>
        </w:numPr>
      </w:pPr>
      <w:r>
        <w:t xml:space="preserve">Dattilite, entesite, psoriasi, uveite o MICI →</w:t>
      </w:r>
      <w:r>
        <w:t xml:space="preserve"> </w:t>
      </w:r>
      <w:r>
        <w:rPr>
          <w:b/>
          <w:bCs/>
        </w:rPr>
        <w:t xml:space="preserve">reumatologo, invio non attendere.</w:t>
      </w:r>
      <w:r>
        <w:t xml:space="preserve"> </w:t>
      </w:r>
      <w:r>
        <w:t xml:space="preserve">Le spondiloartriti sono asimmetriche e a rigidità breve.</w:t>
      </w:r>
    </w:p>
    <w:p>
      <w:pPr>
        <w:pStyle w:val="Compact"/>
        <w:numPr>
          <w:ilvl w:val="0"/>
          <w:numId w:val="1001"/>
        </w:numPr>
      </w:pPr>
      <w:r>
        <w:t xml:space="preserve">Rash, ulcere orali, Raynaud, secchezza, febbricola →</w:t>
      </w:r>
      <w:r>
        <w:t xml:space="preserve"> </w:t>
      </w:r>
      <w:r>
        <w:rPr>
          <w:b/>
          <w:bCs/>
        </w:rPr>
        <w:t xml:space="preserve">reumatologo o curante, invio non attendere.</w:t>
      </w:r>
    </w:p>
    <w:p>
      <w:pPr>
        <w:pStyle w:val="Compact"/>
        <w:numPr>
          <w:ilvl w:val="0"/>
          <w:numId w:val="1001"/>
        </w:numPr>
      </w:pPr>
      <w:r>
        <w:t xml:space="preserve">Cingoli dolenti sopra i 50 anni, esordio rapido →</w:t>
      </w:r>
      <w:r>
        <w:t xml:space="preserve"> </w:t>
      </w:r>
      <w:r>
        <w:rPr>
          <w:b/>
          <w:bCs/>
        </w:rPr>
        <w:t xml:space="preserve">urgente.</w:t>
      </w:r>
    </w:p>
    <w:p>
      <w:pPr>
        <w:pStyle w:val="Compact"/>
        <w:numPr>
          <w:ilvl w:val="0"/>
          <w:numId w:val="1001"/>
        </w:numPr>
      </w:pPr>
      <w:r>
        <w:t xml:space="preserve">Calo di peso, febbre, dolore notturno fisso →</w:t>
      </w:r>
      <w:r>
        <w:t xml:space="preserve"> </w:t>
      </w:r>
      <w:r>
        <w:rPr>
          <w:b/>
          <w:bCs/>
        </w:rPr>
        <w:t xml:space="preserve">curante, invio non attendere.</w:t>
      </w:r>
    </w:p>
    <w:p>
      <w:pPr>
        <w:pStyle w:val="Compact"/>
        <w:numPr>
          <w:ilvl w:val="0"/>
          <w:numId w:val="1001"/>
        </w:numPr>
      </w:pPr>
      <w:r>
        <w:t xml:space="preserve">Rigidità mattutina oltre 30 minuti, simmetrica,</w:t>
      </w:r>
      <w:r>
        <w:t xml:space="preserve"> </w:t>
      </w:r>
      <w:r>
        <w:rPr>
          <w:b/>
          <w:bCs/>
        </w:rPr>
        <w:t xml:space="preserve">senza gonfiore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GIALLO prioritario.</w:t>
      </w:r>
      <w:r>
        <w:t xml:space="preserve"> </w:t>
      </w:r>
      <w:r>
        <w:t xml:space="preserve">Con gonfiore o esordio recente → ROSSO.</w:t>
      </w:r>
    </w:p>
    <w:p>
      <w:pPr>
        <w:pStyle w:val="Compact"/>
        <w:numPr>
          <w:ilvl w:val="0"/>
          <w:numId w:val="1001"/>
        </w:numPr>
      </w:pPr>
      <w:r>
        <w:t xml:space="preserve">Dolore comparso dopo un farmaco nuovo →</w:t>
      </w:r>
      <w:r>
        <w:t xml:space="preserve"> </w:t>
      </w:r>
      <w:r>
        <w:rPr>
          <w:b/>
          <w:bCs/>
        </w:rPr>
        <w:t xml:space="preserve">prescrittore.</w:t>
      </w:r>
      <w:r>
        <w:t xml:space="preserve"> </w:t>
      </w:r>
      <w:r>
        <w:t xml:space="preserve">GIALLO prioritario.</w:t>
      </w:r>
    </w:p>
    <w:p>
      <w:pPr>
        <w:pStyle w:val="Compact"/>
        <w:numPr>
          <w:ilvl w:val="0"/>
          <w:numId w:val="1001"/>
        </w:numPr>
      </w:pPr>
      <w:r>
        <w:t xml:space="preserve">Osso fragile</w:t>
      </w:r>
      <w:r>
        <w:t xml:space="preserve"> </w:t>
      </w:r>
      <w:r>
        <w:rPr>
          <w:b/>
          <w:bCs/>
        </w:rPr>
        <w:t xml:space="preserve">noto o sospetto</w:t>
      </w:r>
      <w:r>
        <w:t xml:space="preserve">, storia oncologica →</w:t>
      </w:r>
      <w:r>
        <w:t xml:space="preserve"> </w:t>
      </w:r>
      <w:r>
        <w:rPr>
          <w:b/>
          <w:bCs/>
        </w:rPr>
        <w:t xml:space="preserve">curante prima di iniziare.</w:t>
      </w:r>
      <w:r>
        <w:t xml:space="preserve"> </w:t>
      </w:r>
      <w:r>
        <w:t xml:space="preserve">GIALLO prioritario.</w:t>
      </w:r>
    </w:p>
    <w:p>
      <w:pPr>
        <w:pStyle w:val="FirstParagraph"/>
      </w:pPr>
      <w:r>
        <w:rPr>
          <w:b/>
          <w:bCs/>
        </w:rPr>
        <w:t xml:space="preserve">Rete, non filtro.</w:t>
      </w:r>
      <w:r>
        <w:t xml:space="preserve"> </w:t>
      </w:r>
      <w:r>
        <w:t xml:space="preserve">Una riga presente ti fa fermare; tutte assenti non autorizzano a escludere niente. Sulle righe «in giornata» o «urgente» non si tratta nulla, in nessun distretto, quel giorno.</w:t>
      </w:r>
    </w:p>
    <w:p>
      <w:r>
        <w:pict>
          <v:rect style="width:0;height:1.5pt" o:hralign="center" o:hrstd="t" o:hr="t"/>
        </w:pict>
      </w:r>
    </w:p>
    <w:bookmarkEnd w:id="13"/>
    <w:bookmarkStart w:id="14" w:name="la-sicurezza-del-gesto-in-quattro-righe"/>
    <w:p>
      <w:pPr>
        <w:pStyle w:val="Heading2"/>
      </w:pPr>
      <w:r>
        <w:t xml:space="preserve">6 · La sicurezza del gesto, in quattro righe</w:t>
      </w:r>
    </w:p>
    <w:p>
      <w:pPr>
        <w:pStyle w:val="FirstParagraph"/>
      </w:pPr>
      <w:r>
        <w:rPr>
          <w:b/>
          <w:bCs/>
        </w:rPr>
        <w:t xml:space="preserve">Il collo è il distretto a rischio proprio di questo documento.</w:t>
      </w:r>
      <w:r>
        <w:t xml:space="preserve"> </w:t>
      </w:r>
      <w:r>
        <w:t xml:space="preserve">L’evento è la dissezione dell’arteria cervicale: è rara, l’incidenza non è quantificata, la causalità su un rachide sano non è dimostrata — e va nominata. L’esame della regione cervicale per potenziali patologie vascolari precede l’intervento (IFOMPT 2020/2023). Una cervicalgia o cefalea</w:t>
      </w:r>
      <w:r>
        <w:t xml:space="preserve"> </w:t>
      </w:r>
      <w:r>
        <w:rPr>
          <w:b/>
          <w:bCs/>
        </w:rPr>
        <w:t xml:space="preserve">di tipo nuovo</w:t>
      </w:r>
      <w:r>
        <w:t xml:space="preserve"> </w:t>
      </w:r>
      <w:r>
        <w:t xml:space="preserve">non è una sede in più dell’elenco.</w:t>
      </w:r>
      <w:r>
        <w:t xml:space="preserve"> </w:t>
      </w:r>
      <w:r>
        <w:rPr>
          <w:b/>
          <w:bCs/>
        </w:rPr>
        <w:t xml:space="preserve">Prima della rotazione interna d’anca:</w:t>
      </w:r>
      <w:r>
        <w:t xml:space="preserve"> </w:t>
      </w:r>
      <w:r>
        <w:t xml:space="preserve">chiedi se è protesizzata e con quale via. Flessione &gt;90° + adduzione + rotazione interna è la posizione che disloca dopo la via posteriore.</w:t>
      </w:r>
      <w:r>
        <w:t xml:space="preserve"> </w:t>
      </w:r>
      <w:r>
        <w:rPr>
          <w:b/>
          <w:bCs/>
        </w:rPr>
        <w:t xml:space="preserve">L’osso:</w:t>
      </w:r>
      <w:r>
        <w:t xml:space="preserve"> </w:t>
      </w:r>
      <w:r>
        <w:t xml:space="preserve">in 960.140 sedute di manipolazione spinale</w:t>
      </w:r>
      <w:r>
        <w:t xml:space="preserve"> </w:t>
      </w:r>
      <w:r>
        <w:rPr>
          <w:b/>
          <w:bCs/>
        </w:rPr>
        <w:t xml:space="preserve">chiropratica</w:t>
      </w:r>
      <w:r>
        <w:t xml:space="preserve"> </w:t>
      </w:r>
      <w:r>
        <w:t xml:space="preserve">i soli eventi gravi</w:t>
      </w:r>
      <w:r>
        <w:t xml:space="preserve"> </w:t>
      </w:r>
      <w:r>
        <w:rPr>
          <w:b/>
          <w:bCs/>
        </w:rPr>
        <w:t xml:space="preserve">registrati</w:t>
      </w:r>
      <w:r>
        <w:t xml:space="preserve"> </w:t>
      </w:r>
      <w:r>
        <w:t xml:space="preserve">sono state due fratture costali in donne &gt;60 con osteoporosi. La fonte è un registro dei reclami, con falsi negativi ignoti e campione insufficiente a identificare predittori. Il dato dice che sono rari;</w:t>
      </w:r>
      <w:r>
        <w:t xml:space="preserve"> </w:t>
      </w:r>
      <w:r>
        <w:rPr>
          <w:b/>
          <w:bCs/>
        </w:rPr>
        <w:t xml:space="preserve">non dice che la zona non conti.</w:t>
      </w:r>
      <w:r>
        <w:t xml:space="preserve"> </w:t>
      </w:r>
      <w:r>
        <w:t xml:space="preserve">La lastra non protegge: la frattura vertebrale è nel 21,9% delle donne</w:t>
      </w:r>
      <w:r>
        <w:t xml:space="preserve"> </w:t>
      </w:r>
      <w:r>
        <w:rPr>
          <w:b/>
          <w:bCs/>
        </w:rPr>
        <w:t xml:space="preserve">ricoverate</w:t>
      </w:r>
      <w:r>
        <w:t xml:space="preserve"> </w:t>
      </w:r>
      <w:r>
        <w:t xml:space="preserve">oltre i settanta, e nei due terzi dei casi non è nel referto.</w:t>
      </w:r>
    </w:p>
    <w:p>
      <w:r>
        <w:pict>
          <v:rect style="width:0;height:1.5pt" o:hralign="center" o:hrstd="t" o:hr="t"/>
        </w:pict>
      </w:r>
    </w:p>
    <w:bookmarkEnd w:id="14"/>
    <w:bookmarkStart w:id="15" w:name="come-decidi-e-su-cosa-verifichi"/>
    <w:p>
      <w:pPr>
        <w:pStyle w:val="Heading2"/>
      </w:pPr>
      <w:r>
        <w:t xml:space="preserve">7 · Come decidi, e su cosa verifichi</w:t>
      </w:r>
    </w:p>
    <w:p>
      <w:pPr>
        <w:pStyle w:val="FirstParagraph"/>
      </w:pPr>
      <w:r>
        <w:rPr>
          <w:b/>
          <w:bCs/>
        </w:rPr>
        <w:t xml:space="preserve">Road map:</w:t>
      </w:r>
      <w:r>
        <w:t xml:space="preserve"> </w:t>
      </w:r>
      <w:r>
        <w:t xml:space="preserve">addebito da fuori? → è infiammatorio? → qual è la soglia? → cosa crede e cosa ha smesso di fare? → quante sedi sono eco? → dove si concentra il carico? → cosa può fare lui (in ogni sottotipo che resta con te,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nel sospetto infiammatorio).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Piano</w:t>
            </w:r>
          </w:p>
        </w:tc>
        <w:tc>
          <w:tcPr/>
          <w:p>
            <w:pPr>
              <w:pStyle w:val="Compact"/>
            </w:pPr>
            <w:r>
              <w:t xml:space="preserve">Come si misura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Alzate dalla sedia in 30 s</w:t>
            </w:r>
          </w:p>
        </w:tc>
        <w:tc>
          <w:tcPr/>
          <w:p>
            <w:pPr>
              <w:pStyle w:val="Compact"/>
            </w:pPr>
            <w:r>
              <w:t xml:space="preserve">Biomeccanico</w:t>
            </w:r>
          </w:p>
        </w:tc>
        <w:tc>
          <w:tcPr/>
          <w:p>
            <w:pPr>
              <w:pStyle w:val="Compact"/>
            </w:pPr>
            <w:r>
              <w:t xml:space="preserve">Numero, senza braccia</w:t>
            </w:r>
          </w:p>
        </w:tc>
        <w:tc>
          <w:tcPr/>
          <w:p>
            <w:pPr>
              <w:pStyle w:val="Compact"/>
            </w:pPr>
            <w:r>
              <w:t xml:space="preserve">2 alzate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Escursione di un’articolazione</w:t>
            </w:r>
          </w:p>
        </w:tc>
        <w:tc>
          <w:tcPr/>
          <w:p>
            <w:pPr>
              <w:pStyle w:val="Compact"/>
            </w:pPr>
            <w:r>
              <w:t xml:space="preserve">Biomeccanico</w:t>
            </w:r>
          </w:p>
        </w:tc>
        <w:tc>
          <w:tcPr/>
          <w:p>
            <w:pPr>
              <w:pStyle w:val="Compact"/>
            </w:pPr>
            <w:r>
              <w:t xml:space="preserve">Goniometro, stesso metodo</w:t>
            </w:r>
          </w:p>
        </w:tc>
        <w:tc>
          <w:tcPr/>
          <w:p>
            <w:pPr>
              <w:pStyle w:val="Compact"/>
            </w:pPr>
            <w:r>
              <w:t xml:space="preserve">10 gradi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dolorosa su sito remoto</w:t>
            </w:r>
          </w:p>
        </w:tc>
        <w:tc>
          <w:tcPr/>
          <w:p>
            <w:pPr>
              <w:pStyle w:val="Compact"/>
            </w:pPr>
            <w:r>
              <w:t xml:space="preserve">Neurologico</w:t>
            </w:r>
          </w:p>
        </w:tc>
        <w:tc>
          <w:tcPr/>
          <w:p>
            <w:pPr>
              <w:pStyle w:val="Compact"/>
            </w:pPr>
            <w:r>
              <w:t xml:space="preserve">Algometro, avambraccio</w:t>
            </w:r>
          </w:p>
        </w:tc>
        <w:tc>
          <w:tcPr/>
          <w:p>
            <w:pPr>
              <w:pStyle w:val="Compact"/>
            </w:pPr>
            <w:r>
              <w:t xml:space="preserve">20% del basale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su un compito che gli costa</w:t>
            </w:r>
          </w:p>
        </w:tc>
        <w:tc>
          <w:tcPr/>
          <w:p>
            <w:pPr>
              <w:pStyle w:val="Compact"/>
            </w:pPr>
            <w:r>
              <w:t xml:space="preserve">Comportamentale</w:t>
            </w:r>
          </w:p>
        </w:tc>
        <w:tc>
          <w:tcPr/>
          <w:p>
            <w:pPr>
              <w:pStyle w:val="Compact"/>
            </w:pPr>
            <w:r>
              <w:t xml:space="preserve">Minuti prima di fermarsi</w:t>
            </w:r>
          </w:p>
        </w:tc>
        <w:tc>
          <w:tcPr/>
          <w:p>
            <w:pPr>
              <w:pStyle w:val="Compact"/>
            </w:pPr>
            <w:r>
              <w:t xml:space="preserve">20% del basale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marker della prova si prende sempre da una riga di un piano diverso da quello che hai trattato.</w:t>
      </w:r>
      <w:r>
        <w:t xml:space="preserve"> </w:t>
      </w:r>
      <w:r>
        <w:t xml:space="preserve">Non basta cambiare sede.</w:t>
      </w:r>
      <w:r>
        <w:t xml:space="preserve"> </w:t>
      </w:r>
      <w:r>
        <w:t xml:space="preserve">Le 2 alzate sono il limite inferiore di un intervallo pubblicato di 2–2,6. I 10 gradi e i 20% vengono dall’errore di misura raddoppiato.</w:t>
      </w:r>
      <w:r>
        <w:t xml:space="preserve"> </w:t>
      </w:r>
      <w:r>
        <w:rPr>
          <w:b/>
          <w:bCs/>
        </w:rPr>
        <w:t xml:space="preserve">Senza algometro</w:t>
      </w:r>
      <w:r>
        <w:t xml:space="preserve"> </w:t>
      </w:r>
      <w:r>
        <w:t xml:space="preserve">la soglia si stima con la pressione del pollice: classifica, ma non regge come marker. L’esecuzione della misura è materia di Procedura.</w:t>
      </w:r>
      <w:r>
        <w:t xml:space="preserve"> </w:t>
      </w:r>
      <w:r>
        <w:rPr>
          <w:b/>
          <w:bCs/>
        </w:rPr>
        <w:t xml:space="preserve">La soglia predice, non misura il tuo effetto.</w:t>
      </w:r>
      <w:r>
        <w:t xml:space="preserve"> </w:t>
      </w:r>
      <w:r>
        <w:t xml:space="preserve">Il dato di partenza predice dolore e disabilità al follow-up su 3.860 partecipanti (Georgopoulos); la sua responsività al trattamento manuale non è misurata oltre la finestra di minuti-ore.</w:t>
      </w:r>
      <w:r>
        <w:t xml:space="preserve"> </w:t>
      </w:r>
      <w:r>
        <w:t xml:space="preserve">I minuti di rigidità mattutina non sono un marker: sono il criterio che decide se il paziente resta o va. Il numero di sedi non è un marker: è il sintomo.</w:t>
      </w:r>
    </w:p>
    <w:p>
      <w:r>
        <w:pict>
          <v:rect style="width:0;height:1.5pt" o:hralign="center" o:hrstd="t" o:hr="t"/>
        </w:pict>
      </w:r>
    </w:p>
    <w:bookmarkEnd w:id="15"/>
    <w:bookmarkStart w:id="16" w:name="cosa-fa-il-paziente-da-solo"/>
    <w:p>
      <w:pPr>
        <w:pStyle w:val="Heading2"/>
      </w:pPr>
      <w:r>
        <w:t xml:space="preserve">8 · Cosa fa il paziente da solo</w:t>
      </w:r>
    </w:p>
    <w:p>
      <w:pPr>
        <w:pStyle w:val="FirstParagraph"/>
      </w:pPr>
      <w:r>
        <w:t xml:space="preserve">Carico progressivo sui muscoli dell’articolazione —</w:t>
      </w:r>
      <w:r>
        <w:t xml:space="preserve"> </w:t>
      </w:r>
      <w:r>
        <w:rPr>
          <w:b/>
          <w:bCs/>
        </w:rPr>
        <w:t xml:space="preserve">DIMOSTRATO</w:t>
      </w:r>
      <w:r>
        <w:t xml:space="preserve"> </w:t>
      </w:r>
      <w:r>
        <w:t xml:space="preserve">sul ginocchio,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su mano e anca;</w:t>
      </w:r>
      <w:r>
        <w:t xml:space="preserve"> </w:t>
      </w:r>
      <w:r>
        <w:rPr>
          <w:b/>
          <w:bCs/>
        </w:rPr>
        <w:t xml:space="preserve">sull’anca contro placebo può non esserci effetto sul dolore</w:t>
      </w:r>
      <w:r>
        <w:t xml:space="preserve">.</w:t>
      </w:r>
      <w:r>
        <w:t xml:space="preserve"> </w:t>
      </w:r>
      <w:r>
        <w:t xml:space="preserve">Il modo in cui il carico si consegna: il dolore durante l’esercizio non peggiora l’esito (PROBABILE); l’educazione da sola non sposta la funzione.</w:t>
      </w:r>
      <w:r>
        <w:t xml:space="preserve"> </w:t>
      </w:r>
      <w:r>
        <w:t xml:space="preserve">Cammino e attività continua —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sull’artralgia da farmaco, un anno.</w:t>
      </w:r>
      <w:r>
        <w:t xml:space="preserve"> </w:t>
      </w:r>
      <w:r>
        <w:t xml:space="preserve">Abbandono 17,5%, uguale ai controlli;</w:t>
      </w:r>
      <w:r>
        <w:t xml:space="preserve"> </w:t>
      </w:r>
      <w:r>
        <w:rPr>
          <w:b/>
          <w:bCs/>
        </w:rPr>
        <w:t xml:space="preserve">13,2% con supervisione contro 20,8% senza.</w:t>
      </w:r>
      <w:r>
        <w:t xml:space="preserve"> </w:t>
      </w:r>
      <w:r>
        <w:t xml:space="preserve">L’effetto si sgonfia: 6,36 punti a breve termine, 3,43 a un anno.</w:t>
      </w:r>
      <w:r>
        <w:t xml:space="preserve"> </w:t>
      </w:r>
      <w:r>
        <w:t xml:space="preserve">Nel paziente a soglia bassa il carico può far scendere la soglia durante la sessione: aspettatelo.</w:t>
      </w:r>
      <w:r>
        <w:t xml:space="preserve"> </w:t>
      </w:r>
      <w:r>
        <w:t xml:space="preserve">Peso e sonno: si nominano, si misurano, si rinviano.</w:t>
      </w:r>
      <w:r>
        <w:t xml:space="preserve"> </w:t>
      </w:r>
      <w:r>
        <w:rPr>
          <w:b/>
          <w:bCs/>
        </w:rPr>
        <w:t xml:space="preserve">Il peso è l’unica leva con un carico articolare spostato dentro un randomizzato</w:t>
      </w:r>
      <w:r>
        <w:t xml:space="preserve"> </w:t>
      </w:r>
      <w:r>
        <w:t xml:space="preserve">— dieta contro solo esercizio, 200 N in meno sul ginocchio a diciotto mesi (Messier 2013) — e non è una leva nostra. Sul sonno si chiede la</w:t>
      </w:r>
      <w:r>
        <w:t xml:space="preserve"> </w:t>
      </w:r>
      <w:r>
        <w:rPr>
          <w:b/>
          <w:bCs/>
        </w:rPr>
        <w:t xml:space="preserve">qualità</w:t>
      </w:r>
      <w:r>
        <w:t xml:space="preserve">, non le ore: a perdere il freno discendente è il sonno interrotto, non quello accorciato (Smith MT 2007).</w:t>
      </w:r>
      <w:r>
        <w:t xml:space="preserve"> </w:t>
      </w:r>
      <w:r>
        <w:t xml:space="preserve">Glucosamina e condroitina: nessun effetto clinicamente rilevante su 3.803 pazienti (Wandel). Si risponde alla domanda, non si commenta una terapia.</w:t>
      </w:r>
      <w:r>
        <w:t xml:space="preserve"> </w:t>
      </w:r>
      <w:r>
        <w:rPr>
          <w:b/>
          <w:bCs/>
        </w:rPr>
        <w:t xml:space="preserve">Non si consegna</w:t>
      </w:r>
      <w:r>
        <w:t xml:space="preserve"> </w:t>
      </w:r>
      <w:r>
        <w:t xml:space="preserve">nel quadro in attesa di reumatologo, nell’articolazione calda e gonfia, e nell’osso fragile senza canale medico aperto.</w:t>
      </w:r>
    </w:p>
    <w:p>
      <w:r>
        <w:pict>
          <v:rect style="width:0;height:1.5pt" o:hralign="center" o:hrstd="t" o:hr="t"/>
        </w:pict>
      </w:r>
    </w:p>
    <w:bookmarkEnd w:id="16"/>
    <w:bookmarkStart w:id="17" w:name="la-frase-per-il-paziente"/>
    <w:p>
      <w:pPr>
        <w:pStyle w:val="Heading2"/>
      </w:pPr>
      <w:r>
        <w:t xml:space="preserve">9 · La frase per il paziente</w:t>
      </w:r>
    </w:p>
    <w:p>
      <w:pPr>
        <w:pStyle w:val="FirstParagraph"/>
      </w:pPr>
      <w:r>
        <w:rPr>
          <w:i/>
          <w:iCs/>
        </w:rPr>
        <w:t xml:space="preserve">“Il fatto che le faccia male in più punti non è un caso, e non è solo l’età. Ci sono tre ragioni possibili — che il suo corpo sia diventato più sensibile, che uno o due punti stiano mandando il dolore altrove, che il carico si sia concentrato — e le verifico io. Io lavoro su quello che ho trovato con le mani e lo misuro; il quadro nel suo insieme resta da inquadrare con il suo medico, e le due cose vanno insieme.”</w:t>
      </w:r>
    </w:p>
    <w:p>
      <w:pPr>
        <w:pStyle w:val="BodyText"/>
      </w:pPr>
      <w:r>
        <w:rPr>
          <w:b/>
          <w:bCs/>
        </w:rPr>
        <w:t xml:space="preserve">E prima che esca</w:t>
      </w:r>
      <w:r>
        <w:t xml:space="preserve">, tre scaglioni. Cosa è normale: indolenzimento 24-48 ore. Cosa segnala a te: dolore che peggiora oltre le 48 ore, dolore toracico legato al respiro. Cosa va al pronto soccorso senza passare da te: articolazione calda e gonfia, disturbo nuovo della vista, deficit neurologico nuovo.</w:t>
      </w:r>
    </w:p>
    <w:p>
      <w:r>
        <w:pict>
          <v:rect style="width:0;height:1.5pt" o:hralign="center" o:hrstd="t" o:hr="t"/>
        </w:pict>
      </w:r>
    </w:p>
    <w:bookmarkEnd w:id="17"/>
    <w:bookmarkStart w:id="18" w:name="perché-ci-sei-tu"/>
    <w:p>
      <w:pPr>
        <w:pStyle w:val="Heading2"/>
      </w:pPr>
      <w:r>
        <w:t xml:space="preserve">Perché ci sei tu</w:t>
      </w:r>
    </w:p>
    <w:p>
      <w:pPr>
        <w:pStyle w:val="BlockText"/>
      </w:pPr>
      <w:r>
        <w:t xml:space="preserve">Otto ambulatori inglesi sono stati sorteggiati a grappolo, e 525 adulti oltre i 45 anni con dolore articolare periferico sono stati seguiti sei mesi. Dove i medici erano stati formati l’aderenza alle raccomandazioni è salita, e l’informazione scritta sull’esercizio è cresciuta del 20,5%.</w:t>
      </w:r>
      <w:r>
        <w:t xml:space="preserve"> </w:t>
      </w:r>
      <w:r>
        <w:rPr>
          <w:b/>
          <w:bCs/>
        </w:rPr>
        <w:t xml:space="preserve">La funzione fisica a sei mesi non è cambiata</w:t>
      </w:r>
      <w:r>
        <w:t xml:space="preserve">: −0,37 punti, intervallo da −2,32 a 1,57 (Dziedzic, PMID 29037845). Ti autorizza a occupare lo spazio fra il consiglio e l’esecuzione, dove nessuno accompagna questi pazienti. Non ti autorizza a promettere che le tue mani facciano ciò che quel percorso non ha fatto: in quel percorso la tua parte non c’era, e nessuno degli studi che questa Bibbia cita l’ha misurata.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FirstParagraph"/>
      </w:pPr>
      <w:r>
        <w:rPr>
          <w:i/>
          <w:iCs/>
        </w:rPr>
        <w:t xml:space="preserve">Deviazioni dichiarate: blocco 2 (anello IPOTESI marcato), blocco 6 (sicurezza del gesto, D-042), blocco 7 (ragionamento clinico, D-018; marker per piano), blocco 8 (strumenti attivi, D-011), blocco «Perché ci sei tu» in coda.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2026-08-30T20:32:21Z</dcterms:created>
  <dcterms:modified xsi:type="dcterms:W3CDTF">2026-08-30T20:32:21Z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