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Dismetria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3" w:name="la-bibbia-della-dismetria"/>
    <w:p>
      <w:pPr>
        <w:pStyle w:val="Heading1"/>
      </w:pPr>
      <w:r>
        <w:t xml:space="preserve">La Bibbia della Dismetria</w:t>
      </w:r>
    </w:p>
    <w:p>
      <w:pPr>
        <w:pStyle w:val="FirstParagraph"/>
      </w:pPr>
      <w:r>
        <w:rPr>
          <w:b/>
          <w:bCs/>
        </w:rPr>
        <w:t xml:space="preserve">Condizione:</w:t>
      </w:r>
      <w:r>
        <w:t xml:space="preserve"> </w:t>
      </w:r>
      <w:r>
        <w:t xml:space="preserve">dismetria degli arti inferiori — la differenza di lunghezza fra le gambe, vera o apparente, e il quadro doloroso che le si costruisce attorno.</w:t>
      </w:r>
      <w:r>
        <w:t xml:space="preserve"> </w:t>
      </w:r>
      <w:r>
        <w:rPr>
          <w:b/>
          <w:bCs/>
        </w:rPr>
        <w:t xml:space="preserve">Ancora clinica:</w:t>
      </w:r>
      <w:r>
        <w:t xml:space="preserve"> </w:t>
      </w:r>
      <w:r>
        <w:t xml:space="preserve">T. Mark Campbell, Bone and Joint Lab, Ottawa Hospital Research Institute e Elisabeth Bruyère Hospital, Ottawa.</w:t>
      </w:r>
      <w:r>
        <w:t xml:space="preserve"> </w:t>
      </w:r>
      <w:r>
        <w:rPr>
          <w:b/>
          <w:bCs/>
        </w:rPr>
        <w:t xml:space="preserve">Ancora del fenomeno e della misura:</w:t>
      </w:r>
      <w:r>
        <w:t xml:space="preserve"> </w:t>
      </w:r>
      <w:r>
        <w:t xml:space="preserve">Gary A. Knutson.</w:t>
      </w:r>
      <w:r>
        <w:t xml:space="preserve"> </w:t>
      </w:r>
      <w:r>
        <w:rPr>
          <w:b/>
          <w:bCs/>
        </w:rPr>
        <w:t xml:space="preserve">Versione:</w:t>
      </w:r>
      <w:r>
        <w:t xml:space="preserve"> </w:t>
      </w:r>
      <w:r>
        <w:t xml:space="preserve">v7.0 (revisione di lingua) ·</w:t>
      </w:r>
      <w:r>
        <w:t xml:space="preserve"> </w:t>
      </w:r>
      <w:r>
        <w:rPr>
          <w:b/>
          <w:bCs/>
        </w:rPr>
        <w:t xml:space="preserve">Data:</w:t>
      </w:r>
      <w:r>
        <w:t xml:space="preserve"> </w:t>
      </w:r>
      <w:r>
        <w:t xml:space="preserve">26 agosto 2026 ·</w:t>
      </w:r>
      <w:r>
        <w:t xml:space="preserve"> </w:t>
      </w:r>
      <w:r>
        <w:rPr>
          <w:b/>
          <w:bCs/>
        </w:rPr>
        <w:t xml:space="preserve">Destinatario:</w:t>
      </w:r>
      <w:r>
        <w:t xml:space="preserve"> </w:t>
      </w:r>
      <w:r>
        <w:t xml:space="preserve">l’osteopata del team Mobilitas.</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c’è tutto quello che devi sapere sulla differenza di lunghezza fra le gambe; il come si fa sta nella Procedura.</w:t>
      </w:r>
    </w:p>
    <w:p>
      <w:pPr>
        <w:pStyle w:val="FirstParagraph"/>
      </w:pPr>
      <w:r>
        <w:rPr>
          <w:b/>
          <w:bCs/>
        </w:rPr>
        <w:t xml:space="preserve">A chi parla.</w:t>
      </w:r>
      <w:r>
        <w:t xml:space="preserve"> </w:t>
      </w:r>
      <w:r>
        <w:t xml:space="preserve">All’osteopata del team. Qui non si spiega cos’è il gluteo medio. Si spiega cosa fa il gluteo medio in questo paziente.</w:t>
      </w:r>
    </w:p>
    <w:p>
      <w:pPr>
        <w:pStyle w:val="BodyText"/>
      </w:pPr>
      <w:r>
        <w:rPr>
          <w:b/>
          <w:bCs/>
        </w:rPr>
        <w:t xml:space="preserve">Cosa c’è qui e cosa no.</w:t>
      </w:r>
      <w:r>
        <w:t xml:space="preserve"> </w:t>
      </w:r>
      <w:r>
        <w:t xml:space="preserve">Questa Bibbia dice cinque cose: che cos’è la dismetria, quali meccanismi la tengono in piedi, come si riconosce il sottotipo, perché le mani possono agire e quanto è solido tutto questo. Tecniche, ordine, minuti e piano di sedute non stanno qui. Stanno nella</w:t>
      </w:r>
      <w:r>
        <w:t xml:space="preserve"> </w:t>
      </w:r>
      <w:r>
        <w:rPr>
          <w:b/>
          <w:bCs/>
        </w:rPr>
        <w:t xml:space="preserve">Procedura della Dismetria</w:t>
      </w:r>
      <w:r>
        <w:t xml:space="preserve">, che è un documento separato.</w:t>
      </w:r>
    </w:p>
    <w:p>
      <w:pPr>
        <w:pStyle w:val="BodyText"/>
      </w:pPr>
      <w:r>
        <w:t xml:space="preserve">Una sola eccezione. Il parametro usato in</w:t>
      </w:r>
      <w:r>
        <w:t xml:space="preserve"> </w:t>
      </w:r>
      <w:r>
        <w:rPr>
          <w:b/>
          <w:bCs/>
        </w:rPr>
        <w:t xml:space="preserve">uno studio</w:t>
      </w:r>
      <w:r>
        <w:t xml:space="preserve"> </w:t>
      </w:r>
      <w:r>
        <w:t xml:space="preserve">è un dato di evidenza, e quindi sta qui:</w:t>
      </w:r>
      <w:r>
        <w:t xml:space="preserve"> </w:t>
      </w:r>
      <w:r>
        <w:rPr>
          <w:i/>
          <w:iCs/>
        </w:rPr>
        <w:t xml:space="preserve">“nella prova randomizzata i lavoratori hanno portato la soletta otto ore al giorno”</w:t>
      </w:r>
      <w:r>
        <w:t xml:space="preserve">. La prescrizione al</w:t>
      </w:r>
      <w:r>
        <w:t xml:space="preserve"> </w:t>
      </w:r>
      <w:r>
        <w:rPr>
          <w:b/>
          <w:bCs/>
        </w:rPr>
        <w:t xml:space="preserve">nostro</w:t>
      </w:r>
      <w:r>
        <w:t xml:space="preserve"> </w:t>
      </w:r>
      <w:r>
        <w:t xml:space="preserve">paziente sta invece nella Procedura. Il criterio che separa le due cose è semplice: il tempo verbale e il destinatario.</w:t>
      </w:r>
    </w:p>
    <w:p>
      <w:pPr>
        <w:pStyle w:val="BodyText"/>
      </w:pPr>
      <w:r>
        <w:rPr>
          <w:b/>
          <w:bCs/>
        </w:rPr>
        <w:t xml:space="preserve">Come si leggono le etichette di solidità.</w:t>
      </w:r>
      <w:r>
        <w:t xml:space="preserve"> </w:t>
      </w:r>
      <w:r>
        <w:t xml:space="preserve">La prosa afferma. L’onestà la porta un box separato, che contiene una di quattro etichette e nient’altro.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Ogni box ripete la sua glossa, ogni volta. Costa quattro parole e ti evita di tornare indietro a pagina dodici.</w:t>
      </w:r>
    </w:p>
    <w:p>
      <w:pPr>
        <w:pStyle w:val="BodyText"/>
      </w:pPr>
      <w:r>
        <w:rPr>
          <w:b/>
          <w:bCs/>
        </w:rPr>
        <w:t xml:space="preserve">Quando qualcuno ha guardato e non ha trovato niente, non nasce una quinta etichetta.</w:t>
      </w:r>
      <w:r>
        <w:t xml:space="preserve"> </w:t>
      </w:r>
      <w:r>
        <w:t xml:space="preserve">L’affermazione resta IPOTESI. La prova contraria si dichiara nella frase, fuori dall’etichetta.</w:t>
      </w:r>
      <w:r>
        <w:t xml:space="preserve"> </w:t>
      </w:r>
      <w:r>
        <w:rPr>
          <w:i/>
          <w:iCs/>
        </w:rPr>
        <w:t xml:space="preserve">“Nessuno ha guardato”</w:t>
      </w:r>
      <w:r>
        <w:t xml:space="preserve"> </w:t>
      </w:r>
      <w:r>
        <w:t xml:space="preserve">e</w:t>
      </w:r>
      <w:r>
        <w:t xml:space="preserve"> </w:t>
      </w:r>
      <w:r>
        <w:rPr>
          <w:i/>
          <w:iCs/>
        </w:rPr>
        <w:t xml:space="preserve">“hanno guardato e non c’era”</w:t>
      </w:r>
      <w:r>
        <w:t xml:space="preserve"> </w:t>
      </w:r>
      <w:r>
        <w:t xml:space="preserve">non sono la stessa cosa, e qui le trovi scritte entrambe.</w:t>
      </w:r>
    </w:p>
    <w:p>
      <w:pPr>
        <w:pStyle w:val="BodyText"/>
      </w:pPr>
      <w:r>
        <w:rPr>
          <w:b/>
          <w:bCs/>
        </w:rPr>
        <w:t xml:space="preserve">Quando un’affermazione è fatta di pezzi con forza diversa, l’etichetta si spezza.</w:t>
      </w:r>
      <w:r>
        <w:t xml:space="preserve"> </w:t>
      </w:r>
      <w:r>
        <w:t xml:space="preserve">Su questa condizione succede spesso: la geometria è misurata, la conseguenza clinica no.</w:t>
      </w:r>
    </w:p>
    <w:p>
      <w:pPr>
        <w:pStyle w:val="BodyText"/>
      </w:pPr>
      <w:r>
        <w:rPr>
          <w:b/>
          <w:bCs/>
        </w:rPr>
        <w:t xml:space="preserve">Le parole del metodo.</w:t>
      </w:r>
      <w:r>
        <w:t xml:space="preserve"> </w:t>
      </w:r>
      <w:r>
        <w:t xml:space="preserve">Sette parole ricorrono in tutte le Bibbie Mobilitas con una definizione fissa, e stanno per intero nel</w:t>
      </w:r>
      <w:r>
        <w:t xml:space="preserve"> </w:t>
      </w:r>
      <w:r>
        <w:rPr>
          <w:b/>
          <w:bCs/>
        </w:rPr>
        <w:t xml:space="preserve">Glossario</w:t>
      </w:r>
      <w:r>
        <w:t xml:space="preserve">. Quattro di esse reggono qui una regola di condotta, e per questo tornano in un box</w:t>
      </w:r>
      <w:r>
        <w:t xml:space="preserve"> </w:t>
      </w:r>
      <w:r>
        <w:rPr>
          <w:rStyle w:val="VerbatimChar"/>
        </w:rPr>
        <w:t xml:space="preserve">Definizione</w:t>
      </w:r>
      <w:r>
        <w:t xml:space="preserve"> </w:t>
      </w:r>
      <w:r>
        <w:t xml:space="preserve">nel capitolo in cui la reggono:</w:t>
      </w:r>
      <w:r>
        <w:t xml:space="preserve"> </w:t>
      </w:r>
      <w:r>
        <w:rPr>
          <w:b/>
          <w:bCs/>
        </w:rPr>
        <w:t xml:space="preserve">compenso, marker, reperto disfunzionale, sistema dominante</w:t>
      </w:r>
      <w:r>
        <w:t xml:space="preserve">.</w:t>
      </w:r>
    </w:p>
    <w:bookmarkStart w:id="9" w:name="come-si-studia-questa-bibbia"/>
    <w:p>
      <w:pPr>
        <w:pStyle w:val="Heading3"/>
      </w:pPr>
      <w:r>
        <w:t xml:space="preserve">Come si studia questa Bibbia</w:t>
      </w:r>
    </w:p>
    <w:p>
      <w:pPr>
        <w:pStyle w:val="FirstParagraph"/>
      </w:pPr>
      <w:r>
        <w:t xml:space="preserve">Cinque passi, in quest’ordine.</w:t>
      </w:r>
    </w:p>
    <w:p>
      <w:pPr>
        <w:pStyle w:val="Compact"/>
        <w:numPr>
          <w:ilvl w:val="0"/>
          <w:numId w:val="1001"/>
        </w:numPr>
      </w:pPr>
      <w:r>
        <w:rPr>
          <w:b/>
          <w:bCs/>
        </w:rPr>
        <w:t xml:space="preserve">Prima lettura, tutta di fila, senza appunti.</w:t>
      </w:r>
    </w:p>
    <w:p>
      <w:pPr>
        <w:pStyle w:val="Compact"/>
        <w:numPr>
          <w:ilvl w:val="0"/>
          <w:numId w:val="1001"/>
        </w:numPr>
      </w:pPr>
      <w:r>
        <w:rPr>
          <w:b/>
          <w:bCs/>
        </w:rPr>
        <w:t xml:space="preserve">Seconda passata con un paziente vero in testa.</w:t>
      </w:r>
      <w:r>
        <w:t xml:space="preserve"> </w:t>
      </w:r>
      <w:r>
        <w:t xml:space="preserve">Su «Cosa si rompe» e «Come ragiono davanti a questo paziente». Su ogni meccanismo chiediti:</w:t>
      </w:r>
      <w:r>
        <w:t xml:space="preserve"> </w:t>
      </w:r>
      <w:r>
        <w:rPr>
          <w:i/>
          <w:iCs/>
        </w:rPr>
        <w:t xml:space="preserve">era lui?</w:t>
      </w:r>
    </w:p>
    <w:p>
      <w:pPr>
        <w:pStyle w:val="Compact"/>
        <w:numPr>
          <w:ilvl w:val="0"/>
          <w:numId w:val="1001"/>
        </w:numPr>
      </w:pPr>
      <w:r>
        <w:rPr>
          <w:b/>
          <w:bCs/>
        </w:rPr>
        <w:t xml:space="preserve">La prova che conta: chiudi il documento e parla.</w:t>
      </w:r>
      <w:r>
        <w:t xml:space="preserve"> </w:t>
      </w:r>
      <w:r>
        <w:t xml:space="preserve">Di’ ad alta voce i cinque meccanismi e da cosa riconosci ciascuno. Quello che non sai dire non l’hai imparato.</w:t>
      </w:r>
      <w:r>
        <w:t xml:space="preserve"> </w:t>
      </w:r>
      <w:r>
        <w:rPr>
          <w:b/>
          <w:bCs/>
        </w:rPr>
        <w:t xml:space="preserve">Sei autonomo quando ne reggi altre tre, tutte già in queste pagine.</w:t>
      </w:r>
      <w:r>
        <w:t xml:space="preserve"> </w:t>
      </w:r>
      <w:r>
        <w:t xml:space="preserve">La prima: distinguere l’anatomica piccola dall’apparente senza lastra. La seconda: riconoscere il paziente su cui puoi poco e dirgli perché (vedi «Non è una condizione sola» e «Dove finisce il nostro campo»). La terza: dire a un medico che cosa possiamo e che cosa non possiamo affermare (vedi «Cosa dice la scienza»). Finché una delle quattro non esce, non hai finito di studiare.</w:t>
      </w:r>
    </w:p>
    <w:p>
      <w:pPr>
        <w:pStyle w:val="Compact"/>
        <w:numPr>
          <w:ilvl w:val="0"/>
          <w:numId w:val="1001"/>
        </w:numPr>
      </w:pPr>
      <w:r>
        <w:rPr>
          <w:b/>
          <w:bCs/>
        </w:rPr>
        <w:t xml:space="preserve">Prima del primo paziente: la Mappa concettuale, due minuti.</w:t>
      </w:r>
      <w:r>
        <w:t xml:space="preserve"> </w:t>
      </w:r>
      <w:r>
        <w:t xml:space="preserve">Non la Bibbia.</w:t>
      </w:r>
      <w:r>
        <w:t xml:space="preserve"> </w:t>
      </w:r>
      <w:r>
        <w:rPr>
          <w:b/>
          <w:bCs/>
        </w:rPr>
        <w:t xml:space="preserve">Dopo i primi tre pazienti rileggi «Dove finisce il nostro campo» e «Cosa dice la scienza».</w:t>
      </w:r>
      <w:r>
        <w:t xml:space="preserve"> </w:t>
      </w:r>
      <w:r>
        <w:t xml:space="preserve">Dicono una cosa diversa quando hai avuto qualcuno davanti.</w:t>
      </w:r>
    </w:p>
    <w:p>
      <w:pPr>
        <w:pStyle w:val="Compact"/>
        <w:numPr>
          <w:ilvl w:val="0"/>
          <w:numId w:val="1001"/>
        </w:numPr>
      </w:pPr>
      <w:r>
        <w:rPr>
          <w:b/>
          <w:bCs/>
        </w:rPr>
        <w:t xml:space="preserve">A sei mesi: solo la Mappa.</w:t>
      </w:r>
      <w:r>
        <w:t xml:space="preserve"> </w:t>
      </w:r>
      <w:r>
        <w:t xml:space="preserve">Il blocco della Mappa che non ti riaccende il capitolo è il capitolo da rileggere.</w:t>
      </w:r>
    </w:p>
    <w:p>
      <w:pPr>
        <w:pStyle w:val="FirstParagraph"/>
      </w:pPr>
      <w:r>
        <w:rPr>
          <w:b/>
          <w:bCs/>
        </w:rPr>
        <w:t xml:space="preserve">Le tre cose da ricordare, più una</w:t>
      </w:r>
    </w:p>
    <w:p>
      <w:pPr>
        <w:pStyle w:val="Compact"/>
        <w:numPr>
          <w:ilvl w:val="0"/>
          <w:numId w:val="1002"/>
        </w:numPr>
      </w:pPr>
      <w:r>
        <w:t xml:space="preserve">Qui c’è il perché, non il come: sequenze, dosi e minuti stanno nella Procedura.</w:t>
      </w:r>
    </w:p>
    <w:p>
      <w:pPr>
        <w:pStyle w:val="Compact"/>
        <w:numPr>
          <w:ilvl w:val="0"/>
          <w:numId w:val="1002"/>
        </w:numPr>
      </w:pPr>
      <w:r>
        <w:t xml:space="preserve">Ogni affermazione importante porta la sua etichetta di solidità, e la glossa si ripete apposta.</w:t>
      </w:r>
    </w:p>
    <w:p>
      <w:pPr>
        <w:pStyle w:val="Compact"/>
        <w:numPr>
          <w:ilvl w:val="0"/>
          <w:numId w:val="1002"/>
        </w:numPr>
      </w:pPr>
      <w:r>
        <w:t xml:space="preserve">Su questa condizione le etichette sono più basse della media del corpus: non è un difetto del documento, è lo stato del mondo.</w:t>
      </w:r>
    </w:p>
    <w:p>
      <w:pPr>
        <w:pStyle w:val="Compact"/>
        <w:numPr>
          <w:ilvl w:val="0"/>
          <w:numId w:val="1002"/>
        </w:numPr>
      </w:pPr>
      <w:r>
        <w:rPr>
          <w:b/>
          <w:bCs/>
        </w:rPr>
        <w:t xml:space="preserve">Perché ci sei tu.</w:t>
      </w:r>
      <w:r>
        <w:t xml:space="preserve"> </w:t>
      </w:r>
      <w:r>
        <w:t xml:space="preserve">Su PubMed non si trova uno studio controllato che abbia misurato l’effetto del trattamento manuale in persone con una differenza di lunghezza documentata: il cerchio dell’evidenza specifica, su di noi, è vuoto.</w:t>
      </w:r>
      <w:r>
        <w:t xml:space="preserve"> </w:t>
      </w:r>
      <w:r>
        <w:rPr>
          <w:b/>
          <w:bCs/>
        </w:rPr>
        <w:t xml:space="preserve">Per te:</w:t>
      </w:r>
      <w:r>
        <w:t xml:space="preserve"> </w:t>
      </w:r>
      <w:r>
        <w:t xml:space="preserve">tutto quello che leggerai sulle mani poggia su meccanismo e su verifica nel singolo paziente, mai su un risultato pubblicato in questa popolazione. Questo ti autorizza a lavorare dichiarando l’incertezza e misurando un marker scelto prima. Non ti autorizza a dire al paziente che</w:t>
      </w:r>
      <w:r>
        <w:t xml:space="preserve"> </w:t>
      </w:r>
      <w:r>
        <w:t xml:space="preserve">“gli studi lo confermano”</w:t>
      </w:r>
      <w:r>
        <w:t xml:space="preserve">.</w:t>
      </w:r>
    </w:p>
    <w:p>
      <w:pPr>
        <w:pStyle w:val="FirstParagraph"/>
      </w:pPr>
      <w:r>
        <w:t xml:space="preserve">Buon nutrimento!</w:t>
      </w:r>
    </w:p>
    <w:p>
      <w:r>
        <w:pict>
          <v:rect style="width:0;height:1.5pt" o:hralign="center" o:hrstd="t" o:hr="t"/>
        </w:pict>
      </w:r>
    </w:p>
    <w:bookmarkEnd w:id="9"/>
    <w:bookmarkEnd w:id="10"/>
    <w:bookmarkStart w:id="16" w:name="capitolo-1-chi-ti-trova-davanti"/>
    <w:p>
      <w:pPr>
        <w:pStyle w:val="Heading2"/>
      </w:pPr>
      <w:r>
        <w:t xml:space="preserve">Capitolo 1 — Chi ti trova davanti</w:t>
      </w:r>
    </w:p>
    <w:p>
      <w:pPr>
        <w:pStyle w:val="BlockText"/>
      </w:pPr>
      <w:r>
        <w:rPr>
          <w:b/>
          <w:bCs/>
        </w:rPr>
        <w:t xml:space="preserve">In una riga:</w:t>
      </w:r>
      <w:r>
        <w:t xml:space="preserve"> </w:t>
      </w:r>
      <w:r>
        <w:t xml:space="preserve">arriva con una frase che gli hanno detto anni fa e che nessuno gli ha mai spiegato, e con un dolore che sceglie sempre lo stesso lato.</w:t>
      </w:r>
    </w:p>
    <w:bookmarkStart w:id="11" w:name="come-lo-racconta-lui"/>
    <w:p>
      <w:pPr>
        <w:pStyle w:val="Heading3"/>
      </w:pPr>
      <w:r>
        <w:t xml:space="preserve">Come lo racconta lui</w:t>
      </w:r>
    </w:p>
    <w:p>
      <w:pPr>
        <w:pStyle w:val="FirstParagraph"/>
      </w:pPr>
      <w:r>
        <w:rPr>
          <w:i/>
          <w:iCs/>
        </w:rPr>
        <w:t xml:space="preserve">“Mi sento storto.”</w:t>
      </w:r>
      <w:r>
        <w:t xml:space="preserve"> </w:t>
      </w:r>
      <w:r>
        <w:t xml:space="preserve">È la frase con cui inizia, e non trova di meglio. Poi arrivano i dettagli, e i dettagli sono precisi.</w:t>
      </w:r>
    </w:p>
    <w:p>
      <w:pPr>
        <w:pStyle w:val="BodyText"/>
      </w:pPr>
      <w:r>
        <w:rPr>
          <w:i/>
          <w:iCs/>
        </w:rPr>
        <w:t xml:space="preserve">“Una scarpa si consuma prima dell’altra. Il fianco destro è più alto, me lo dice mia moglie quando mi guarda da dietro, e i pantaloni cadono storti.”</w:t>
      </w:r>
    </w:p>
    <w:p>
      <w:pPr>
        <w:pStyle w:val="BodyText"/>
      </w:pPr>
      <w:r>
        <w:rPr>
          <w:i/>
          <w:iCs/>
        </w:rPr>
        <w:t xml:space="preserve">“Fa male sempre dallo stesso lato. Da anni.”</w:t>
      </w:r>
      <w:r>
        <w:t xml:space="preserve"> </w:t>
      </w:r>
      <w:r>
        <w:t xml:space="preserve">Il dolore sta in lombare basso, oppure in un punto profondo appena sopra il gluteo. Duole in piedi e nel passaggio da seduto. A volte scende lungo la gamba, dallo stesso lato.</w:t>
      </w:r>
    </w:p>
    <w:p>
      <w:pPr>
        <w:pStyle w:val="BodyText"/>
      </w:pPr>
      <w:r>
        <w:rPr>
          <w:i/>
          <w:iCs/>
        </w:rPr>
        <w:t xml:space="preserve">“Mi appoggio sempre sulla stessa gamba, e se cammino tanto la sera quel lato urla.”</w:t>
      </w:r>
      <w:r>
        <w:t xml:space="preserve"> </w:t>
      </w:r>
      <w:r>
        <w:t xml:space="preserve">Lo fa in fila alla posta, in cucina, davanti al bancone. Lo fa senza deciderlo. Una gita o una giornata in piedi la paga sempre quel lato.</w:t>
      </w:r>
    </w:p>
    <w:p>
      <w:pPr>
        <w:pStyle w:val="BodyText"/>
      </w:pPr>
      <w:r>
        <w:t xml:space="preserve">E poi c’è la frase dell’inizio, quella che ha cambiato il modo in cui si guarda:</w:t>
      </w:r>
      <w:r>
        <w:t xml:space="preserve"> </w:t>
      </w:r>
      <w:r>
        <w:rPr>
          <w:i/>
          <w:iCs/>
        </w:rPr>
        <w:t xml:space="preserve">“Hai una gamba più corta.”</w:t>
      </w:r>
      <w:r>
        <w:t xml:space="preserve"> </w:t>
      </w:r>
      <w:r>
        <w:t xml:space="preserve">Gliel’hanno detta una volta, di sfuggita, dieci o vent’anni fa. Da allora è rimasta lì.</w:t>
      </w:r>
    </w:p>
    <w:bookmarkEnd w:id="11"/>
    <w:bookmarkStart w:id="12" w:name="Xc3374c6daef006f5b66c80d643411a0d84a5ef3"/>
    <w:p>
      <w:pPr>
        <w:pStyle w:val="Heading3"/>
      </w:pPr>
      <w:r>
        <w:t xml:space="preserve">E poi c’è chi non assomiglia a questo racconto</w:t>
      </w:r>
    </w:p>
    <w:p>
      <w:pPr>
        <w:pStyle w:val="FirstParagraph"/>
      </w:pPr>
      <w:r>
        <w:t xml:space="preserve">Il ritratto qui sopra è un adulto autonomo fra i trenta e i sessant’anni. È il paziente più facile, e non è la maggioranza. Tre figure ricorrono, e ciascuna cambia una riga.</w:t>
      </w:r>
    </w:p>
    <w:p>
      <w:pPr>
        <w:pStyle w:val="Compact"/>
        <w:numPr>
          <w:ilvl w:val="0"/>
          <w:numId w:val="1003"/>
        </w:numPr>
      </w:pPr>
      <w:r>
        <w:rPr>
          <w:b/>
          <w:bCs/>
        </w:rPr>
        <w:t xml:space="preserve">L’over-75 con artrosi di ginocchio.</w:t>
      </w:r>
      <w:r>
        <w:t xml:space="preserve"> </w:t>
      </w:r>
      <w:r>
        <w:t xml:space="preserve">È la popolazione da cui viene metà della scienza di questa Bibbia. In lui il pattern «apparente da deficit di estensione» è la regola. La tolleranza ossea al carico si chiede come si chiede un farmaco, e l’estensione non si forza a fine corsa.</w:t>
      </w:r>
    </w:p>
    <w:p>
      <w:pPr>
        <w:pStyle w:val="Compact"/>
        <w:numPr>
          <w:ilvl w:val="0"/>
          <w:numId w:val="1003"/>
        </w:numPr>
      </w:pPr>
      <w:r>
        <w:rPr>
          <w:b/>
          <w:bCs/>
        </w:rPr>
        <w:t xml:space="preserve">La donna in gravidanza o nei mesi dopo il parto.</w:t>
      </w:r>
      <w:r>
        <w:t xml:space="preserve"> </w:t>
      </w:r>
      <w:r>
        <w:t xml:space="preserve">Ha un dolore pelvico posteriore con un’altra origine e un altro decorso. La batteria dei test di provocazione non si somministra.</w:t>
      </w:r>
    </w:p>
    <w:p>
      <w:pPr>
        <w:pStyle w:val="Compact"/>
        <w:numPr>
          <w:ilvl w:val="0"/>
          <w:numId w:val="1003"/>
        </w:numPr>
      </w:pPr>
      <w:r>
        <w:rPr>
          <w:b/>
          <w:bCs/>
        </w:rPr>
        <w:t xml:space="preserve">Il portatore di protesi d’anca da anni, che si sente una gamba lunga.</w:t>
      </w:r>
      <w:r>
        <w:t xml:space="preserve"> </w:t>
      </w:r>
      <w:r>
        <w:t xml:space="preserve">Non è il post-chirurgico recente e non rientra nei cancelli. La condotta su quell’anca sta in «Non è una condizione sola».</w:t>
      </w:r>
    </w:p>
    <w:bookmarkEnd w:id="12"/>
    <w:bookmarkStart w:id="13" w:name="cosa-ha-già-fatto"/>
    <w:p>
      <w:pPr>
        <w:pStyle w:val="Heading3"/>
      </w:pPr>
      <w:r>
        <w:t xml:space="preserve">Cosa ha già fatto</w:t>
      </w:r>
    </w:p>
    <w:p>
      <w:pPr>
        <w:pStyle w:val="FirstParagraph"/>
      </w:pPr>
      <w:r>
        <w:t xml:space="preserve">Ha preso antinfiammatori, miorilassanti e cerotti medicati. Ha fatto massaggi sul lato che fa male, che sciolgono per due giorni. Ha fatto palestra, core, stretching e qualche ciclo di fisioterapia sulla zona dolente. Fra gli esami porta lastre di schiena, ginocchio e anca, più una risonanza lombosacrale se il dolore è sceso alla gamba.</w:t>
      </w:r>
    </w:p>
    <w:p>
      <w:pPr>
        <w:pStyle w:val="BodyText"/>
      </w:pPr>
      <w:r>
        <w:t xml:space="preserve">Molti hanno un rialzo nella scarpa.</w:t>
      </w:r>
      <w:r>
        <w:t xml:space="preserve"> </w:t>
      </w:r>
      <w:r>
        <w:rPr>
          <w:b/>
          <w:bCs/>
        </w:rPr>
        <w:t xml:space="preserve">Quasi nessuno sa in base a quale misura gliel’hanno dato.</w:t>
      </w:r>
    </w:p>
    <w:bookmarkEnd w:id="13"/>
    <w:bookmarkStart w:id="14" w:name="cosa-nessuno-ha-guardato"/>
    <w:p>
      <w:pPr>
        <w:pStyle w:val="Heading3"/>
      </w:pPr>
      <w:r>
        <w:t xml:space="preserve">Cosa nessuno ha guardato</w:t>
      </w:r>
    </w:p>
    <w:p>
      <w:pPr>
        <w:pStyle w:val="FirstParagraph"/>
      </w:pPr>
      <w:r>
        <w:rPr>
          <w:b/>
          <w:bCs/>
        </w:rPr>
        <w:t xml:space="preserve">La prima cosa: nessuno ha misurato le gambe con l’esame che le misura davvero.</w:t>
      </w:r>
      <w:r>
        <w:t xml:space="preserve"> </w:t>
      </w:r>
      <w:r>
        <w:t xml:space="preserve">L’unico modo valido per stabilire se esiste una differenza ossea, e di quanti millimetri, è una radiografia degli arti inferiori in piedi, sotto carico: la teleradiografia. La lastra della sola colonna non dà quel dato. Il metro a nastro sul lettino nemmeno.</w:t>
      </w:r>
    </w:p>
    <w:p>
      <w:pPr>
        <w:pStyle w:val="BodyText"/>
      </w:pPr>
      <w:r>
        <w:rPr>
          <w:b/>
          <w:bCs/>
        </w:rPr>
        <w:t xml:space="preserve">La seconda cosa: nessuno ha collegato i pezzi.</w:t>
      </w:r>
      <w:r>
        <w:t xml:space="preserve"> </w:t>
      </w:r>
      <w:r>
        <w:t xml:space="preserve">La schiena da un lato, il ginocchio dello stesso lato, l’anca che si muove meno di quella opposta. Sono diventati tre problemi separati, visti da tre persone diverse in tre momenti diversi. Non è colpa di nessuno: il percorso standard è costruito per distretti. Il risultato è che il paziente ha una parola —</w:t>
      </w:r>
      <w:r>
        <w:t xml:space="preserve"> </w:t>
      </w:r>
      <w:r>
        <w:rPr>
          <w:i/>
          <w:iCs/>
        </w:rPr>
        <w:t xml:space="preserve">dismetria</w:t>
      </w:r>
      <w:r>
        <w:t xml:space="preserve"> </w:t>
      </w:r>
      <w:r>
        <w:t xml:space="preserve">— e non ha un numero, una spiegazione o un piano.</w:t>
      </w:r>
    </w:p>
    <w:bookmarkEnd w:id="14"/>
    <w:bookmarkStart w:id="15" w:name="le-tre-domande-che-ti-farà"/>
    <w:p>
      <w:pPr>
        <w:pStyle w:val="Heading3"/>
      </w:pPr>
      <w:r>
        <w:t xml:space="preserve">Le tre domande che ti farà</w:t>
      </w:r>
    </w:p>
    <w:p>
      <w:pPr>
        <w:pStyle w:val="FirstParagraph"/>
      </w:pPr>
      <w:r>
        <w:rPr>
          <w:i/>
          <w:iCs/>
        </w:rPr>
        <w:t xml:space="preserve">“Ho davvero una gamba più corta?”</w:t>
      </w:r>
      <w:r>
        <w:t xml:space="preserve"> </w:t>
      </w:r>
      <w:r>
        <w:t xml:space="preserve">La risposta sta in «Che cos’è davvero», e in molti casi è no.</w:t>
      </w:r>
      <w:r>
        <w:t xml:space="preserve"> </w:t>
      </w:r>
      <w:r>
        <w:rPr>
          <w:i/>
          <w:iCs/>
        </w:rPr>
        <w:t xml:space="preserve">“Il rialzo mi serve o no?”</w:t>
      </w:r>
      <w:r>
        <w:t xml:space="preserve"> </w:t>
      </w:r>
      <w:r>
        <w:t xml:space="preserve">La risposta sta in «Cosa dice la scienza», e comunque il rialzo non lo dai tu.</w:t>
      </w:r>
      <w:r>
        <w:t xml:space="preserve"> </w:t>
      </w:r>
      <w:r>
        <w:rPr>
          <w:i/>
          <w:iCs/>
        </w:rPr>
        <w:t xml:space="preserve">“Mi rimettete il bacino a posto in una seduta?”</w:t>
      </w:r>
      <w:r>
        <w:t xml:space="preserve"> </w:t>
      </w:r>
      <w:r>
        <w:t xml:space="preserve">La risposta sta in «Cosa dire al paziente», ed è no.</w:t>
      </w:r>
    </w:p>
    <w:p>
      <w:pPr>
        <w:pStyle w:val="BodyText"/>
      </w:pPr>
      <w:r>
        <w:rPr>
          <w:b/>
          <w:bCs/>
        </w:rPr>
        <w:t xml:space="preserve">Le tre cose da ricordare, più una</w:t>
      </w:r>
    </w:p>
    <w:p>
      <w:pPr>
        <w:pStyle w:val="Compact"/>
        <w:numPr>
          <w:ilvl w:val="0"/>
          <w:numId w:val="1004"/>
        </w:numPr>
      </w:pPr>
      <w:r>
        <w:t xml:space="preserve">Il sintomo che lo porta da te non è l’asimmetria: è il dolore che sceglie sempre lo stesso lato e peggiora con i minuti in piedi.</w:t>
      </w:r>
    </w:p>
    <w:p>
      <w:pPr>
        <w:pStyle w:val="Compact"/>
        <w:numPr>
          <w:ilvl w:val="0"/>
          <w:numId w:val="1004"/>
        </w:numPr>
      </w:pPr>
      <w:r>
        <w:t xml:space="preserve">Chiedi sempre quale misura ha prodotto il rialzo che porta nella scarpa. Nella metà dei casi non esiste.</w:t>
      </w:r>
    </w:p>
    <w:p>
      <w:pPr>
        <w:pStyle w:val="Compact"/>
        <w:numPr>
          <w:ilvl w:val="0"/>
          <w:numId w:val="1004"/>
        </w:numPr>
      </w:pPr>
      <w:r>
        <w:t xml:space="preserve">L’anziano, la donna dopo il parto e il protesizzato di anni fa arrivano con lo stesso sintomo e una condotta diversa.</w:t>
      </w:r>
    </w:p>
    <w:p>
      <w:pPr>
        <w:pStyle w:val="Compact"/>
        <w:numPr>
          <w:ilvl w:val="0"/>
          <w:numId w:val="1004"/>
        </w:numPr>
      </w:pPr>
      <w:r>
        <w:rPr>
          <w:b/>
          <w:bCs/>
        </w:rPr>
        <w:t xml:space="preserve">Perché ci sei tu.</w:t>
      </w:r>
      <w:r>
        <w:t xml:space="preserve"> </w:t>
      </w:r>
      <w:r>
        <w:t xml:space="preserve">Nella revisione sistematica dei rialzi negli adulti, la descrizione di come la dismetria era stata corretta è risultata spesso inadeguata. Gli autori dichiarano di non poter stabilire nemmeno</w:t>
      </w:r>
      <w:r>
        <w:t xml:space="preserve"> </w:t>
      </w:r>
      <w:r>
        <w:rPr>
          <w:b/>
          <w:bCs/>
        </w:rPr>
        <w:t xml:space="preserve">quale</w:t>
      </w:r>
      <w:r>
        <w:t xml:space="preserve"> </w:t>
      </w:r>
      <w:r>
        <w:t xml:space="preserve">dismetria vada corretta (Campbell, 2018, PMID 29229292).</w:t>
      </w:r>
      <w:r>
        <w:t xml:space="preserve"> </w:t>
      </w:r>
      <w:r>
        <w:rPr>
          <w:b/>
          <w:bCs/>
        </w:rPr>
        <w:t xml:space="preserve">Per te:</w:t>
      </w:r>
      <w:r>
        <w:t xml:space="preserve"> </w:t>
      </w:r>
      <w:r>
        <w:t xml:space="preserve">il rialzo che il tuo paziente porta è, statisticamente, un intervento senza soglia dichiarata. Questo ti autorizza a chiedere quale misura l’ha prodotto e a metterla in cartella. Non ti autorizza a toglierlo, a cambiarlo o a consigliargli di non usarlo.</w:t>
      </w:r>
    </w:p>
    <w:p>
      <w:r>
        <w:pict>
          <v:rect style="width:0;height:1.5pt" o:hralign="center" o:hrstd="t" o:hr="t"/>
        </w:pict>
      </w:r>
    </w:p>
    <w:bookmarkEnd w:id="15"/>
    <w:bookmarkEnd w:id="16"/>
    <w:bookmarkStart w:id="22" w:name="capitolo-2-che-cosè-davvero"/>
    <w:p>
      <w:pPr>
        <w:pStyle w:val="Heading2"/>
      </w:pPr>
      <w:r>
        <w:t xml:space="preserve">Capitolo 2 — Che cos’è davvero</w:t>
      </w:r>
    </w:p>
    <w:p>
      <w:pPr>
        <w:pStyle w:val="BlockText"/>
      </w:pPr>
      <w:r>
        <w:rPr>
          <w:b/>
          <w:bCs/>
        </w:rPr>
        <w:t xml:space="preserve">In una riga:</w:t>
      </w:r>
      <w:r>
        <w:t xml:space="preserve"> </w:t>
      </w:r>
      <w:r>
        <w:t xml:space="preserve">la dismetria è un numero di millimetri su una radiografia sotto carico, e nove persone su dieci ce l’hanno.</w:t>
      </w:r>
    </w:p>
    <w:bookmarkStart w:id="17" w:name="la-definizione"/>
    <w:p>
      <w:pPr>
        <w:pStyle w:val="Heading3"/>
      </w:pPr>
      <w:r>
        <w:t xml:space="preserve">La definizione</w:t>
      </w:r>
    </w:p>
    <w:p>
      <w:pPr>
        <w:pStyle w:val="FirstParagraph"/>
      </w:pPr>
      <w:r>
        <w:t xml:space="preserve">La</w:t>
      </w:r>
      <w:r>
        <w:t xml:space="preserve"> </w:t>
      </w:r>
      <w:r>
        <w:rPr>
          <w:b/>
          <w:bCs/>
        </w:rPr>
        <w:t xml:space="preserve">dismetria anatomica</w:t>
      </w:r>
      <w:r>
        <w:t xml:space="preserve"> </w:t>
      </w:r>
      <w:r>
        <w:t xml:space="preserve">è una differenza reale di lunghezza dell’osso: femore più tibia da un lato, contro femore più tibia dall’altro. Si misura solo con l’imaging.</w:t>
      </w:r>
    </w:p>
    <w:p>
      <w:pPr>
        <w:pStyle w:val="BodyText"/>
      </w:pPr>
      <w:r>
        <w:t xml:space="preserve">La</w:t>
      </w:r>
      <w:r>
        <w:t xml:space="preserve"> </w:t>
      </w:r>
      <w:r>
        <w:rPr>
          <w:b/>
          <w:bCs/>
        </w:rPr>
        <w:t xml:space="preserve">dismetria funzionale</w:t>
      </w:r>
      <w:r>
        <w:t xml:space="preserve"> </w:t>
      </w:r>
      <w:r>
        <w:t xml:space="preserve">è una differenza di posizione senza differenza di osso. In letteratura si chiama</w:t>
      </w:r>
      <w:r>
        <w:t xml:space="preserve"> </w:t>
      </w:r>
      <w:r>
        <w:rPr>
          <w:i/>
          <w:iCs/>
        </w:rPr>
        <w:t xml:space="preserve">asimmetria di allineamento a carico scaricato</w:t>
      </w:r>
      <w:r>
        <w:t xml:space="preserve">. Le gambe sono uguali; cambia come sono orientate. Le cause sono la rigidità, la posizione del bacino, un ginocchio che non estende del tutto.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la separazione fra le due categorie. Attenzione a cosa la regge. Le due fonti di Knutson (2005, PMID 16026625 e 16080787) sono</w:t>
      </w:r>
      <w:r>
        <w:t xml:space="preserve"> </w:t>
      </w:r>
      <w:r>
        <w:rPr>
          <w:b/>
          <w:bCs/>
        </w:rPr>
        <w:t xml:space="preserve">revisioni narrative</w:t>
      </w:r>
      <w:r>
        <w:t xml:space="preserve">, non sistematiche, ed è così che questa Bibbia le chiama anche più avanti. Il DIMOSTRATO poggia sulle</w:t>
      </w:r>
      <w:r>
        <w:t xml:space="preserve"> </w:t>
      </w:r>
      <w:r>
        <w:rPr>
          <w:b/>
          <w:bCs/>
        </w:rPr>
        <w:t xml:space="preserve">serie radiografiche accurate</w:t>
      </w:r>
      <w:r>
        <w:t xml:space="preserve"> </w:t>
      </w:r>
      <w:r>
        <w:t xml:space="preserve">che quelle revisioni raccolgono, e sulla revisione sistematica dei metodi di misura (Alfuth, 2021, PMID 34928991). Non poggia sul loro disegno.</w:t>
      </w:r>
    </w:p>
    <w:bookmarkEnd w:id="17"/>
    <w:bookmarkStart w:id="18" w:name="quanto-è-diffusa"/>
    <w:p>
      <w:pPr>
        <w:pStyle w:val="Heading3"/>
      </w:pPr>
      <w:r>
        <w:t xml:space="preserve">Quanto è diffusa</w:t>
      </w:r>
    </w:p>
    <w:p>
      <w:pPr>
        <w:pStyle w:val="FirstParagraph"/>
      </w:pPr>
      <w:r>
        <w:t xml:space="preserve">Nove persone su dieci hanno una differenza di lunghezza fra le gambe. La prevalenza della dismetria anatomica è del</w:t>
      </w:r>
      <w:r>
        <w:t xml:space="preserve"> </w:t>
      </w:r>
      <w:r>
        <w:rPr>
          <w:b/>
          <w:bCs/>
        </w:rPr>
        <w:t xml:space="preserve">90%</w:t>
      </w:r>
      <w:r>
        <w:t xml:space="preserve">, la media è</w:t>
      </w:r>
      <w:r>
        <w:t xml:space="preserve"> </w:t>
      </w:r>
      <w:r>
        <w:rPr>
          <w:b/>
          <w:bCs/>
        </w:rPr>
        <w:t xml:space="preserve">5,2 millimetri</w:t>
      </w:r>
      <w:r>
        <w:t xml:space="preserve"> </w:t>
      </w:r>
      <w:r>
        <w:t xml:space="preserve">e la deviazione standard è 4,1: cioè due terzi delle persone stanno fra 1 e 9 millimetri. Gli stessi autori concludono che la differenza non appare clinicamente rilevante finché non arriva intorno ai</w:t>
      </w:r>
      <w:r>
        <w:t xml:space="preserve"> </w:t>
      </w:r>
      <w:r>
        <w:rPr>
          <w:b/>
          <w:bCs/>
        </w:rPr>
        <w:t xml:space="preserve">20 millimetri</w:t>
      </w:r>
      <w:r>
        <w:t xml:space="preserve">.</w:t>
      </w:r>
    </w:p>
    <w:p>
      <w:pPr>
        <w:pStyle w:val="BodyText"/>
      </w:pPr>
      <w:r>
        <w:rPr>
          <w:b/>
          <w:bCs/>
        </w:rPr>
        <w:t xml:space="preserve">Per te:</w:t>
      </w:r>
      <w:r>
        <w:t xml:space="preserve"> </w:t>
      </w:r>
      <w:r>
        <w:t xml:space="preserve">il numero su un referto non è una diagnosi, è un dato di popolazione. Quando ti dicono</w:t>
      </w:r>
      <w:r>
        <w:t xml:space="preserve"> </w:t>
      </w:r>
      <w:r>
        <w:rPr>
          <w:i/>
          <w:iCs/>
        </w:rPr>
        <w:t xml:space="preserve">“ho una gamba più corta di mezzo centimetro”</w:t>
      </w:r>
      <w:r>
        <w:t xml:space="preserve">, la risposta non è né allarme né liquidazione. È</w:t>
      </w:r>
      <w:r>
        <w:t xml:space="preserve"> </w:t>
      </w:r>
      <w:r>
        <w:rPr>
          <w:i/>
          <w:iCs/>
        </w:rPr>
        <w:t xml:space="preserve">“come quasi tutti; vediamo se nel suo caso quel mezzo centimetro ha una conseguenza misurabile”</w:t>
      </w:r>
      <w:r>
        <w:t xml:space="preserve">. Sopra i 20 millimetri il quadro cambia natura: lì la differenza è quasi sempre secondaria — frattura, protesi, allungamento, malattia della crescita — e il percorso è ortopedico prima che nostro. (Knutson,</w:t>
      </w:r>
      <w:r>
        <w:t xml:space="preserve"> </w:t>
      </w:r>
      <w:r>
        <w:rPr>
          <w:i/>
          <w:iCs/>
        </w:rPr>
        <w:t xml:space="preserve">Chiropr Osteopat</w:t>
      </w:r>
      <w:r>
        <w:t xml:space="preserve"> </w:t>
      </w:r>
      <w:r>
        <w:t xml:space="preserve">2005 — PMID 16026625)</w:t>
      </w:r>
    </w:p>
    <w:p>
      <w:pPr>
        <w:pStyle w:val="BodyText"/>
      </w:pPr>
      <w:r>
        <w:t xml:space="preserve">Un secondo numero, da tenere separato. L’asimmetria del</w:t>
      </w:r>
      <w:r>
        <w:t xml:space="preserve"> </w:t>
      </w:r>
      <w:r>
        <w:rPr>
          <w:b/>
          <w:bCs/>
        </w:rPr>
        <w:t xml:space="preserve">bacino</w:t>
      </w:r>
      <w:r>
        <w:t xml:space="preserve"> </w:t>
      </w:r>
      <w:r>
        <w:t xml:space="preserve">come struttura ossea supera i 5 millimetri nel</w:t>
      </w:r>
      <w:r>
        <w:t xml:space="preserve"> </w:t>
      </w:r>
      <w:r>
        <w:rPr>
          <w:b/>
          <w:bCs/>
        </w:rPr>
        <w:t xml:space="preserve">5,3%</w:t>
      </w:r>
      <w:r>
        <w:t xml:space="preserve"> </w:t>
      </w:r>
      <w:r>
        <w:t xml:space="preserve">dei casi, e i 10 millimetri nello</w:t>
      </w:r>
      <w:r>
        <w:t xml:space="preserve"> </w:t>
      </w:r>
      <w:r>
        <w:rPr>
          <w:b/>
          <w:bCs/>
        </w:rPr>
        <w:t xml:space="preserve">0,6%</w:t>
      </w:r>
      <w:r>
        <w:t xml:space="preserve">: il dato viene da 323 tomografie eseguite per altri motivi. Il fianco più alto che vedi in piedi non è quasi mai un emibacino più grande. È il dato che ti impedisce di scrivere in cartella</w:t>
      </w:r>
      <w:r>
        <w:t xml:space="preserve"> </w:t>
      </w:r>
      <w:r>
        <w:t xml:space="preserve">“emibacino destro più alto”</w:t>
      </w:r>
      <w:r>
        <w:t xml:space="preserve"> </w:t>
      </w:r>
      <w:r>
        <w:t xml:space="preserve">come reperto strutturale. (Badii,</w:t>
      </w:r>
      <w:r>
        <w:t xml:space="preserve"> </w:t>
      </w:r>
      <w:r>
        <w:rPr>
          <w:i/>
          <w:iCs/>
        </w:rPr>
        <w:t xml:space="preserve">Spine</w:t>
      </w:r>
      <w:r>
        <w:t xml:space="preserve"> </w:t>
      </w:r>
      <w:r>
        <w:t xml:space="preserve">2003 — PMID 12811280)</w:t>
      </w:r>
    </w:p>
    <w:bookmarkEnd w:id="18"/>
    <w:bookmarkStart w:id="19" w:name="come-evolve-se-non-fai-nulla"/>
    <w:p>
      <w:pPr>
        <w:pStyle w:val="Heading3"/>
      </w:pPr>
      <w:r>
        <w:t xml:space="preserve">Come evolve se non fai nulla</w:t>
      </w:r>
    </w:p>
    <w:p>
      <w:pPr>
        <w:pStyle w:val="FirstParagraph"/>
      </w:pPr>
      <w:r>
        <w:rPr>
          <w:b/>
          <w:bCs/>
        </w:rPr>
        <w:t xml:space="preserve">La differenza ossea non cambia.</w:t>
      </w:r>
      <w:r>
        <w:t xml:space="preserve"> </w:t>
      </w:r>
      <w:r>
        <w:t xml:space="preserve">In un adulto è stabile: non aumenta, non si riduce, non</w:t>
      </w:r>
      <w:r>
        <w:t xml:space="preserve"> </w:t>
      </w:r>
      <w:r>
        <w:t xml:space="preserve">“si sistema”</w:t>
      </w:r>
      <w:r>
        <w:t xml:space="preserve">.</w:t>
      </w:r>
      <w:r>
        <w:t xml:space="preserve"> </w:t>
      </w:r>
      <w:r>
        <w:rPr>
          <w:b/>
          <w:bCs/>
        </w:rPr>
        <w:t xml:space="preserve">Ne segue la regola che vale più di tutto il resto del capitolo: se è cambiata, non è questa condizione.</w:t>
      </w:r>
      <w:r>
        <w:t xml:space="preserve"> </w:t>
      </w:r>
      <w:r>
        <w:t xml:space="preserve">Un accorciamento comparso in settimane è una frattura da fragilità, un cedimento o un’infezione protesica, una necrosi della testa femorale o una lesione secondaria, fino a prova contraria. Sta fra le bandiere rosse, non fra i sottotipi.</w:t>
      </w:r>
    </w:p>
    <w:p>
      <w:pPr>
        <w:pStyle w:val="BodyText"/>
      </w:pPr>
      <w:r>
        <w:rPr>
          <w:b/>
          <w:bCs/>
        </w:rPr>
        <w:t xml:space="preserve">Il dolore, invece, scende da solo — e molto meno di quanto si dica.</w:t>
      </w:r>
      <w:r>
        <w:t xml:space="preserve"> </w:t>
      </w:r>
      <w:r>
        <w:t xml:space="preserve">Il paziente di questa Bibbia sta nelle coorti con dolore lombare</w:t>
      </w:r>
      <w:r>
        <w:t xml:space="preserve"> </w:t>
      </w:r>
      <w:r>
        <w:rPr>
          <w:b/>
          <w:bCs/>
        </w:rPr>
        <w:t xml:space="preserve">persistente</w:t>
      </w:r>
      <w:r>
        <w:t xml:space="preserve">. Lì il punteggio medio passa da</w:t>
      </w:r>
      <w:r>
        <w:t xml:space="preserve"> </w:t>
      </w:r>
      <w:r>
        <w:rPr>
          <w:b/>
          <w:bCs/>
        </w:rPr>
        <w:t xml:space="preserve">56 su 100 al basale a 48 a sei settimane, 43 a sei mesi e 40 a un anno</w:t>
      </w:r>
      <w:r>
        <w:t xml:space="preserve">. Sono circa</w:t>
      </w:r>
      <w:r>
        <w:t xml:space="preserve"> </w:t>
      </w:r>
      <w:r>
        <w:rPr>
          <w:b/>
          <w:bCs/>
        </w:rPr>
        <w:t xml:space="preserve">otto punti</w:t>
      </w:r>
      <w:r>
        <w:t xml:space="preserve"> </w:t>
      </w:r>
      <w:r>
        <w:t xml:space="preserve">nelle prime sei settimane, e la conclusione letterale degli autori è</w:t>
      </w:r>
      <w:r>
        <w:t xml:space="preserve"> </w:t>
      </w:r>
      <w:r>
        <w:rPr>
          <w:i/>
          <w:iCs/>
        </w:rPr>
        <w:t xml:space="preserve">«miglioramenti minimi nel tempo»</w:t>
      </w:r>
      <w:r>
        <w:t xml:space="preserve">. Il calo grande delle prime sei settimane —</w:t>
      </w:r>
      <w:r>
        <w:t xml:space="preserve"> </w:t>
      </w:r>
      <w:r>
        <w:rPr>
          <w:b/>
          <w:bCs/>
        </w:rPr>
        <w:t xml:space="preserve">trenta punti</w:t>
      </w:r>
      <w:r>
        <w:t xml:space="preserve"> </w:t>
      </w:r>
      <w:r>
        <w:t xml:space="preserve">— appartiene al dolore</w:t>
      </w:r>
      <w:r>
        <w:t xml:space="preserve"> </w:t>
      </w:r>
      <w:r>
        <w:rPr>
          <w:b/>
          <w:bCs/>
        </w:rPr>
        <w:t xml:space="preserve">acuto</w:t>
      </w:r>
      <w:r>
        <w:t xml:space="preserve">, che non è lui. (Wallwork,</w:t>
      </w:r>
      <w:r>
        <w:t xml:space="preserve"> </w:t>
      </w:r>
      <w:r>
        <w:rPr>
          <w:i/>
          <w:iCs/>
        </w:rPr>
        <w:t xml:space="preserve">CMAJ</w:t>
      </w:r>
      <w:r>
        <w:t xml:space="preserve"> </w:t>
      </w:r>
      <w:r>
        <w:t xml:space="preserve">2024 — PMID 38253366; 95 studi, 47 coorti in meta-analisi, n = 9.224. È l’aggiornamento, degli stessi autori, della meta-analisi del 2012 su cui questa Bibbia poggiava prima — PMID 22586331 — che dava 18 punti.)</w:t>
      </w:r>
    </w:p>
    <w:p>
      <w:pPr>
        <w:pStyle w:val="BodyText"/>
      </w:pPr>
      <w:r>
        <w:rPr>
          <w:b/>
          <w:bCs/>
        </w:rPr>
        <w:t xml:space="preserve">Per te:</w:t>
      </w:r>
      <w:r>
        <w:t xml:space="preserve"> </w:t>
      </w:r>
      <w:r>
        <w:t xml:space="preserve">è il numero da avere in testa ogni volta che rimisuri un marker a tre settimane. Otto punti su 100 sono già in corsa senza di te. È il tappeto mobile dell’aeroporto: una parte della strada la fai comunque, e non è merito del tuo passo. La regola del marker fuori piano ti protegge sul</w:t>
      </w:r>
      <w:r>
        <w:t xml:space="preserve"> </w:t>
      </w:r>
      <w:r>
        <w:rPr>
          <w:b/>
          <w:bCs/>
        </w:rPr>
        <w:t xml:space="preserve">dove</w:t>
      </w:r>
      <w:r>
        <w:t xml:space="preserve">, non sul</w:t>
      </w:r>
      <w:r>
        <w:t xml:space="preserve"> </w:t>
      </w:r>
      <w:r>
        <w:rPr>
          <w:b/>
          <w:bCs/>
        </w:rPr>
        <w:t xml:space="preserve">quando</w:t>
      </w:r>
      <w:r>
        <w:t xml:space="preserve">. Come si calibra l’effetto atteso contro questo decorso sta in «Perché le mani possono cambiare qualcosa».</w:t>
      </w:r>
    </w:p>
    <w:p>
      <w:pPr>
        <w:pStyle w:val="BodyText"/>
      </w:pPr>
      <w:r>
        <w:rPr>
          <w:b/>
          <w:bCs/>
        </w:rPr>
        <w:t xml:space="preserve">Sul lungo periodo esiste un’associazione con l’artrosi, e non è una relazione di causa.</w:t>
      </w:r>
      <w:r>
        <w:t xml:space="preserve"> </w:t>
      </w:r>
      <w:r>
        <w:t xml:space="preserve">Il dato viene da 3.026 persone fra i 50 e i 79 anni. Chi aveva una differenza di</w:t>
      </w:r>
      <w:r>
        <w:t xml:space="preserve"> </w:t>
      </w:r>
      <w:r>
        <w:rPr>
          <w:b/>
          <w:bCs/>
        </w:rPr>
        <w:t xml:space="preserve">almeno un centimetro</w:t>
      </w:r>
      <w:r>
        <w:t xml:space="preserve"> </w:t>
      </w:r>
      <w:r>
        <w:t xml:space="preserve">aveva artrosi radiografica del ginocchio</w:t>
      </w:r>
      <w:r>
        <w:t xml:space="preserve"> </w:t>
      </w:r>
      <w:r>
        <w:rPr>
          <w:b/>
          <w:bCs/>
        </w:rPr>
        <w:t xml:space="preserve">corto</w:t>
      </w:r>
      <w:r>
        <w:t xml:space="preserve"> </w:t>
      </w:r>
      <w:r>
        <w:t xml:space="preserve">nel 53% dei casi contro il 36%. L’artrosi sintomatica era presente nel</w:t>
      </w:r>
      <w:r>
        <w:t xml:space="preserve"> </w:t>
      </w:r>
      <w:r>
        <w:rPr>
          <w:b/>
          <w:bCs/>
        </w:rPr>
        <w:t xml:space="preserve">30% contro il 17%</w:t>
      </w:r>
      <w:r>
        <w:t xml:space="preserve">.</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il decorso spontaneo del dolore lombare persistente, cioè circa otto punti su 100 in sei settimane. Gli autori dichiarano la certezza</w:t>
      </w:r>
      <w:r>
        <w:t xml:space="preserve"> </w:t>
      </w:r>
      <w:r>
        <w:rPr>
          <w:b/>
          <w:bCs/>
        </w:rPr>
        <w:t xml:space="preserve">molto bassa</w:t>
      </w:r>
      <w:r>
        <w:t xml:space="preserve"> </w:t>
      </w:r>
      <w:r>
        <w:t xml:space="preserve">proprio su questa coorte (Wallwork, 2024, PMID 38253366) —</w:t>
      </w:r>
      <w:r>
        <w:t xml:space="preserve"> </w:t>
      </w:r>
      <w:r>
        <w:rPr>
          <w:i/>
          <w:iCs/>
        </w:rPr>
        <w:t xml:space="preserve">misurato su lombalgia aspecifica persistente, non su persone con dismetria documentata: il salto è di popolazione, e la certezza dichiarata dagli autori è molto bassa</w:t>
      </w:r>
      <w:r>
        <w:t xml:space="preserve">.</w:t>
      </w:r>
      <w:r>
        <w:t xml:space="preserve"> </w:t>
      </w:r>
      <w:r>
        <w:rPr>
          <w:b/>
          <w:bCs/>
        </w:rPr>
        <w:t xml:space="preserve">DIMOSTRATO</w:t>
      </w:r>
      <w:r>
        <w:t xml:space="preserve"> </w:t>
      </w:r>
      <w:r>
        <w:rPr>
          <w:i/>
          <w:iCs/>
        </w:rPr>
        <w:t xml:space="preserve">(studi sull’uomo, solidi)</w:t>
      </w:r>
      <w:r>
        <w:t xml:space="preserve"> </w:t>
      </w:r>
      <w:r>
        <w:t xml:space="preserve">l’associazione fra dismetria di almeno un centimetro e artrosi di ginocchio, in</w:t>
      </w:r>
      <w:r>
        <w:t xml:space="preserve"> </w:t>
      </w:r>
      <w:r>
        <w:rPr>
          <w:b/>
          <w:bCs/>
        </w:rPr>
        <w:t xml:space="preserve">una sola</w:t>
      </w:r>
      <w:r>
        <w:t xml:space="preserve"> </w:t>
      </w:r>
      <w:r>
        <w:t xml:space="preserve">coorte prospettica di 3.026 persone (Harvey, 2010, PMID 20194234). Una seconda coorte va nella stessa direzione ma</w:t>
      </w:r>
      <w:r>
        <w:t xml:space="preserve"> </w:t>
      </w:r>
      <w:r>
        <w:rPr>
          <w:b/>
          <w:bCs/>
        </w:rPr>
        <w:t xml:space="preserve">non è una conferma sulla stessa soglia</w:t>
      </w:r>
      <w:r>
        <w:t xml:space="preserve">: definisce la dismetria a</w:t>
      </w:r>
      <w:r>
        <w:t xml:space="preserve"> </w:t>
      </w:r>
      <w:r>
        <w:rPr>
          <w:b/>
          <w:bCs/>
        </w:rPr>
        <w:t xml:space="preserve">≥ 2 centimetri</w:t>
      </w:r>
      <w:r>
        <w:t xml:space="preserve">, il doppio, e raggiunge la significatività su</w:t>
      </w:r>
      <w:r>
        <w:t xml:space="preserve"> </w:t>
      </w:r>
      <w:r>
        <w:rPr>
          <w:b/>
          <w:bCs/>
        </w:rPr>
        <w:t xml:space="preserve">un esito su sei</w:t>
      </w:r>
      <w:r>
        <w:t xml:space="preserve"> </w:t>
      </w:r>
      <w:r>
        <w:t xml:space="preserve">(Golightly, 2010, PMID 20634243).</w:t>
      </w:r>
      <w:r>
        <w:t xml:space="preserve"> </w:t>
      </w:r>
      <w:r>
        <w:rPr>
          <w:b/>
          <w:bCs/>
        </w:rPr>
        <w:t xml:space="preserve">IPOTESI</w:t>
      </w:r>
      <w:r>
        <w:t xml:space="preserve"> </w:t>
      </w:r>
      <w:r>
        <w:rPr>
          <w:i/>
          <w:iCs/>
        </w:rPr>
        <w:t xml:space="preserve">(meccanismo coerente, nessuno studio)</w:t>
      </w:r>
      <w:r>
        <w:t xml:space="preserve"> </w:t>
      </w:r>
      <w:r>
        <w:t xml:space="preserve">che la dismetria</w:t>
      </w:r>
      <w:r>
        <w:t xml:space="preserve"> </w:t>
      </w:r>
      <w:r>
        <w:rPr>
          <w:b/>
          <w:bCs/>
        </w:rPr>
        <w:t xml:space="preserve">causi</w:t>
      </w:r>
      <w:r>
        <w:t xml:space="preserve"> </w:t>
      </w:r>
      <w:r>
        <w:t xml:space="preserve">la degenerazione, e qui con prove contrarie: su 576 scheletri con dismetria media 4,8 millimetri non è emersa nessuna correlazione con la degenerazione di colonna, anca e ginocchio (Liu, 2018, PMID 29705080).</w:t>
      </w:r>
    </w:p>
    <w:bookmarkEnd w:id="19"/>
    <w:bookmarkStart w:id="20" w:name="X61a7c67f01d1f1c8025e23fca8fa1dae96323aa"/>
    <w:p>
      <w:pPr>
        <w:pStyle w:val="Heading3"/>
      </w:pPr>
      <w:r>
        <w:t xml:space="preserve">Cosa dicono le etichette che il paziente porta</w:t>
      </w:r>
    </w:p>
    <w:p>
      <w:pPr>
        <w:pStyle w:val="FirstParagraph"/>
      </w:pPr>
      <w:r>
        <w:rPr>
          <w:b/>
          <w:bCs/>
        </w:rPr>
        <w:t xml:space="preserve">«Dismetria di X millimetri»</w:t>
      </w:r>
      <w:r>
        <w:t xml:space="preserve"> </w:t>
      </w:r>
      <w:r>
        <w:t xml:space="preserve">dice quanti millimetri e con quale esame. Non dice che quei millimetri producano il sintomo, né che vadano corretti.</w:t>
      </w:r>
    </w:p>
    <w:p>
      <w:pPr>
        <w:pStyle w:val="BodyText"/>
      </w:pPr>
      <w:r>
        <w:rPr>
          <w:b/>
          <w:bCs/>
        </w:rPr>
        <w:t xml:space="preserve">«Bacino ruotato» e «iliaco in rotazione»</w:t>
      </w:r>
      <w:r>
        <w:t xml:space="preserve"> </w:t>
      </w:r>
      <w:r>
        <w:t xml:space="preserve">descrivono una posizione stimata con le mani o con l’occhio. Non sono diagnosi e non sono misure.</w:t>
      </w:r>
    </w:p>
    <w:p>
      <w:pPr>
        <w:pStyle w:val="BodyText"/>
      </w:pPr>
      <w:r>
        <w:rPr>
          <w:b/>
          <w:bCs/>
        </w:rPr>
        <w:t xml:space="preserve">«Scoliosi funzionale da dismetria»</w:t>
      </w:r>
      <w:r>
        <w:t xml:space="preserve"> </w:t>
      </w:r>
      <w:r>
        <w:t xml:space="preserve">è un’etichetta radiologica. Se il paziente non ce l’ha, non aggiungerla tu.</w:t>
      </w:r>
    </w:p>
    <w:p>
      <w:pPr>
        <w:pStyle w:val="BodyText"/>
      </w:pPr>
      <w:r>
        <w:rPr>
          <w:b/>
          <w:bCs/>
        </w:rPr>
        <w:t xml:space="preserve">«Baropodometria: appoggio asimmetrico»</w:t>
      </w:r>
      <w:r>
        <w:t xml:space="preserve"> </w:t>
      </w:r>
      <w:r>
        <w:t xml:space="preserve">dice come il paziente distribuiva il peso quel giorno su quella pedana. Non dice perché.</w:t>
      </w:r>
    </w:p>
    <w:p>
      <w:pPr>
        <w:pStyle w:val="BlockText"/>
      </w:pPr>
      <w:r>
        <w:rPr>
          <w:b/>
          <w:bCs/>
        </w:rPr>
        <w:t xml:space="preserve">Attenzione.</w:t>
      </w:r>
      <w:r>
        <w:t xml:space="preserve"> </w:t>
      </w:r>
      <w:r>
        <w:t xml:space="preserve">La diagnosi è atto medico. Qui si spiega come si legge un referto, non come si formula. Dire</w:t>
      </w:r>
      <w:r>
        <w:t xml:space="preserve"> </w:t>
      </w:r>
      <w:r>
        <w:rPr>
          <w:i/>
          <w:iCs/>
        </w:rPr>
        <w:t xml:space="preserve">“lei non ha una dismetria vera, ha solo il bacino ruotato”</w:t>
      </w:r>
      <w:r>
        <w:t xml:space="preserve"> </w:t>
      </w:r>
      <w:r>
        <w:t xml:space="preserve">è un’esclusione diagnostica, e sta fuori dal nostro perimetro.</w:t>
      </w:r>
    </w:p>
    <w:bookmarkEnd w:id="20"/>
    <w:bookmarkStart w:id="21" w:name="cosa-non-è"/>
    <w:p>
      <w:pPr>
        <w:pStyle w:val="Heading3"/>
      </w:pPr>
      <w:r>
        <w:t xml:space="preserve">Cosa non è</w:t>
      </w:r>
    </w:p>
    <w:p>
      <w:pPr>
        <w:pStyle w:val="Compact"/>
        <w:numPr>
          <w:ilvl w:val="0"/>
          <w:numId w:val="1005"/>
        </w:numPr>
      </w:pPr>
      <w:r>
        <w:rPr>
          <w:b/>
          <w:bCs/>
        </w:rPr>
        <w:t xml:space="preserve">Non è la scoliosi</w:t>
      </w:r>
      <w:r>
        <w:t xml:space="preserve">, che è una deformità strutturale con rotazione vertebrale, sopra i 10 gradi Cobb. Vedi la Bibbia della Pseudoscoliosi.</w:t>
      </w:r>
    </w:p>
    <w:p>
      <w:pPr>
        <w:pStyle w:val="Compact"/>
        <w:numPr>
          <w:ilvl w:val="0"/>
          <w:numId w:val="1005"/>
        </w:numPr>
      </w:pPr>
      <w:r>
        <w:rPr>
          <w:b/>
          <w:bCs/>
        </w:rPr>
        <w:t xml:space="preserve">Non è il dolore infiammatorio, e questa è la distinzione che costa di più sbagliare.</w:t>
      </w:r>
      <w:r>
        <w:t xml:space="preserve"> </w:t>
      </w:r>
      <w:r>
        <w:t xml:space="preserve">Il paziente-tipo di questa Bibbia è un adulto giovane con dolore gluteo profondo, sempre dallo stesso lato, da anni. È sovrapponibile alla spondiloartrite assiale, il cui ritardo diagnostico si misura in anni. Una precedente etichetta di</w:t>
      </w:r>
      <w:r>
        <w:t xml:space="preserve"> </w:t>
      </w:r>
      <w:r>
        <w:t xml:space="preserve">“dolore meccanico”</w:t>
      </w:r>
      <w:r>
        <w:t xml:space="preserve"> </w:t>
      </w:r>
      <w:r>
        <w:t xml:space="preserve">è essa stessa un fattore di ritardo. L’ASAS raccomanda l’invio reumatologico in un dolore lombare cronico — almeno tre mesi — esordito</w:t>
      </w:r>
      <w:r>
        <w:t xml:space="preserve"> </w:t>
      </w:r>
      <w:r>
        <w:rPr>
          <w:b/>
          <w:bCs/>
        </w:rPr>
        <w:t xml:space="preserve">prima dei 45 anni</w:t>
      </w:r>
      <w:r>
        <w:t xml:space="preserve">, quando è presente almeno uno di questi elementi. Il primo è il</w:t>
      </w:r>
      <w:r>
        <w:t xml:space="preserve"> </w:t>
      </w:r>
      <w:r>
        <w:rPr>
          <w:b/>
          <w:bCs/>
        </w:rPr>
        <w:t xml:space="preserve">dolore lombare infiammatorio</w:t>
      </w:r>
      <w:r>
        <w:t xml:space="preserve">: rigidità mattutina oltre trenta minuti, risveglio nella seconda metà della notte, miglioramento con il movimento e</w:t>
      </w:r>
      <w:r>
        <w:t xml:space="preserve"> </w:t>
      </w:r>
      <w:r>
        <w:rPr>
          <w:b/>
          <w:bCs/>
        </w:rPr>
        <w:t xml:space="preserve">non</w:t>
      </w:r>
      <w:r>
        <w:t xml:space="preserve"> </w:t>
      </w:r>
      <w:r>
        <w:t xml:space="preserve">con il riposo, dolore gluteo alternante. Sono i caratteri che lo compongono, e contano insieme, non uno alla volta. Il secondo sono le</w:t>
      </w:r>
      <w:r>
        <w:t xml:space="preserve"> </w:t>
      </w:r>
      <w:r>
        <w:rPr>
          <w:b/>
          <w:bCs/>
        </w:rPr>
        <w:t xml:space="preserve">manifestazioni periferiche</w:t>
      </w:r>
      <w:r>
        <w:t xml:space="preserve">: artrite, entesite, dattilite, cioè un tendine d’Achille infiammato o un dito a salsicciotto. Il terzo sono le</w:t>
      </w:r>
      <w:r>
        <w:t xml:space="preserve"> </w:t>
      </w:r>
      <w:r>
        <w:rPr>
          <w:b/>
          <w:bCs/>
        </w:rPr>
        <w:t xml:space="preserve">manifestazioni extra-articolari</w:t>
      </w:r>
      <w:r>
        <w:t xml:space="preserve">: psoriasi, malattia infiammatoria intestinale, uveite. Gli altri elementi sono tre. La familiarità per spondiloartrite. La risposta netta ai FANS. E infine HLA-B27, sacroileite all’imaging o indici di flogosi elevati, se il paziente li ha già (Poddubnyy, 2015, PMID 25990288). Nel dubbio,</w:t>
      </w:r>
      <w:r>
        <w:t xml:space="preserve"> </w:t>
      </w:r>
      <w:r>
        <w:rPr>
          <w:b/>
          <w:bCs/>
        </w:rPr>
        <w:t xml:space="preserve">un solo carattere infiammatorio in questo paziente basta a scrivere al curante</w:t>
      </w:r>
      <w:r>
        <w:t xml:space="preserve">: è una nostra soglia di prudenza, più bassa di quella dell’ASAS, e si dichiara come tale.</w:t>
      </w:r>
    </w:p>
    <w:p>
      <w:pPr>
        <w:pStyle w:val="Compact"/>
        <w:numPr>
          <w:ilvl w:val="0"/>
          <w:numId w:val="1005"/>
        </w:numPr>
      </w:pPr>
      <w:r>
        <w:rPr>
          <w:b/>
          <w:bCs/>
        </w:rPr>
        <w:t xml:space="preserve">Non è il piede piatto o cavo.</w:t>
      </w:r>
      <w:r>
        <w:t xml:space="preserve"> </w:t>
      </w:r>
      <w:r>
        <w:rPr>
          <w:b/>
          <w:bCs/>
        </w:rPr>
        <w:t xml:space="preserve">Non è la lombalgia comune</w:t>
      </w:r>
      <w:r>
        <w:t xml:space="preserve">: molti lombalgici hanno una dismetria, e la maggior parte delle lombalgie non c’entra.</w:t>
      </w:r>
      <w:r>
        <w:t xml:space="preserve"> </w:t>
      </w:r>
      <w:r>
        <w:rPr>
          <w:b/>
          <w:bCs/>
        </w:rPr>
        <w:t xml:space="preserve">Non è la borsite trocanterica né la sindrome del piriforme.</w:t>
      </w:r>
    </w:p>
    <w:p>
      <w:pPr>
        <w:pStyle w:val="FirstParagraph"/>
      </w:pPr>
      <w:r>
        <w:rPr>
          <w:b/>
          <w:bCs/>
        </w:rPr>
        <w:t xml:space="preserve">Le tre cose da ricordare, più una</w:t>
      </w:r>
    </w:p>
    <w:p>
      <w:pPr>
        <w:pStyle w:val="Compact"/>
        <w:numPr>
          <w:ilvl w:val="0"/>
          <w:numId w:val="1006"/>
        </w:numPr>
      </w:pPr>
      <w:r>
        <w:t xml:space="preserve">Anatomica e funzionale sono due fenomeni diversi, e solo la prima si misura con l’imaging.</w:t>
      </w:r>
    </w:p>
    <w:p>
      <w:pPr>
        <w:pStyle w:val="Compact"/>
        <w:numPr>
          <w:ilvl w:val="0"/>
          <w:numId w:val="1006"/>
        </w:numPr>
      </w:pPr>
      <w:r>
        <w:t xml:space="preserve">I millimetri sono un dato di popolazione: cinque sono la media di chi non ha niente.</w:t>
      </w:r>
    </w:p>
    <w:p>
      <w:pPr>
        <w:pStyle w:val="Compact"/>
        <w:numPr>
          <w:ilvl w:val="0"/>
          <w:numId w:val="1006"/>
        </w:numPr>
      </w:pPr>
      <w:r>
        <w:t xml:space="preserve">La differenza ossea non evolve, e nel dolore persistente il dolore scende da solo di circa 8 punti su 100 nelle prime sei settimane: quel numero è già in corsa.</w:t>
      </w:r>
    </w:p>
    <w:p>
      <w:pPr>
        <w:pStyle w:val="Compact"/>
        <w:numPr>
          <w:ilvl w:val="0"/>
          <w:numId w:val="1006"/>
        </w:numPr>
      </w:pPr>
      <w:r>
        <w:rPr>
          <w:b/>
          <w:bCs/>
        </w:rPr>
        <w:t xml:space="preserve">Perché ci sei tu.</w:t>
      </w:r>
      <w:r>
        <w:t xml:space="preserve"> </w:t>
      </w:r>
      <w:r>
        <w:t xml:space="preserve">L’asimmetria ossea del bacino sopra i 5 millimetri riguarda il</w:t>
      </w:r>
      <w:r>
        <w:t xml:space="preserve"> </w:t>
      </w:r>
      <w:r>
        <w:rPr>
          <w:b/>
          <w:bCs/>
        </w:rPr>
        <w:t xml:space="preserve">5,3%</w:t>
      </w:r>
      <w:r>
        <w:t xml:space="preserve"> </w:t>
      </w:r>
      <w:r>
        <w:t xml:space="preserve">delle persone (Badii, 2003, PMID 12811280).</w:t>
      </w:r>
      <w:r>
        <w:t xml:space="preserve"> </w:t>
      </w:r>
      <w:r>
        <w:rPr>
          <w:b/>
          <w:bCs/>
        </w:rPr>
        <w:t xml:space="preserve">Per te:</w:t>
      </w:r>
      <w:r>
        <w:t xml:space="preserve"> </w:t>
      </w:r>
      <w:r>
        <w:t xml:space="preserve">il fianco più alto che il paziente ti mostra allo specchio non è quasi mai un osso più grande, ed è la prima cosa che nessuno gli ha mai detto. Questo ti autorizza a togliere alla forma del bacino il ruolo di spiegazione. Non ti autorizza a sostituirla con un’altra spiegazione strutturale indimostrata: con le mani non stai misurando né forma né posizione.</w:t>
      </w:r>
    </w:p>
    <w:p>
      <w:r>
        <w:pict>
          <v:rect style="width:0;height:1.5pt" o:hralign="center" o:hrstd="t" o:hr="t"/>
        </w:pict>
      </w:r>
    </w:p>
    <w:bookmarkEnd w:id="21"/>
    <w:bookmarkEnd w:id="22"/>
    <w:bookmarkStart w:id="23" w:name="capitolo-3-le-strutture-in-gioco"/>
    <w:p>
      <w:pPr>
        <w:pStyle w:val="Heading2"/>
      </w:pPr>
      <w:r>
        <w:t xml:space="preserve">Capitolo 3 — Le strutture in gioco</w:t>
      </w:r>
    </w:p>
    <w:p>
      <w:pPr>
        <w:pStyle w:val="BlockText"/>
      </w:pPr>
      <w:r>
        <w:rPr>
          <w:b/>
          <w:bCs/>
        </w:rPr>
        <w:t xml:space="preserve">In una riga:</w:t>
      </w:r>
      <w:r>
        <w:t xml:space="preserve"> </w:t>
      </w:r>
      <w:r>
        <w:t xml:space="preserve">sette strutture decidono questo quadro, e la più importante non è l’osso lungo: è la superficie su cui poggia la colonna.</w:t>
      </w:r>
    </w:p>
    <w:p>
      <w:pPr>
        <w:pStyle w:val="FirstParagraph"/>
      </w:pPr>
      <w:r>
        <w:rPr>
          <w:b/>
          <w:bCs/>
        </w:rPr>
        <w:t xml:space="preserve">Il piano sacrale.</w:t>
      </w:r>
      <w:r>
        <w:t xml:space="preserve"> </w:t>
      </w:r>
      <w:r>
        <w:t xml:space="preserve">È la superficie superiore del sacro, quella su cui appoggia L5: la base da cui parte tutta la colonna. Se il bacino si inclina lateralmente, quel piano si inclina con lui, e la colonna parte già storta. La misura è piccola.</w:t>
      </w:r>
      <w:r>
        <w:t xml:space="preserve"> </w:t>
      </w:r>
      <w:r>
        <w:rPr>
          <w:b/>
          <w:bCs/>
        </w:rPr>
        <w:t xml:space="preserve">Ogni millimetro di differenza fra le gambe vale circa 0,3 millimetri di obliquità del piano sacrale.</w:t>
      </w:r>
      <w:r>
        <w:t xml:space="preserve"> </w:t>
      </w:r>
      <w:r>
        <w:t xml:space="preserve">E vale</w:t>
      </w:r>
      <w:r>
        <w:t xml:space="preserve"> </w:t>
      </w:r>
      <w:r>
        <w:rPr>
          <w:b/>
          <w:bCs/>
        </w:rPr>
        <w:t xml:space="preserve">circa 0,12 gradi di rotazione vertebrale</w:t>
      </w:r>
      <w:r>
        <w:t xml:space="preserve"> </w:t>
      </w:r>
      <w:r>
        <w:t xml:space="preserve">(Marsiolo e Aulisa,</w:t>
      </w:r>
      <w:r>
        <w:t xml:space="preserve"> </w:t>
      </w:r>
      <w:r>
        <w:rPr>
          <w:i/>
          <w:iCs/>
        </w:rPr>
        <w:t xml:space="preserve">J Clin Med</w:t>
      </w:r>
      <w:r>
        <w:t xml:space="preserve"> </w:t>
      </w:r>
      <w:r>
        <w:t xml:space="preserve">2023, PMID 37685636).</w:t>
      </w:r>
    </w:p>
    <w:p>
      <w:pPr>
        <w:pStyle w:val="BodyText"/>
      </w:pPr>
      <w:r>
        <w:rPr>
          <w:b/>
          <w:bCs/>
        </w:rPr>
        <w:t xml:space="preserve">Per te:</w:t>
      </w:r>
      <w:r>
        <w:t xml:space="preserve"> </w:t>
      </w:r>
      <w:r>
        <w:t xml:space="preserve">dieci millimetri di differenza valgono tre millimetri di base inclinata e poco più di un grado di rotazione. È il numero che usi quando il paziente è convinto che il suo mezzo centimetro gli abbia storto la schiena: la geometria c’è, ed è piccola.</w:t>
      </w:r>
    </w:p>
    <w:p>
      <w:pPr>
        <w:pStyle w:val="BodyText"/>
      </w:pPr>
      <w:r>
        <w:rPr>
          <w:b/>
          <w:bCs/>
        </w:rPr>
        <w:t xml:space="preserve">L’articolazione sacroiliaca.</w:t>
      </w:r>
      <w:r>
        <w:t xml:space="preserve"> </w:t>
      </w:r>
      <w:r>
        <w:t xml:space="preserve">È il giunto fra sacro e osso iliaco, tenuto da un sistema legamentoso fra i più robusti del corpo. È il punto in cui la differenza fra i due lati si scarica, ed è la sede del dolore profondo appena sopra il gluteo. Quel dolore scende: nei pazienti con sacroiliaca provata da blocco anestetico arriva al gluteo nel 94% dei casi,</w:t>
      </w:r>
      <w:r>
        <w:t xml:space="preserve"> </w:t>
      </w:r>
      <w:r>
        <w:rPr>
          <w:b/>
          <w:bCs/>
        </w:rPr>
        <w:t xml:space="preserve">sotto il ginocchio nel 28% e al piede nel 14%</w:t>
      </w:r>
      <w:r>
        <w:t xml:space="preserve"> </w:t>
      </w:r>
      <w:r>
        <w:t xml:space="preserve">(Slipman, 2000, PMID 10724079). È dolore riferito, non è una radice.</w:t>
      </w:r>
    </w:p>
    <w:p>
      <w:pPr>
        <w:pStyle w:val="BodyText"/>
      </w:pPr>
      <w:r>
        <w:rPr>
          <w:b/>
          <w:bCs/>
        </w:rPr>
        <w:t xml:space="preserve">L’osso iliaco come forma, non come posizione.</w:t>
      </w:r>
      <w:r>
        <w:t xml:space="preserve"> </w:t>
      </w:r>
      <w:r>
        <w:rPr>
          <w:b/>
          <w:bCs/>
        </w:rPr>
        <w:t xml:space="preserve">La forma dell’osso, da sola, produce asimmetrie di repere che sembrano rotazioni.</w:t>
      </w:r>
      <w:r>
        <w:t xml:space="preserve"> </w:t>
      </w:r>
      <w:r>
        <w:t xml:space="preserve">Su 30 bacini di cadavere tenuti in posizione fissa, la differenza fra i due lati dello stesso bacino arrivava</w:t>
      </w:r>
      <w:r>
        <w:t xml:space="preserve"> </w:t>
      </w:r>
      <w:r>
        <w:rPr>
          <w:b/>
          <w:bCs/>
        </w:rPr>
        <w:t xml:space="preserve">fino a 11 gradi di inclinazione e 16 millimetri di altezza dell’iliaco</w:t>
      </w:r>
      <w:r>
        <w:t xml:space="preserve">. E arrivava lì senza nessuna disfunzione (Preece, 2008, PMID 19119397). Sono valori massimi di un intervallo, non una frequenza.</w:t>
      </w:r>
    </w:p>
    <w:p>
      <w:pPr>
        <w:pStyle w:val="BodyText"/>
      </w:pPr>
      <w:r>
        <w:rPr>
          <w:b/>
          <w:bCs/>
        </w:rPr>
        <w:t xml:space="preserve">Il gluteo medio e gli abduttori d’anca.</w:t>
      </w:r>
      <w:r>
        <w:t xml:space="preserve"> </w:t>
      </w:r>
      <w:r>
        <w:t xml:space="preserve">Tengono il bacino a livello quando il peso sta su una gamba sola. Sono l’unico attore attivo del piano frontale, e l’unico pezzo di questa catena che si allena. Nei soggetti che sviluppano dolore stando in piedi i due glutei medi si accendono</w:t>
      </w:r>
      <w:r>
        <w:t xml:space="preserve"> </w:t>
      </w:r>
      <w:r>
        <w:rPr>
          <w:b/>
          <w:bCs/>
        </w:rPr>
        <w:t xml:space="preserve">insieme</w:t>
      </w:r>
      <w:r>
        <w:t xml:space="preserve"> </w:t>
      </w:r>
      <w:r>
        <w:t xml:space="preserve">invece di alternarsi. È un tratto che</w:t>
      </w:r>
      <w:r>
        <w:t xml:space="preserve"> </w:t>
      </w:r>
      <w:r>
        <w:rPr>
          <w:b/>
          <w:bCs/>
        </w:rPr>
        <w:t xml:space="preserve">precede</w:t>
      </w:r>
      <w:r>
        <w:t xml:space="preserve"> </w:t>
      </w:r>
      <w:r>
        <w:t xml:space="preserve">il dolore invece di seguirlo (Nelson-Wong, 2010, PMID 19467607).</w:t>
      </w:r>
    </w:p>
    <w:p>
      <w:pPr>
        <w:pStyle w:val="BodyText"/>
      </w:pPr>
      <w:r>
        <w:rPr>
          <w:b/>
          <w:bCs/>
        </w:rPr>
        <w:t xml:space="preserve">L’anca del lato in carico.</w:t>
      </w:r>
      <w:r>
        <w:t xml:space="preserve"> </w:t>
      </w:r>
      <w:r>
        <w:t xml:space="preserve">Assorbe la differenza di livello del bacino nel passo. È anche la struttura che la tua mano modifica con l’escursione più ampia.</w:t>
      </w:r>
      <w:r>
        <w:t xml:space="preserve"> </w:t>
      </w:r>
      <w:r>
        <w:rPr>
          <w:b/>
          <w:bCs/>
        </w:rPr>
        <w:t xml:space="preserve">È la più pericolosa del documento</w:t>
      </w:r>
      <w:r>
        <w:t xml:space="preserve">: se è protesizzata, stai insistendo sul piano su cui esiste una precauzione nota. Vedi «Non è una condizione sola».</w:t>
      </w:r>
    </w:p>
    <w:p>
      <w:pPr>
        <w:pStyle w:val="BodyText"/>
      </w:pPr>
      <w:r>
        <w:rPr>
          <w:b/>
          <w:bCs/>
        </w:rPr>
        <w:t xml:space="preserve">Il ginocchio, e la chicca del capitolo.</w:t>
      </w:r>
      <w:r>
        <w:t xml:space="preserve"> </w:t>
      </w:r>
      <w:r>
        <w:t xml:space="preserve">Un ginocchio che non estende completamente accorcia la gamba, in modo misurabile. Su 953 partecipanti si è visto</w:t>
      </w:r>
      <w:r>
        <w:t xml:space="preserve"> </w:t>
      </w:r>
      <w:r>
        <w:rPr>
          <w:b/>
          <w:bCs/>
        </w:rPr>
        <w:t xml:space="preserve">circa 0,37 millimetri di dismetria per grado di deficit di estensione, con correlazione R = 0,167</w:t>
      </w:r>
      <w:r>
        <w:t xml:space="preserve">. Nell’artrosi avanzata il valore sale a</w:t>
      </w:r>
      <w:r>
        <w:t xml:space="preserve"> </w:t>
      </w:r>
      <w:r>
        <w:rPr>
          <w:b/>
          <w:bCs/>
        </w:rPr>
        <w:t xml:space="preserve">circa 0,73 millimetri per grado, con R = 0,339</w:t>
      </w:r>
      <w:r>
        <w:t xml:space="preserve"> </w:t>
      </w:r>
      <w:r>
        <w:t xml:space="preserve">(Fournier e Campbell,</w:t>
      </w:r>
      <w:r>
        <w:t xml:space="preserve"> </w:t>
      </w:r>
      <w:r>
        <w:rPr>
          <w:i/>
          <w:iCs/>
        </w:rPr>
        <w:t xml:space="preserve">Arch Phys Med Rehabil</w:t>
      </w:r>
      <w:r>
        <w:t xml:space="preserve"> </w:t>
      </w:r>
      <w:r>
        <w:t xml:space="preserve">2023, PMID 37209935).</w:t>
      </w:r>
    </w:p>
    <w:p>
      <w:pPr>
        <w:pStyle w:val="BodyText"/>
      </w:pPr>
      <w:r>
        <w:rPr>
          <w:b/>
          <w:bCs/>
        </w:rPr>
        <w:t xml:space="preserve">Per te:</w:t>
      </w:r>
      <w:r>
        <w:t xml:space="preserve"> </w:t>
      </w:r>
      <w:r>
        <w:t xml:space="preserve">prima di parlare di rialzo, misura l’estensione dei due ginocchi. Un paziente con 8 millimetri di differenza e 10 gradi di deficit ha</w:t>
      </w:r>
      <w:r>
        <w:t xml:space="preserve"> </w:t>
      </w:r>
      <w:r>
        <w:rPr>
          <w:b/>
          <w:bCs/>
        </w:rPr>
        <w:t xml:space="preserve">quasi la metà</w:t>
      </w:r>
      <w:r>
        <w:t xml:space="preserve"> </w:t>
      </w:r>
      <w:r>
        <w:t xml:space="preserve">di quei millimetri spiegata dal ginocchio, non</w:t>
      </w:r>
      <w:r>
        <w:t xml:space="preserve"> </w:t>
      </w:r>
      <w:r>
        <w:t xml:space="preserve">“buona parte”</w:t>
      </w:r>
      <w:r>
        <w:t xml:space="preserve">. La dispersione è enorme: R = 0,167 significa che il deficit spiega circa il 3% della variabilità. Quindi nel singolo paziente la scomposizione è un’ipotesi da verificare, non un calcolo. È il consumo medio dichiarato di un’auto: descrive la media di chi guida, non il pieno che farai tu. (Fournier, 2023 — PMID 37209935)</w:t>
      </w:r>
    </w:p>
    <w:p>
      <w:pPr>
        <w:pStyle w:val="BlockText"/>
      </w:pPr>
      <w:r>
        <w:rPr>
          <w:b/>
          <w:bCs/>
        </w:rPr>
        <w:t xml:space="preserve">Attenzione.</w:t>
      </w:r>
      <w:r>
        <w:t xml:space="preserve"> </w:t>
      </w:r>
      <w:r>
        <w:t xml:space="preserve">Il coefficiente più alto viene dall’artrosi avanzata. È anche il ginocchio su cui l’estensione si recupera con il margine più stretto. L’estensione si misura sempre; non si forza mai a fine corsa su un ginocchio artrosico avanzato o protesizzato.</w:t>
      </w:r>
    </w:p>
    <w:p>
      <w:pPr>
        <w:pStyle w:val="FirstParagraph"/>
      </w:pPr>
      <w:r>
        <w:rPr>
          <w:b/>
          <w:bCs/>
        </w:rPr>
        <w:t xml:space="preserve">Il piede e la sottoastragalica.</w:t>
      </w:r>
      <w:r>
        <w:t xml:space="preserve"> </w:t>
      </w:r>
      <w:r>
        <w:t xml:space="preserve">Sono il primo segmento a ricevere il carico. Se il piede prona si accorcia, se supina si allunga, e una caviglia che dorsiflette meno cambia la strategia in stazione eretta. È il posto in cui una parte dei millimetri</w:t>
      </w:r>
      <w:r>
        <w:t xml:space="preserve"> </w:t>
      </w:r>
      <w:r>
        <w:t xml:space="preserve">“apparenti”</w:t>
      </w:r>
      <w:r>
        <w:t xml:space="preserve"> </w:t>
      </w:r>
      <w:r>
        <w:t xml:space="preserve">si fabbrica. È anche la spiegazione della scarpa consumata da un lato solo, cioè il segno che il paziente porta per primo (Gurney, 2002, PMID 11869914).</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tre cose: la variabilità di forma dell’osso iliaco su cadavere, la distribuzione del dolore riferito dalla sacroiliaca, e l’associazione fra deficit di estensione del ginocchio e dismetria misurata. Su quest’ultima resta il limite della fonte:</w:t>
      </w:r>
      <w:r>
        <w:t xml:space="preserve"> </w:t>
      </w:r>
      <w:r>
        <w:rPr>
          <w:i/>
          <w:iCs/>
        </w:rPr>
        <w:t xml:space="preserve">misurato in persone con artrosi di ginocchio o a rischio: il salto è di popolazione</w:t>
      </w:r>
      <w:r>
        <w:t xml:space="preserve">.</w:t>
      </w:r>
      <w:r>
        <w:t xml:space="preserve"> </w:t>
      </w:r>
      <w:r>
        <w:rPr>
          <w:b/>
          <w:bCs/>
        </w:rPr>
        <w:t xml:space="preserve">PROBABILE</w:t>
      </w:r>
      <w:r>
        <w:t xml:space="preserve"> </w:t>
      </w:r>
      <w:r>
        <w:rPr>
          <w:i/>
          <w:iCs/>
        </w:rPr>
        <w:t xml:space="preserve">(razionale forte, prove parziali)</w:t>
      </w:r>
      <w:r>
        <w:t xml:space="preserve"> </w:t>
      </w:r>
      <w:r>
        <w:t xml:space="preserve">la relazione millimetrica fra dismetria, obliquità e rotazione. La regge un solo studio retrospettivo su 89 pazienti, con R² 0,29 e 0,22. Le curve erano dorso-lombari o lombari, sotto i 15 gradi Cobb.</w:t>
      </w:r>
      <w:r>
        <w:t xml:space="preserve"> </w:t>
      </w:r>
      <w:r>
        <w:rPr>
          <w:i/>
          <w:iCs/>
        </w:rPr>
        <w:t xml:space="preserve">Misurato in una casistica ortopedica pediatrica su curve sotto i 15 gradi Cobb, non su adulti con dolore: senza questa riga l’etichetta scenderebbe a IPOTESI.</w:t>
      </w:r>
      <w:r>
        <w:t xml:space="preserve"> </w:t>
      </w:r>
      <w:r>
        <w:rPr>
          <w:b/>
          <w:bCs/>
        </w:rPr>
        <w:t xml:space="preserve">IPOTESI</w:t>
      </w:r>
      <w:r>
        <w:t xml:space="preserve"> </w:t>
      </w:r>
      <w:r>
        <w:rPr>
          <w:i/>
          <w:iCs/>
        </w:rPr>
        <w:t xml:space="preserve">(meccanismo coerente, nessuno studio)</w:t>
      </w:r>
      <w:r>
        <w:t xml:space="preserve"> </w:t>
      </w:r>
      <w:r>
        <w:t xml:space="preserve">che il piede modifichi la lunghezza funzionale in misura clinicamente utile, e che recuperare gradi al ginocchio riduca la differenza misurata: lo studio di Fournier è trasversale.</w:t>
      </w:r>
    </w:p>
    <w:p>
      <w:pPr>
        <w:pStyle w:val="FirstParagraph"/>
      </w:pPr>
      <w:r>
        <w:rPr>
          <w:b/>
          <w:bCs/>
        </w:rPr>
        <w:t xml:space="preserve">Le tre cose da ricordare, più una</w:t>
      </w:r>
    </w:p>
    <w:p>
      <w:pPr>
        <w:pStyle w:val="Compact"/>
        <w:numPr>
          <w:ilvl w:val="0"/>
          <w:numId w:val="1007"/>
        </w:numPr>
      </w:pPr>
      <w:r>
        <w:t xml:space="preserve">La base della colonna è il piano sacrale: dieci millimetri di gamba valgono tre millimetri di base.</w:t>
      </w:r>
    </w:p>
    <w:p>
      <w:pPr>
        <w:pStyle w:val="Compact"/>
        <w:numPr>
          <w:ilvl w:val="0"/>
          <w:numId w:val="1007"/>
        </w:numPr>
      </w:pPr>
      <w:r>
        <w:t xml:space="preserve">La forma dell’osso iliaco produce asimmetrie di repere che sembrano rotazioni: il fianco più alto non prova niente.</w:t>
      </w:r>
    </w:p>
    <w:p>
      <w:pPr>
        <w:pStyle w:val="Compact"/>
        <w:numPr>
          <w:ilvl w:val="0"/>
          <w:numId w:val="1007"/>
        </w:numPr>
      </w:pPr>
      <w:r>
        <w:t xml:space="preserve">Il ginocchio che non estende accorcia la gamba, in media di un terzo di millimetro per grado, con una dispersione che vieta il calcolo sul singolo.</w:t>
      </w:r>
    </w:p>
    <w:p>
      <w:pPr>
        <w:pStyle w:val="Compact"/>
        <w:numPr>
          <w:ilvl w:val="0"/>
          <w:numId w:val="1007"/>
        </w:numPr>
      </w:pPr>
      <w:r>
        <w:rPr>
          <w:b/>
          <w:bCs/>
        </w:rPr>
        <w:t xml:space="preserve">Perché ci sei tu.</w:t>
      </w:r>
      <w:r>
        <w:t xml:space="preserve"> </w:t>
      </w:r>
      <w:r>
        <w:t xml:space="preserve">La sola variabilità di forma del bacino produce fino a 16 millimetri di differenza di altezza dell’iliaco e fino a 11 gradi di inclinazione (Preece, 2008, PMID 19119397).</w:t>
      </w:r>
      <w:r>
        <w:t xml:space="preserve"> </w:t>
      </w:r>
      <w:r>
        <w:rPr>
          <w:b/>
          <w:bCs/>
        </w:rPr>
        <w:t xml:space="preserve">Per te:</w:t>
      </w:r>
      <w:r>
        <w:t xml:space="preserve"> </w:t>
      </w:r>
      <w:r>
        <w:t xml:space="preserve">quando trovi una cresta più alta, la forma dell’osso è una spiegazione che non puoi escludere. E con le mani non puoi separarla dalle altre, perché la palpazione dei reperi non raggiunge un accordo utilizzabile (Cooperstein, 2016, PMID 27069265). Questo ti autorizza a spiegare al paziente perché il suo fianco più alto non prova niente. Non ti autorizza a rassicurarlo dicendo che il suo bacino è</w:t>
      </w:r>
      <w:r>
        <w:t xml:space="preserve"> </w:t>
      </w:r>
      <w:r>
        <w:t xml:space="preserve">“a posto”</w:t>
      </w:r>
      <w:r>
        <w:t xml:space="preserve">.</w:t>
      </w:r>
    </w:p>
    <w:p>
      <w:r>
        <w:pict>
          <v:rect style="width:0;height:1.5pt" o:hralign="center" o:hrstd="t" o:hr="t"/>
        </w:pict>
      </w:r>
    </w:p>
    <w:bookmarkEnd w:id="23"/>
    <w:bookmarkStart w:id="24"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in un corpo che funziona la differenza fra i due lati c’è comunque, e viene assorbita gratis da una catena di aggiustamenti che nessuno sente.</w:t>
      </w:r>
    </w:p>
    <w:p>
      <w:pPr>
        <w:pStyle w:val="FirstParagraph"/>
      </w:pPr>
      <w:r>
        <w:t xml:space="preserve">Non si capisce questo guasto senza sapere una cosa:</w:t>
      </w:r>
      <w:r>
        <w:t xml:space="preserve"> </w:t>
      </w:r>
      <w:r>
        <w:rPr>
          <w:b/>
          <w:bCs/>
        </w:rPr>
        <w:t xml:space="preserve">l’asimmetria è la norma.</w:t>
      </w:r>
      <w:r>
        <w:t xml:space="preserve"> </w:t>
      </w:r>
      <w:r>
        <w:t xml:space="preserve">Il compito del sistema non è essere simmetrico. È assorbire l’asimmetria senza costo.</w:t>
      </w:r>
    </w:p>
    <w:p>
      <w:pPr>
        <w:pStyle w:val="Compact"/>
        <w:numPr>
          <w:ilvl w:val="0"/>
          <w:numId w:val="1008"/>
        </w:numPr>
      </w:pPr>
      <w:r>
        <w:rPr>
          <w:b/>
          <w:bCs/>
        </w:rPr>
        <w:t xml:space="preserve">Il carico arriva a terra su due gambe leggermente diverse.</w:t>
      </w:r>
      <w:r>
        <w:t xml:space="preserve"> </w:t>
      </w:r>
      <w:r>
        <w:t xml:space="preserve">Partire sbilanciati è normale.</w:t>
      </w:r>
    </w:p>
    <w:p>
      <w:pPr>
        <w:pStyle w:val="Compact"/>
        <w:numPr>
          <w:ilvl w:val="0"/>
          <w:numId w:val="1008"/>
        </w:numPr>
      </w:pPr>
      <w:r>
        <w:rPr>
          <w:b/>
          <w:bCs/>
        </w:rPr>
        <w:t xml:space="preserve">La differenza sale al bacino e inclina il piano sacrale.</w:t>
      </w:r>
      <w:r>
        <w:t xml:space="preserve"> </w:t>
      </w:r>
      <w:r>
        <w:t xml:space="preserve">L’inclinazione è di pochi decimi di millimetro per ogni millimetro di gamba: reale, misurabile, piccolissima.</w:t>
      </w:r>
    </w:p>
    <w:p>
      <w:pPr>
        <w:pStyle w:val="Compact"/>
        <w:numPr>
          <w:ilvl w:val="0"/>
          <w:numId w:val="1008"/>
        </w:numPr>
      </w:pPr>
      <w:r>
        <w:rPr>
          <w:b/>
          <w:bCs/>
        </w:rPr>
        <w:t xml:space="preserve">La colonna la compensa con una curva minima distribuita su più segmenti.</w:t>
      </w:r>
      <w:r>
        <w:t xml:space="preserve"> </w:t>
      </w:r>
      <w:r>
        <w:t xml:space="preserve">Nessun segmento paga molto, perché tutti pagano un po’.</w:t>
      </w:r>
    </w:p>
    <w:p>
      <w:pPr>
        <w:pStyle w:val="Compact"/>
        <w:numPr>
          <w:ilvl w:val="0"/>
          <w:numId w:val="1008"/>
        </w:numPr>
      </w:pPr>
      <w:r>
        <w:rPr>
          <w:b/>
          <w:bCs/>
        </w:rPr>
        <w:t xml:space="preserve">Le sacroiliache incassano il resto con un movimento minuscolo.</w:t>
      </w:r>
      <w:r>
        <w:t xml:space="preserve"> </w:t>
      </w:r>
      <w:r>
        <w:t xml:space="preserve">In media sono</w:t>
      </w:r>
      <w:r>
        <w:t xml:space="preserve"> </w:t>
      </w:r>
      <w:r>
        <w:rPr>
          <w:b/>
          <w:bCs/>
        </w:rPr>
        <w:t xml:space="preserve">2,5 gradi di rotazione e 0,7 millimetri di traslazione</w:t>
      </w:r>
      <w:r>
        <w:t xml:space="preserve">, identici nei lati sintomatici e in quelli asintomatici (Sturesson,</w:t>
      </w:r>
      <w:r>
        <w:t xml:space="preserve"> </w:t>
      </w:r>
      <w:r>
        <w:rPr>
          <w:i/>
          <w:iCs/>
        </w:rPr>
        <w:t xml:space="preserve">Spine</w:t>
      </w:r>
      <w:r>
        <w:t xml:space="preserve"> </w:t>
      </w:r>
      <w:r>
        <w:t xml:space="preserve">1989, PMID 2922636).</w:t>
      </w:r>
      <w:r>
        <w:t xml:space="preserve"> </w:t>
      </w:r>
      <w:r>
        <w:rPr>
          <w:i/>
          <w:iCs/>
        </w:rPr>
        <w:t xml:space="preserve">Misurato su 25 pazienti con disturbi sacroiliaci e alle posizioni fisiologiche estreme: il salto di popolazione va nella direzione di sovrastimare l’escursione, non di sottostimarla.</w:t>
      </w:r>
    </w:p>
    <w:p>
      <w:pPr>
        <w:pStyle w:val="Compact"/>
        <w:numPr>
          <w:ilvl w:val="0"/>
          <w:numId w:val="1008"/>
        </w:numPr>
      </w:pPr>
      <w:r>
        <w:rPr>
          <w:b/>
          <w:bCs/>
        </w:rPr>
        <w:t xml:space="preserve">Gli abduttori tengono il bacino a livello nell’appoggio monopodalico, alternandosi.</w:t>
      </w:r>
      <w:r>
        <w:t xml:space="preserve"> </w:t>
      </w:r>
      <w:r>
        <w:t xml:space="preserve">Mentre un lato lavora, l’altro riposa.</w:t>
      </w:r>
    </w:p>
    <w:p>
      <w:pPr>
        <w:pStyle w:val="Compact"/>
        <w:numPr>
          <w:ilvl w:val="0"/>
          <w:numId w:val="1008"/>
        </w:numPr>
      </w:pPr>
      <w:r>
        <w:rPr>
          <w:b/>
          <w:bCs/>
        </w:rPr>
        <w:t xml:space="preserve">Il carico si sposta continuamente da un lato all’altro.</w:t>
      </w:r>
      <w:r>
        <w:t xml:space="preserve"> </w:t>
      </w:r>
      <w:r>
        <w:t xml:space="preserve">È il pezzo che nessuno nota e che regge tutto: spostamenti frequenti e minuscoli, che fanno riposare a turno le strutture.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il punto 6, che è quello su cui il capitolo poggia. Nessuno ha contato quanti spostamenti di carico fa al minuto una persona sana in piedi, e il numero non compare qui apposta. Quello che è misurato è il suo rovescio: nei soggetti che sviluppano dolore in stazione eretta i due glutei medi si co-attivano invece di alternarsi (Nelson-Wong, 2010, PMID 19467607).</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FirstParagraph"/>
      </w:pPr>
      <w:r>
        <w:rPr>
          <w:b/>
          <w:bCs/>
        </w:rPr>
        <w:t xml:space="preserve">La simmetria del sistema non è una simmetria di forma: è una simmetria di turni.</w:t>
      </w:r>
      <w:r>
        <w:t xml:space="preserve"> </w:t>
      </w:r>
      <w:r>
        <w:t xml:space="preserve">Il corpo non chiede che le due gambe siano uguali. Chiede che nessuna delle due lavori sempre. È dormire tutta la notte sullo stesso fianco: non fa male il peso, fa male non essersi girati.</w:t>
      </w:r>
    </w:p>
    <w:p>
      <w:pPr>
        <w:pStyle w:val="BodyText"/>
      </w:pPr>
      <w:r>
        <w:rPr>
          <w:b/>
          <w:bCs/>
        </w:rPr>
        <w:t xml:space="preserve">Le tre cose da ricordare, più una</w:t>
      </w:r>
    </w:p>
    <w:p>
      <w:pPr>
        <w:pStyle w:val="Compact"/>
        <w:numPr>
          <w:ilvl w:val="0"/>
          <w:numId w:val="1009"/>
        </w:numPr>
      </w:pPr>
      <w:r>
        <w:t xml:space="preserve">L’asimmetria di forma è la norma: il sistema è costruito per assorbirla.</w:t>
      </w:r>
    </w:p>
    <w:p>
      <w:pPr>
        <w:pStyle w:val="Compact"/>
        <w:numPr>
          <w:ilvl w:val="0"/>
          <w:numId w:val="1009"/>
        </w:numPr>
      </w:pPr>
      <w:r>
        <w:t xml:space="preserve">Quello che rende il compenso gratuito è la rotazione dei turni di carico, non l’uguaglianza dei due lati.</w:t>
      </w:r>
    </w:p>
    <w:p>
      <w:pPr>
        <w:pStyle w:val="Compact"/>
        <w:numPr>
          <w:ilvl w:val="0"/>
          <w:numId w:val="1009"/>
        </w:numPr>
      </w:pPr>
      <w:r>
        <w:t xml:space="preserve">La sacroiliaca si muove pochissimo, e uguale nei lati che fanno male e in quelli che non fanno male.</w:t>
      </w:r>
    </w:p>
    <w:p>
      <w:pPr>
        <w:pStyle w:val="Compact"/>
        <w:numPr>
          <w:ilvl w:val="0"/>
          <w:numId w:val="1009"/>
        </w:numPr>
      </w:pPr>
      <w:r>
        <w:rPr>
          <w:b/>
          <w:bCs/>
        </w:rPr>
        <w:t xml:space="preserve">Perché ci sei tu.</w:t>
      </w:r>
      <w:r>
        <w:t xml:space="preserve"> </w:t>
      </w:r>
      <w:r>
        <w:t xml:space="preserve">Il movimento della sacroiliaca è in media 2,5 gradi e 0,7 millimetri, uguale fra articolazioni sintomatiche e asintomatiche (Sturesson, 1989, PMID 2922636).</w:t>
      </w:r>
      <w:r>
        <w:t xml:space="preserve"> </w:t>
      </w:r>
      <w:r>
        <w:rPr>
          <w:b/>
          <w:bCs/>
        </w:rPr>
        <w:t xml:space="preserve">Per te:</w:t>
      </w:r>
      <w:r>
        <w:t xml:space="preserve"> </w:t>
      </w:r>
      <w:r>
        <w:t xml:space="preserve">il</w:t>
      </w:r>
      <w:r>
        <w:t xml:space="preserve"> </w:t>
      </w:r>
      <w:r>
        <w:t xml:space="preserve">“blocco”</w:t>
      </w:r>
      <w:r>
        <w:t xml:space="preserve"> </w:t>
      </w:r>
      <w:r>
        <w:t xml:space="preserve">che dici di sentire non può essere una differenza di posizione apprezzabile con le mani, perché l’intera escursione del giunto sta sotto il millimetro. Questo ti autorizza a spostare il tuo obiettivo dalla posizione al dolore e alla tolleranza al carico. Non ti autorizza a concludere che la sacroiliaca non c’entri: i test di provocazione, che misurano il dolore, discriminano eccome.</w:t>
      </w:r>
    </w:p>
    <w:p>
      <w:r>
        <w:pict>
          <v:rect style="width:0;height:1.5pt" o:hralign="center" o:hrstd="t" o:hr="t"/>
        </w:pict>
      </w:r>
    </w:p>
    <w:bookmarkEnd w:id="24"/>
    <w:bookmarkStart w:id="30" w:name="capitolo-5-cosa-si-rompe"/>
    <w:p>
      <w:pPr>
        <w:pStyle w:val="Heading2"/>
      </w:pPr>
      <w:r>
        <w:t xml:space="preserve">Capitolo 5 — Cosa si rompe</w:t>
      </w:r>
    </w:p>
    <w:p>
      <w:pPr>
        <w:pStyle w:val="BlockText"/>
      </w:pPr>
      <w:r>
        <w:rPr>
          <w:b/>
          <w:bCs/>
        </w:rPr>
        <w:t xml:space="preserve">In una riga:</w:t>
      </w:r>
      <w:r>
        <w:t xml:space="preserve"> </w:t>
      </w:r>
      <w:r>
        <w:t xml:space="preserve">cinque meccanismi, e solo il primo riguarda l’osso; gli altri quattro riguardano cosa il corpo fa con quell’osso.</w:t>
      </w:r>
    </w:p>
    <w:p>
      <w:pPr>
        <w:pStyle w:val="FirstParagraph"/>
      </w:pPr>
      <w:r>
        <w:rPr>
          <w:b/>
          <w:bCs/>
        </w:rPr>
        <w:t xml:space="preserve">L’ordine è didattico, non gerarchico.</w:t>
      </w:r>
      <w:r>
        <w:t xml:space="preserve"> </w:t>
      </w:r>
      <w:r>
        <w:t xml:space="preserve">Si apre con l’osso per due ragioni: è la storia che il paziente porta, e senza di essa gli altri quattro non si capiscono. Ma guarda le etichette di questa stessa Bibbia. Il primo meccanismo è PROBABILE, mentre il secondo e il terzo poggiano su DIMOSTRATO.</w:t>
      </w:r>
      <w:r>
        <w:t xml:space="preserve"> </w:t>
      </w:r>
      <w:r>
        <w:rPr>
          <w:b/>
          <w:bCs/>
        </w:rPr>
        <w:t xml:space="preserve">Il meccanismo più frequente non è il primo, è il terzo.</w:t>
      </w:r>
    </w:p>
    <w:bookmarkStart w:id="25" w:name="la-base-inclinata"/>
    <w:p>
      <w:pPr>
        <w:pStyle w:val="Heading3"/>
      </w:pPr>
      <w:r>
        <w:t xml:space="preserve">1. La base inclinata</w:t>
      </w:r>
    </w:p>
    <w:p>
      <w:pPr>
        <w:pStyle w:val="Compact"/>
        <w:numPr>
          <w:ilvl w:val="0"/>
          <w:numId w:val="1010"/>
        </w:numPr>
      </w:pPr>
      <w:r>
        <w:t xml:space="preserve">Esiste una differenza reale di lunghezza fra i due arti, misurata sotto carico.</w:t>
      </w:r>
    </w:p>
    <w:p>
      <w:pPr>
        <w:pStyle w:val="Compact"/>
        <w:numPr>
          <w:ilvl w:val="0"/>
          <w:numId w:val="1010"/>
        </w:numPr>
      </w:pPr>
      <w:r>
        <w:t xml:space="preserve">In piedi l’emibacino del lato corto scende, e con lui si inclina il piano sacrale.</w:t>
      </w:r>
    </w:p>
    <w:p>
      <w:pPr>
        <w:pStyle w:val="Compact"/>
        <w:numPr>
          <w:ilvl w:val="0"/>
          <w:numId w:val="1010"/>
        </w:numPr>
      </w:pPr>
      <w:r>
        <w:t xml:space="preserve">La colonna poggia su quel piano: parte storta e costruisce una curva di compenso, nella proporzione millimetrica vista in «Le strutture in gioco».</w:t>
      </w:r>
    </w:p>
    <w:p>
      <w:pPr>
        <w:pStyle w:val="Compact"/>
        <w:numPr>
          <w:ilvl w:val="0"/>
          <w:numId w:val="1010"/>
        </w:numPr>
      </w:pPr>
      <w:r>
        <w:t xml:space="preserve">I segmenti lombari inferiori lavorano tutta la giornata in una posizione leggermente chiusa dallo stesso lato.</w:t>
      </w:r>
    </w:p>
    <w:p>
      <w:pPr>
        <w:pStyle w:val="Compact"/>
        <w:numPr>
          <w:ilvl w:val="0"/>
          <w:numId w:val="1010"/>
        </w:numPr>
      </w:pPr>
      <w:r>
        <w:t xml:space="preserve">Un carico piccolo ma senza pause su faccette e legamenti dello stesso lato tiene acceso un ingresso nocicettivo di fondo. È il candidato per il dolore, e resta il pezzo che nessuno ha misurato in questi pazienti.</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la geometria. A 5 millimetri di dismetria la probabilità di rotazione già aumenta, ma con R² 0,08 su quella soglia: una relazione vera in senso statistico e trascurabile in senso clinico (Marsiolo e Aulisa, 2023, PMID 37685636). E 5 millimetri sono la media di chi non ha niente.</w:t>
      </w:r>
      <w:r>
        <w:t xml:space="preserve"> </w:t>
      </w:r>
      <w:r>
        <w:rPr>
          <w:i/>
          <w:iCs/>
        </w:rPr>
        <w:t xml:space="preserve">Misurato in una casistica ortopedica pediatrica, non su adulti con dolore: il salto è di popolazione.</w:t>
      </w:r>
      <w:r>
        <w:t xml:space="preserve"> </w:t>
      </w:r>
      <w:r>
        <w:rPr>
          <w:b/>
          <w:bCs/>
        </w:rPr>
        <w:t xml:space="preserve">IPOTESI</w:t>
      </w:r>
      <w:r>
        <w:t xml:space="preserve"> </w:t>
      </w:r>
      <w:r>
        <w:rPr>
          <w:i/>
          <w:iCs/>
        </w:rPr>
        <w:t xml:space="preserve">(meccanismo coerente, nessuno studio)</w:t>
      </w:r>
      <w:r>
        <w:t xml:space="preserve"> </w:t>
      </w:r>
      <w:r>
        <w:t xml:space="preserve">che sia questa geometria a produrre il dolore in</w:t>
      </w:r>
      <w:r>
        <w:t xml:space="preserve"> </w:t>
      </w:r>
      <w:r>
        <w:rPr>
          <w:b/>
          <w:bCs/>
        </w:rPr>
        <w:t xml:space="preserve">questo</w:t>
      </w:r>
      <w:r>
        <w:t xml:space="preserve"> </w:t>
      </w:r>
      <w:r>
        <w:t xml:space="preserve">paziente.</w:t>
      </w:r>
    </w:p>
    <w:p>
      <w:pPr>
        <w:pStyle w:val="FirstParagraph"/>
      </w:pPr>
      <w:r>
        <w:rPr>
          <w:b/>
          <w:bCs/>
        </w:rPr>
        <w:t xml:space="preserve">Come si vede addosso al paziente.</w:t>
      </w:r>
      <w:r>
        <w:t xml:space="preserve"> </w:t>
      </w:r>
      <w:r>
        <w:t xml:space="preserve">C’è una differenza documentata sotto carico. Il sintomo compare o peggiora</w:t>
      </w:r>
      <w:r>
        <w:t xml:space="preserve"> </w:t>
      </w:r>
      <w:r>
        <w:rPr>
          <w:b/>
          <w:bCs/>
        </w:rPr>
        <w:t xml:space="preserve">in piedi</w:t>
      </w:r>
      <w:r>
        <w:t xml:space="preserve"> </w:t>
      </w:r>
      <w:r>
        <w:t xml:space="preserve">e migliora</w:t>
      </w:r>
      <w:r>
        <w:t xml:space="preserve"> </w:t>
      </w:r>
      <w:r>
        <w:rPr>
          <w:b/>
          <w:bCs/>
        </w:rPr>
        <w:t xml:space="preserve">da seduto</w:t>
      </w:r>
      <w:r>
        <w:t xml:space="preserve">, perché da seduto la base torna in piano. Il dolore è lombare basso, quasi sempre dallo stesso lato.</w:t>
      </w:r>
      <w:r>
        <w:t xml:space="preserve"> </w:t>
      </w:r>
      <w:r>
        <w:rPr>
          <w:b/>
          <w:bCs/>
        </w:rPr>
        <w:t xml:space="preserve">Camminando sta come sta fermo, o peggio</w:t>
      </w:r>
      <w:r>
        <w:t xml:space="preserve">: è il dettaglio che lo separa dal quinto meccanismo.</w:t>
      </w:r>
    </w:p>
    <w:p>
      <w:pPr>
        <w:pStyle w:val="BodyText"/>
      </w:pPr>
      <w:r>
        <w:rPr>
          <w:b/>
          <w:bCs/>
        </w:rPr>
        <w:t xml:space="preserve">La libreria montata su un pavimento fuori bolla: i ripiani sono perfetti, e un montante solo regge il peso di tutti.</w:t>
      </w:r>
    </w:p>
    <w:bookmarkEnd w:id="25"/>
    <w:bookmarkStart w:id="26" w:name="la-dose-asimmetrica-accumulata"/>
    <w:p>
      <w:pPr>
        <w:pStyle w:val="Heading3"/>
      </w:pPr>
      <w:r>
        <w:t xml:space="preserve">2. La dose asimmetrica accumulata</w:t>
      </w:r>
    </w:p>
    <w:p>
      <w:pPr>
        <w:pStyle w:val="Compact"/>
        <w:numPr>
          <w:ilvl w:val="0"/>
          <w:numId w:val="1011"/>
        </w:numPr>
      </w:pPr>
      <w:r>
        <w:t xml:space="preserve">Il carico si concentra in modo stabile su un lato, per anni.</w:t>
      </w:r>
    </w:p>
    <w:p>
      <w:pPr>
        <w:pStyle w:val="Compact"/>
        <w:numPr>
          <w:ilvl w:val="0"/>
          <w:numId w:val="1011"/>
        </w:numPr>
      </w:pPr>
      <w:r>
        <w:t xml:space="preserve">Ogni singolo passo resta dentro la tolleranza dei tessuti. Quello che supera la tolleranza non è l’intensità: è il numero di ripetizioni nella stessa direzione.</w:t>
      </w:r>
    </w:p>
    <w:p>
      <w:pPr>
        <w:pStyle w:val="Compact"/>
        <w:numPr>
          <w:ilvl w:val="0"/>
          <w:numId w:val="1011"/>
        </w:numPr>
      </w:pPr>
      <w:r>
        <w:t xml:space="preserve">Il conto arriva nei distretti sulla linea di quel carico: sacroiliaca, lombare bassa, ginocchio, anca dello stesso lato. Il dolore compare quando la struttura che paga smette di recuperare fra un carico e il successivo.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l’associazione fra dismetria di almeno un centimetro e artrosi del ginocchio del lato corto (Harvey, 2010, PMID 20194234; le numerosità stanno in «Che cos’è davvero»). Una seconda coorte va nella stessa direzione ma con soglia doppia,</w:t>
      </w:r>
      <w:r>
        <w:t xml:space="preserve"> </w:t>
      </w:r>
      <w:r>
        <w:rPr>
          <w:b/>
          <w:bCs/>
        </w:rPr>
        <w:t xml:space="preserve">≥ 2 centimetri</w:t>
      </w:r>
      <w:r>
        <w:t xml:space="preserve">, e con un solo esito significativo su sei (Golightly, 2007, PMID 17321169; 2010, PMID 20634243): coerente, non confermativa.</w:t>
      </w:r>
      <w:r>
        <w:t xml:space="preserve"> </w:t>
      </w:r>
      <w:r>
        <w:rPr>
          <w:b/>
          <w:bCs/>
        </w:rPr>
        <w:t xml:space="preserve">PROBABILE</w:t>
      </w:r>
      <w:r>
        <w:t xml:space="preserve"> </w:t>
      </w:r>
      <w:r>
        <w:rPr>
          <w:i/>
          <w:iCs/>
        </w:rPr>
        <w:t xml:space="preserve">(razionale forte, prove parziali)</w:t>
      </w:r>
      <w:r>
        <w:t xml:space="preserve"> </w:t>
      </w:r>
      <w:r>
        <w:t xml:space="preserve">che la dose di stazione eretta sia un fattore di esposizione reale. Su</w:t>
      </w:r>
      <w:r>
        <w:t xml:space="preserve"> </w:t>
      </w:r>
      <w:r>
        <w:rPr>
          <w:b/>
          <w:bCs/>
        </w:rPr>
        <w:t xml:space="preserve">88.158 partecipanti</w:t>
      </w:r>
      <w:r>
        <w:t xml:space="preserve">, l’esposizione occupazionale sostanziale allo stare in piedi è associata a sintomi lombari con</w:t>
      </w:r>
      <w:r>
        <w:t xml:space="preserve"> </w:t>
      </w:r>
      <w:r>
        <w:rPr>
          <w:b/>
          <w:bCs/>
        </w:rPr>
        <w:t xml:space="preserve">OR 1,31 (IC 95% 1,10–1,56)</w:t>
      </w:r>
      <w:r>
        <w:t xml:space="preserve">. Gli autori dichiarano le proprie conclusioni provvisorie (Coenen, 2018, PMID 27884862).</w:t>
      </w:r>
      <w:r>
        <w:t xml:space="preserve"> </w:t>
      </w:r>
      <w:r>
        <w:rPr>
          <w:i/>
          <w:iCs/>
        </w:rPr>
        <w:t xml:space="preserve">Misurato su popolazioni di lavoratori esposti alla stazione eretta, non su persone con dismetria documentata; ed è un’associazione in larghissima parte trasversale, non una causa: dice che la dose conta, non che toglierla curi.</w:t>
      </w:r>
      <w:r>
        <w:t xml:space="preserve"> </w:t>
      </w:r>
      <w:r>
        <w:rPr>
          <w:b/>
          <w:bCs/>
        </w:rPr>
        <w:t xml:space="preserve">IPOTESI</w:t>
      </w:r>
      <w:r>
        <w:t xml:space="preserve"> </w:t>
      </w:r>
      <w:r>
        <w:rPr>
          <w:i/>
          <w:iCs/>
        </w:rPr>
        <w:t xml:space="preserve">(meccanismo coerente, nessuno studio)</w:t>
      </w:r>
      <w:r>
        <w:t xml:space="preserve"> </w:t>
      </w:r>
      <w:r>
        <w:t xml:space="preserve">che sia la dismetria a</w:t>
      </w:r>
      <w:r>
        <w:t xml:space="preserve"> </w:t>
      </w:r>
      <w:r>
        <w:rPr>
          <w:b/>
          <w:bCs/>
        </w:rPr>
        <w:t xml:space="preserve">causare</w:t>
      </w:r>
      <w:r>
        <w:t xml:space="preserve"> </w:t>
      </w:r>
      <w:r>
        <w:t xml:space="preserve">il danno, e qui con prove contrarie: su 576 scheletri, nessuna correlazione con la degenerazione articolare (Liu, 2018, PMID 29705080).</w:t>
      </w:r>
    </w:p>
    <w:p>
      <w:pPr>
        <w:pStyle w:val="FirstParagraph"/>
      </w:pPr>
      <w:r>
        <w:rPr>
          <w:b/>
          <w:bCs/>
        </w:rPr>
        <w:t xml:space="preserve">Come si vede addosso al paziente.</w:t>
      </w:r>
      <w:r>
        <w:t xml:space="preserve"> </w:t>
      </w:r>
      <w:r>
        <w:t xml:space="preserve">Il dolore sta dallo stesso lato</w:t>
      </w:r>
      <w:r>
        <w:t xml:space="preserve"> </w:t>
      </w:r>
      <w:r>
        <w:rPr>
          <w:b/>
          <w:bCs/>
        </w:rPr>
        <w:t xml:space="preserve">da anni</w:t>
      </w:r>
      <w:r>
        <w:t xml:space="preserve">, non da settimane. Peggiora dopo camminate lunghe e giornate in piedi, mai dopo un gesto singolo. Il consumo asimmetrico della scarpa appartiene qui: è un indizio, non una misura.</w:t>
      </w:r>
    </w:p>
    <w:p>
      <w:pPr>
        <w:pStyle w:val="BodyText"/>
      </w:pPr>
      <w:r>
        <w:rPr>
          <w:b/>
          <w:bCs/>
        </w:rPr>
        <w:t xml:space="preserve">E qui sta la regola di lato, che il resto del documento dà per scontata.</w:t>
      </w:r>
      <w:r>
        <w:t xml:space="preserve"> </w:t>
      </w:r>
      <w:r>
        <w:t xml:space="preserve">Chiedi su quale gamba si appoggia in fila alla posta, e confrontala con il lato che fa male. Se coincidono comanda la dose accumulata. Se non coincidono guarda la geometria e il riferimento sbagliato. Una sola eccezione è già misurata:</w:t>
      </w:r>
      <w:r>
        <w:t xml:space="preserve"> </w:t>
      </w:r>
      <w:r>
        <w:rPr>
          <w:b/>
          <w:bCs/>
        </w:rPr>
        <w:t xml:space="preserve">il ginocchio artrosico ha l’associazione più forte dal lato corto</w:t>
      </w:r>
      <w:r>
        <w:t xml:space="preserve"> </w:t>
      </w:r>
      <w:r>
        <w:t xml:space="preserve">(Harvey, 2010, PMID 20194234). E non è esclusiva, perché nella stessa coorte l’artrosi sintomatica</w:t>
      </w:r>
      <w:r>
        <w:t xml:space="preserve"> </w:t>
      </w:r>
      <w:r>
        <w:rPr>
          <w:b/>
          <w:bCs/>
        </w:rPr>
        <w:t xml:space="preserve">incidente</w:t>
      </w:r>
      <w:r>
        <w:t xml:space="preserve"> </w:t>
      </w:r>
      <w:r>
        <w:t xml:space="preserve">è aumentata anche dal lato</w:t>
      </w:r>
      <w:r>
        <w:t xml:space="preserve"> </w:t>
      </w:r>
      <w:r>
        <w:rPr>
          <w:b/>
          <w:bCs/>
        </w:rPr>
        <w:t xml:space="preserve">lungo</w:t>
      </w:r>
      <w:r>
        <w:t xml:space="preserve"> </w:t>
      </w:r>
      <w:r>
        <w:t xml:space="preserve">(13% contro 9%; OR 1,5, IC 1,0–2,1).</w:t>
      </w:r>
      <w:r>
        <w:t xml:space="preserve"> </w:t>
      </w:r>
      <w:r>
        <w:rPr>
          <w:b/>
          <w:bCs/>
        </w:rPr>
        <w:t xml:space="preserve">Il lato corto orienta l’esame, non lo chiude:</w:t>
      </w:r>
      <w:r>
        <w:t xml:space="preserve"> </w:t>
      </w:r>
      <w:r>
        <w:t xml:space="preserve">se il ginocchio che fa male sta dal lato lungo, lo guardi comunque. È RAGIONAMENTO</w:t>
      </w:r>
      <w:r>
        <w:t xml:space="preserve"> </w:t>
      </w:r>
      <w:r>
        <w:rPr>
          <w:i/>
          <w:iCs/>
        </w:rPr>
        <w:t xml:space="preserve">(cornice clinica, non una prova)</w:t>
      </w:r>
      <w:r>
        <w:t xml:space="preserve">, tranne il ginocchio.</w:t>
      </w:r>
    </w:p>
    <w:p>
      <w:pPr>
        <w:pStyle w:val="BodyText"/>
      </w:pPr>
      <w:r>
        <w:rPr>
          <w:b/>
          <w:bCs/>
        </w:rPr>
        <w:t xml:space="preserve">La lampadina lasciata accesa giorno e notte: nessun minuto la brucia, la bolletta sì.</w:t>
      </w:r>
    </w:p>
    <w:bookmarkEnd w:id="26"/>
    <w:bookmarkStart w:id="27" w:name="X693683296fcd11e26e9cef3e5e0f6fd894b868b"/>
    <w:p>
      <w:pPr>
        <w:pStyle w:val="Heading3"/>
      </w:pPr>
      <w:r>
        <w:t xml:space="preserve">3. Il riferimento sbagliato: il bacino che imita una gamba corta</w:t>
      </w:r>
    </w:p>
    <w:p>
      <w:pPr>
        <w:pStyle w:val="FirstParagraph"/>
      </w:pPr>
      <w:r>
        <w:rPr>
          <w:b/>
          <w:bCs/>
        </w:rPr>
        <w:t xml:space="preserve">Questo meccanismo contiene due cose diverse.</w:t>
      </w:r>
      <w:r>
        <w:t xml:space="preserve"> </w:t>
      </w:r>
      <w:r>
        <w:t xml:space="preserve">Una è un difetto della misura, cioè tuo, e spiega perché ti sbagli. L’altra è un guasto vero del paziente, ed è quello che tratti.</w:t>
      </w:r>
    </w:p>
    <w:p>
      <w:pPr>
        <w:pStyle w:val="Compact"/>
        <w:numPr>
          <w:ilvl w:val="0"/>
          <w:numId w:val="1012"/>
        </w:numPr>
      </w:pPr>
      <w:r>
        <w:t xml:space="preserve">Il paziente arriva con un fianco più alto e la sensazione di una gamba più corta.</w:t>
      </w:r>
    </w:p>
    <w:p>
      <w:pPr>
        <w:pStyle w:val="Compact"/>
        <w:numPr>
          <w:ilvl w:val="0"/>
          <w:numId w:val="1012"/>
        </w:numPr>
      </w:pPr>
      <w:r>
        <w:rPr>
          <w:b/>
          <w:bCs/>
        </w:rPr>
        <w:t xml:space="preserve">Difetto di misura.</w:t>
      </w:r>
      <w:r>
        <w:t xml:space="preserve"> </w:t>
      </w:r>
      <w:r>
        <w:t xml:space="preserve">Il reperto che tutti usano è l’altezza di creste e spine iliache. Quel reperto dipende dalla forma dell’osso quanto dalla sua posizione, e la forma da sola arriva a 16 millimetri.</w:t>
      </w:r>
    </w:p>
    <w:p>
      <w:pPr>
        <w:pStyle w:val="Compact"/>
        <w:numPr>
          <w:ilvl w:val="0"/>
          <w:numId w:val="1012"/>
        </w:numPr>
      </w:pPr>
      <w:r>
        <w:rPr>
          <w:b/>
          <w:bCs/>
        </w:rPr>
        <w:t xml:space="preserve">Guasto vero.</w:t>
      </w:r>
      <w:r>
        <w:t xml:space="preserve"> </w:t>
      </w:r>
      <w:r>
        <w:t xml:space="preserve">Sopra questa variabilità si sommano rigidità dell’anca, deficit di estensione del ginocchio e limitazione di caviglia. Questi spostano davvero qualcosa, e si misurano in gradi con uno strumento.</w:t>
      </w:r>
    </w:p>
    <w:p>
      <w:pPr>
        <w:pStyle w:val="Compact"/>
        <w:numPr>
          <w:ilvl w:val="0"/>
          <w:numId w:val="1012"/>
        </w:numPr>
      </w:pPr>
      <w:r>
        <w:t xml:space="preserve">Il risultato è un segno esterno che nessuno sa scomporre con le mani: forma, posizione e corsa mancante danno lo stesso fianco alto.</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due cose sui reperi pelvici. La prima: sono asimmetrici per forma (Preece, 2008, PMID 19119397; Badii, 2003, PMID 12811280). La seconda: la loro palpazione non raggiunge un accordo utilizzabile. Su otto studi il kappa medio è</w:t>
      </w:r>
      <w:r>
        <w:t xml:space="preserve"> </w:t>
      </w:r>
      <w:r>
        <w:rPr>
          <w:b/>
          <w:bCs/>
        </w:rPr>
        <w:t xml:space="preserve">0,27</w:t>
      </w:r>
      <w:r>
        <w:t xml:space="preserve">, e gli autori concludono che i metodi attuali non sostengono l’uso clinico (Cooperstein, 2016, PMID 27069265).</w:t>
      </w:r>
      <w:r>
        <w:t xml:space="preserve"> </w:t>
      </w:r>
      <w:r>
        <w:rPr>
          <w:b/>
          <w:bCs/>
        </w:rPr>
        <w:t xml:space="preserve">DIMOSTRATO</w:t>
      </w:r>
      <w:r>
        <w:t xml:space="preserve"> </w:t>
      </w:r>
      <w:r>
        <w:rPr>
          <w:i/>
          <w:iCs/>
        </w:rPr>
        <w:t xml:space="preserve">(studi sull’uomo, solidi)</w:t>
      </w:r>
      <w:r>
        <w:t xml:space="preserve"> </w:t>
      </w:r>
      <w:r>
        <w:t xml:space="preserve">che il deficit di estensione del ginocchio è associato alla dismetria misurata (Fournier, 2023, PMID 37209935) —</w:t>
      </w:r>
      <w:r>
        <w:t xml:space="preserve"> </w:t>
      </w:r>
      <w:r>
        <w:rPr>
          <w:i/>
          <w:iCs/>
        </w:rPr>
        <w:t xml:space="preserve">il salto di popolazione è dichiarato in «Le strutture in gioco»</w:t>
      </w:r>
      <w:r>
        <w:t xml:space="preserve">.</w:t>
      </w:r>
      <w:r>
        <w:t xml:space="preserve"> </w:t>
      </w:r>
      <w:r>
        <w:rPr>
          <w:b/>
          <w:bCs/>
        </w:rPr>
        <w:t xml:space="preserve">IPOTESI</w:t>
      </w:r>
      <w:r>
        <w:t xml:space="preserve"> </w:t>
      </w:r>
      <w:r>
        <w:rPr>
          <w:i/>
          <w:iCs/>
        </w:rPr>
        <w:t xml:space="preserve">(meccanismo coerente, nessuno studio)</w:t>
      </w:r>
      <w:r>
        <w:t xml:space="preserve"> </w:t>
      </w:r>
      <w:r>
        <w:t xml:space="preserve">che una</w:t>
      </w:r>
      <w:r>
        <w:t xml:space="preserve"> </w:t>
      </w:r>
      <w:r>
        <w:t xml:space="preserve">“rotazione dell’iliaco”</w:t>
      </w:r>
      <w:r>
        <w:t xml:space="preserve"> </w:t>
      </w:r>
      <w:r>
        <w:t xml:space="preserve">sia uno stato meccanico riconoscibile e reversibile: nessuno l’ha misurata come tale.</w:t>
      </w:r>
    </w:p>
    <w:p>
      <w:pPr>
        <w:pStyle w:val="FirstParagraph"/>
      </w:pPr>
      <w:r>
        <w:rPr>
          <w:b/>
          <w:bCs/>
        </w:rPr>
        <w:t xml:space="preserve">Come si vede addosso al paziente.</w:t>
      </w:r>
      <w:r>
        <w:t xml:space="preserve"> </w:t>
      </w:r>
      <w:r>
        <w:t xml:space="preserve">Non c’è nessuna differenza documentata sotto carico, oppure ce n’è una molto più piccola di quella che le mani suggeriscono: la sensazione è forte e la misura è muta. Spesso c’è un’anca rigida in rotazione o un ginocchio che non estende, dal lato</w:t>
      </w:r>
      <w:r>
        <w:t xml:space="preserve"> </w:t>
      </w:r>
      <w:r>
        <w:t xml:space="preserve">“corto”</w:t>
      </w:r>
      <w:r>
        <w:t xml:space="preserve">.</w:t>
      </w:r>
    </w:p>
    <w:p>
      <w:pPr>
        <w:pStyle w:val="BodyText"/>
      </w:pPr>
      <w:r>
        <w:rPr>
          <w:b/>
          <w:bCs/>
        </w:rPr>
        <w:t xml:space="preserve">La bilancia da cucina che segna 200 grammi con il piatto vuoto: tutto quello che pesi dopo è sbagliato, e la bilancia funziona benissimo.</w:t>
      </w:r>
    </w:p>
    <w:bookmarkEnd w:id="27"/>
    <w:bookmarkStart w:id="28" w:name="la-parola-che-è-diventata-un-sintomo"/>
    <w:p>
      <w:pPr>
        <w:pStyle w:val="Heading3"/>
      </w:pPr>
      <w:r>
        <w:t xml:space="preserve">4. La parola che è diventata un sintomo</w:t>
      </w:r>
    </w:p>
    <w:p>
      <w:pPr>
        <w:pStyle w:val="Compact"/>
        <w:numPr>
          <w:ilvl w:val="0"/>
          <w:numId w:val="1013"/>
        </w:numPr>
      </w:pPr>
      <w:r>
        <w:t xml:space="preserve">Qualcuno dice al paziente che ha una gamba più corta. La frase resta senza numero, senza esame e senza spiegazione.</w:t>
      </w:r>
    </w:p>
    <w:p>
      <w:pPr>
        <w:pStyle w:val="Compact"/>
        <w:numPr>
          <w:ilvl w:val="0"/>
          <w:numId w:val="1013"/>
        </w:numPr>
      </w:pPr>
      <w:r>
        <w:t xml:space="preserve">Da quel momento il paziente</w:t>
      </w:r>
      <w:r>
        <w:t xml:space="preserve"> </w:t>
      </w:r>
      <w:r>
        <w:rPr>
          <w:b/>
          <w:bCs/>
        </w:rPr>
        <w:t xml:space="preserve">cerca</w:t>
      </w:r>
      <w:r>
        <w:t xml:space="preserve"> </w:t>
      </w:r>
      <w:r>
        <w:t xml:space="preserve">l’asimmetria: la vede nei pantaloni, nelle scarpe, nello specchio.</w:t>
      </w:r>
    </w:p>
    <w:p>
      <w:pPr>
        <w:pStyle w:val="Compact"/>
        <w:numPr>
          <w:ilvl w:val="0"/>
          <w:numId w:val="1013"/>
        </w:numPr>
      </w:pPr>
      <w:r>
        <w:t xml:space="preserve">La sensazione di essere storto diventa un sintomo a sé, indipendente dai millimetri. Lui sceglie i comportamenti coerenti con l’etichetta: si controlla, si corregge, evita il carico su quel lato. E così alimenta il meccanismo 2.</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l’etichetta cambia le aspettative. L’esperimento è randomizzato e basato su scenari: 1.375 partecipanti con e senza mal di schiena, sei bracci in cieco. Le parole che evocano danno strutturale aumentano la gravità percepita e il bisogno percepito di esami e di chirurgia. E riducono l’aspettativa di guarigione (O’Keeffe,</w:t>
      </w:r>
      <w:r>
        <w:t xml:space="preserve"> </w:t>
      </w:r>
      <w:r>
        <w:rPr>
          <w:i/>
          <w:iCs/>
        </w:rPr>
        <w:t xml:space="preserve">Eur J Pain</w:t>
      </w:r>
      <w:r>
        <w:t xml:space="preserve"> </w:t>
      </w:r>
      <w:r>
        <w:t xml:space="preserve">2022, PMID 35616226).</w:t>
      </w:r>
      <w:r>
        <w:t xml:space="preserve"> </w:t>
      </w:r>
      <w:r>
        <w:rPr>
          <w:i/>
          <w:iCs/>
        </w:rPr>
        <w:t xml:space="preserve">Misurato con etichette del mal di schiena su un caso ipotetico, non con la parola</w:t>
      </w:r>
      <w:r>
        <w:rPr>
          <w:i/>
          <w:iCs/>
        </w:rPr>
        <w:t xml:space="preserve"> </w:t>
      </w:r>
      <w:r>
        <w:rPr>
          <w:i/>
          <w:iCs/>
        </w:rPr>
        <w:t xml:space="preserve">“dismetria”</w:t>
      </w:r>
      <w:r>
        <w:rPr>
          <w:i/>
          <w:iCs/>
        </w:rPr>
        <w:t xml:space="preserve"> </w:t>
      </w:r>
      <w:r>
        <w:rPr>
          <w:i/>
          <w:iCs/>
        </w:rPr>
        <w:t xml:space="preserve">e non su pazienti trattati: il salto è di intervento, e l’esito sono intenzioni e credenze, non il decorso clinico.</w:t>
      </w:r>
      <w:r>
        <w:t xml:space="preserve"> </w:t>
      </w:r>
      <w:r>
        <w:t xml:space="preserve">Nello stesso esperimento, però,</w:t>
      </w:r>
      <w:r>
        <w:t xml:space="preserve"> </w:t>
      </w:r>
      <w:r>
        <w:rPr>
          <w:b/>
          <w:bCs/>
        </w:rPr>
        <w:t xml:space="preserve">fra le sei etichette non è emersa nessuna differenza</w:t>
      </w:r>
      <w:r>
        <w:t xml:space="preserve"> </w:t>
      </w:r>
      <w:r>
        <w:t xml:space="preserve">sulle credenze riguardo ad attività fisica e lavoro: la parola sposta come il paziente giudica la gravità, non da sola quello che si sente autorizzato a fare.</w:t>
      </w:r>
      <w:r>
        <w:t xml:space="preserve"> </w:t>
      </w:r>
      <w:r>
        <w:rPr>
          <w:b/>
          <w:bCs/>
        </w:rPr>
        <w:t xml:space="preserve">PROBABILE</w:t>
      </w:r>
      <w:r>
        <w:t xml:space="preserve"> </w:t>
      </w:r>
      <w:r>
        <w:rPr>
          <w:i/>
          <w:iCs/>
        </w:rPr>
        <w:t xml:space="preserve">(razionale forte, prove parziali)</w:t>
      </w:r>
      <w:r>
        <w:t xml:space="preserve"> </w:t>
      </w:r>
      <w:r>
        <w:t xml:space="preserve">che il fenomeno che lui ti descrive esista e si misuri. Il confronto è fra 51 persone con lombalgia cronica e 51 controlli sani. Quasi tutti i pazienti segnalano sintomi di percezione distorta del proprio corpo, e nei sani quei sintomi sono molto rari (Wand, 2014, PMID 24614834).</w:t>
      </w:r>
      <w:r>
        <w:t xml:space="preserve"> </w:t>
      </w:r>
      <w:r>
        <w:rPr>
          <w:i/>
          <w:iCs/>
        </w:rPr>
        <w:t xml:space="preserve">Misurato su 51 persone con lombalgia cronica con un questionario appena sviluppato, non su persone con dismetria: dice che la percezione distorta del proprio corpo è frequente in chi ha dolore da anni. Non dice che nasca dalla frase</w:t>
      </w:r>
      <w:r>
        <w:rPr>
          <w:i/>
          <w:iCs/>
        </w:rPr>
        <w:t xml:space="preserve"> </w:t>
      </w:r>
      <w:r>
        <w:rPr>
          <w:i/>
          <w:iCs/>
        </w:rPr>
        <w:t xml:space="preserve">“hai una gamba più corta”</w:t>
      </w:r>
      <w:r>
        <w:rPr>
          <w:i/>
          <w:iCs/>
        </w:rPr>
        <w:t xml:space="preserve">, né che spiegargliela la corregga.</w:t>
      </w:r>
      <w:r>
        <w:t xml:space="preserve"> </w:t>
      </w:r>
      <w:r>
        <w:rPr>
          <w:b/>
          <w:bCs/>
        </w:rPr>
        <w:t xml:space="preserve">IPOTESI</w:t>
      </w:r>
      <w:r>
        <w:t xml:space="preserve"> </w:t>
      </w:r>
      <w:r>
        <w:rPr>
          <w:i/>
          <w:iCs/>
        </w:rPr>
        <w:t xml:space="preserve">(meccanismo coerente, nessuno studio)</w:t>
      </w:r>
      <w:r>
        <w:t xml:space="preserve"> </w:t>
      </w:r>
      <w:r>
        <w:t xml:space="preserve">che questo meccanismo pesi su questo quadro.</w:t>
      </w:r>
    </w:p>
    <w:p>
      <w:pPr>
        <w:pStyle w:val="FirstParagraph"/>
      </w:pPr>
      <w:r>
        <w:rPr>
          <w:b/>
          <w:bCs/>
        </w:rPr>
        <w:t xml:space="preserve">Come si vede addosso al paziente.</w:t>
      </w:r>
      <w:r>
        <w:t xml:space="preserve"> </w:t>
      </w:r>
      <w:r>
        <w:t xml:space="preserve">Racconta l’episodio con la data. Descrive la sensazione di essere storto prima e più a lungo del dolore. La misura, quando c’è, è molto più piccola di quanto il racconto lasci pensare.</w:t>
      </w:r>
    </w:p>
    <w:p>
      <w:pPr>
        <w:pStyle w:val="BodyText"/>
      </w:pPr>
      <w:r>
        <w:rPr>
          <w:b/>
          <w:bCs/>
        </w:rPr>
        <w:t xml:space="preserve">Il quadro storto in salotto: finché nessuno te lo fa notare non lo vedi, e da quel giorno non vedi altro.</w:t>
      </w:r>
    </w:p>
    <w:bookmarkEnd w:id="28"/>
    <w:bookmarkStart w:id="29" w:name="il-muscolo-che-non-stacca-mai"/>
    <w:p>
      <w:pPr>
        <w:pStyle w:val="Heading3"/>
      </w:pPr>
      <w:r>
        <w:t xml:space="preserve">5. Il muscolo che non stacca mai</w:t>
      </w:r>
    </w:p>
    <w:p>
      <w:pPr>
        <w:pStyle w:val="Compact"/>
        <w:numPr>
          <w:ilvl w:val="0"/>
          <w:numId w:val="1014"/>
        </w:numPr>
      </w:pPr>
      <w:r>
        <w:rPr>
          <w:b/>
          <w:bCs/>
        </w:rPr>
        <w:t xml:space="preserve">I due glutei medi si accendono insieme invece di alternarsi.</w:t>
      </w:r>
      <w:r>
        <w:t xml:space="preserve"> </w:t>
      </w:r>
      <w:r>
        <w:t xml:space="preserve">È un modo di stare in piedi, non una reazione al dolore: nei soggetti sani che poi sviluppano dolore quel pattern è già presente prima.</w:t>
      </w:r>
    </w:p>
    <w:p>
      <w:pPr>
        <w:pStyle w:val="Compact"/>
        <w:numPr>
          <w:ilvl w:val="0"/>
          <w:numId w:val="1014"/>
        </w:numPr>
      </w:pPr>
      <w:r>
        <w:t xml:space="preserve">Senza alternanza il carico non ruota mai fra le strutture, e le stesse strutture restano sotto carico per ore. È il rovescio esatto della</w:t>
      </w:r>
      <w:r>
        <w:t xml:space="preserve"> </w:t>
      </w:r>
      <w:r>
        <w:t xml:space="preserve">“simmetria di turni”</w:t>
      </w:r>
      <w:r>
        <w:t xml:space="preserve">.</w:t>
      </w:r>
    </w:p>
    <w:p>
      <w:pPr>
        <w:pStyle w:val="Compact"/>
        <w:numPr>
          <w:ilvl w:val="0"/>
          <w:numId w:val="1014"/>
        </w:numPr>
      </w:pPr>
      <w:r>
        <w:t xml:space="preserve">Le stesse unità motorie restano accese a basso livello per ore. L’ingresso dei nocicettori muscolari e legamentosi resta acceso di fondo, e la somma cresce a ogni minuto in piedi. Il dolore compare per accumulo, non per un evento. Ed è la ragione per cui arriva</w:t>
      </w:r>
      <w:r>
        <w:t xml:space="preserve"> </w:t>
      </w:r>
      <w:r>
        <w:rPr>
          <w:b/>
          <w:bCs/>
        </w:rPr>
        <w:t xml:space="preserve">dopo un tempo prevedibile</w:t>
      </w:r>
      <w:r>
        <w:t xml:space="preserve">.</w:t>
      </w:r>
    </w:p>
    <w:p>
      <w:pPr>
        <w:pStyle w:val="Compact"/>
        <w:numPr>
          <w:ilvl w:val="0"/>
          <w:numId w:val="1014"/>
        </w:numPr>
      </w:pPr>
      <w:r>
        <w:t xml:space="preserve">Il paziente riduce il tempo in piedi, la tolleranza scende ancora, e il ciclo si chiude.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La co-attivazione</w:t>
      </w:r>
      <w:r>
        <w:t xml:space="preserve"> </w:t>
      </w:r>
      <w:r>
        <w:rPr>
          <w:b/>
          <w:bCs/>
        </w:rPr>
        <w:t xml:space="preserve">bilaterale</w:t>
      </w:r>
      <w:r>
        <w:t xml:space="preserve"> </w:t>
      </w:r>
      <w:r>
        <w:t xml:space="preserve">del gluteo medio distingue chi sviluppa dolore in stazione eretta da chi non lo sviluppa, ed è giudicata predisponente e non adattativa (Nelson-Wong, 2010, PMID 19467607). Una superficie inclinata che rompe quel pattern riduce il dolore del</w:t>
      </w:r>
      <w:r>
        <w:t xml:space="preserve"> </w:t>
      </w:r>
      <w:r>
        <w:rPr>
          <w:b/>
          <w:bCs/>
        </w:rPr>
        <w:t xml:space="preserve">59,4%</w:t>
      </w:r>
      <w:r>
        <w:t xml:space="preserve"> </w:t>
      </w:r>
      <w:r>
        <w:t xml:space="preserve">(PMID 20116046).</w:t>
      </w:r>
      <w:r>
        <w:t xml:space="preserve"> </w:t>
      </w:r>
      <w:r>
        <w:rPr>
          <w:i/>
          <w:iCs/>
        </w:rPr>
        <w:t xml:space="preserve">Misurato su soggetti sani in una prova di stazione eretta prolungata: il salto è di popolazione.</w:t>
      </w:r>
    </w:p>
    <w:p>
      <w:pPr>
        <w:pStyle w:val="FirstParagraph"/>
      </w:pPr>
      <w:r>
        <w:rPr>
          <w:b/>
          <w:bCs/>
        </w:rPr>
        <w:t xml:space="preserve">Come si vede addosso al paziente.</w:t>
      </w:r>
      <w:r>
        <w:t xml:space="preserve"> </w:t>
      </w:r>
      <w:r>
        <w:t xml:space="preserve">Il segno non è su quale lato si appoggia: è che</w:t>
      </w:r>
      <w:r>
        <w:t xml:space="preserve"> </w:t>
      </w:r>
      <w:r>
        <w:rPr>
          <w:b/>
          <w:bCs/>
        </w:rPr>
        <w:t xml:space="preserve">non cambia mai lato</w:t>
      </w:r>
      <w:r>
        <w:t xml:space="preserve">. Il dolore compare</w:t>
      </w:r>
      <w:r>
        <w:t xml:space="preserve"> </w:t>
      </w:r>
      <w:r>
        <w:rPr>
          <w:b/>
          <w:bCs/>
        </w:rPr>
        <w:t xml:space="preserve">dopo</w:t>
      </w:r>
      <w:r>
        <w:t xml:space="preserve"> </w:t>
      </w:r>
      <w:r>
        <w:t xml:space="preserve">un tempo prevedibile in piedi, sempre lo stesso. Cammina meglio di quanto stia fermo.</w:t>
      </w:r>
    </w:p>
    <w:p>
      <w:pPr>
        <w:pStyle w:val="BlockText"/>
      </w:pPr>
      <w:r>
        <w:rPr>
          <w:b/>
          <w:bCs/>
        </w:rPr>
        <w:t xml:space="preserve">Attenzione.</w:t>
      </w:r>
      <w:r>
        <w:t xml:space="preserve"> </w:t>
      </w:r>
      <w:r>
        <w:rPr>
          <w:i/>
          <w:iCs/>
        </w:rPr>
        <w:t xml:space="preserve">“Sta peggio fermo che camminando”</w:t>
      </w:r>
      <w:r>
        <w:t xml:space="preserve"> </w:t>
      </w:r>
      <w:r>
        <w:t xml:space="preserve">da solo non basta. Migliorare con il movimento e non con il riposo è anche il carattere del dolore infiammatorio. Prima di attribuire il quadro a questo meccanismo, chiedi rigidità mattutina, risveglio notturno ed età d’esordio. Vedi «Che cos’è davvero»,</w:t>
      </w:r>
      <w:r>
        <w:t xml:space="preserve"> </w:t>
      </w:r>
      <w:r>
        <w:rPr>
          <w:i/>
          <w:iCs/>
        </w:rPr>
        <w:t xml:space="preserve">Cosa non è</w:t>
      </w:r>
      <w:r>
        <w:t xml:space="preserve">.</w:t>
      </w:r>
    </w:p>
    <w:p>
      <w:pPr>
        <w:pStyle w:val="FirstParagraph"/>
      </w:pPr>
      <w:r>
        <w:rPr>
          <w:b/>
          <w:bCs/>
        </w:rPr>
        <w:t xml:space="preserve">La moto tenuta in equilibrio da fermi: sembra immobile, e chi la tiene sta lavorando tutto il tempo.</w:t>
      </w:r>
    </w:p>
    <w:p>
      <w:pPr>
        <w:pStyle w:val="BodyText"/>
      </w:pPr>
      <w:r>
        <w:rPr>
          <w:b/>
          <w:bCs/>
        </w:rPr>
        <w:t xml:space="preserve">Le tre cose da ricordare, più una</w:t>
      </w:r>
    </w:p>
    <w:p>
      <w:pPr>
        <w:pStyle w:val="Compact"/>
        <w:numPr>
          <w:ilvl w:val="0"/>
          <w:numId w:val="1015"/>
        </w:numPr>
      </w:pPr>
      <w:r>
        <w:t xml:space="preserve">Solo il primo meccanismo riguarda l’osso; è l’unico su cui la tua mano non ha una leva diretta, e non è il più frequente.</w:t>
      </w:r>
    </w:p>
    <w:p>
      <w:pPr>
        <w:pStyle w:val="Compact"/>
        <w:numPr>
          <w:ilvl w:val="0"/>
          <w:numId w:val="1015"/>
        </w:numPr>
      </w:pPr>
      <w:r>
        <w:t xml:space="preserve">Il terzo è il più frequente, e contiene due cose diverse: un difetto della tua misura e una corsa articolare che manca davvero.</w:t>
      </w:r>
    </w:p>
    <w:p>
      <w:pPr>
        <w:pStyle w:val="Compact"/>
        <w:numPr>
          <w:ilvl w:val="0"/>
          <w:numId w:val="1015"/>
        </w:numPr>
      </w:pPr>
      <w:r>
        <w:t xml:space="preserve">Il quinto si riconosce da un dettaglio che nessuno chiede — non cambia mai lato — e va sempre discriminato dal dolore infiammatorio.</w:t>
      </w:r>
    </w:p>
    <w:p>
      <w:pPr>
        <w:pStyle w:val="Compact"/>
        <w:numPr>
          <w:ilvl w:val="0"/>
          <w:numId w:val="1015"/>
        </w:numPr>
      </w:pPr>
      <w:r>
        <w:rPr>
          <w:b/>
          <w:bCs/>
        </w:rPr>
        <w:t xml:space="preserve">Perché ci sei tu.</w:t>
      </w:r>
      <w:r>
        <w:t xml:space="preserve"> </w:t>
      </w:r>
      <w:r>
        <w:t xml:space="preserve">Su 3.026 persone, chi ha almeno un centimetro di differenza ha artrosi sintomatica del ginocchio del lato</w:t>
      </w:r>
      <w:r>
        <w:t xml:space="preserve"> </w:t>
      </w:r>
      <w:r>
        <w:rPr>
          <w:b/>
          <w:bCs/>
        </w:rPr>
        <w:t xml:space="preserve">corto</w:t>
      </w:r>
      <w:r>
        <w:t xml:space="preserve"> </w:t>
      </w:r>
      <w:r>
        <w:t xml:space="preserve">nel 30% dei casi contro il 17% (Harvey, 2010, PMID 20194234).</w:t>
      </w:r>
      <w:r>
        <w:t xml:space="preserve"> </w:t>
      </w:r>
      <w:r>
        <w:rPr>
          <w:b/>
          <w:bCs/>
        </w:rPr>
        <w:t xml:space="preserve">Per te:</w:t>
      </w:r>
      <w:r>
        <w:t xml:space="preserve"> </w:t>
      </w:r>
      <w:r>
        <w:t xml:space="preserve">il ginocchio del lato corto è un distretto che nessuno guarda, perché lui porta la schiena. Questo ti autorizza a esaminarlo sempre e a metterne l’estensione in cartella. Non ti autorizza a dirgli che la sua dismetria gli sta consumando il ginocchio: su 576 scheletri la stessa relazione non c’era.</w:t>
      </w:r>
    </w:p>
    <w:p>
      <w:r>
        <w:pict>
          <v:rect style="width:0;height:1.5pt" o:hralign="center" o:hrstd="t" o:hr="t"/>
        </w:pict>
      </w:r>
    </w:p>
    <w:bookmarkEnd w:id="29"/>
    <w:bookmarkEnd w:id="30"/>
    <w:bookmarkStart w:id="34" w:name="capitolo-6-non-è-una-condizione-sola"/>
    <w:p>
      <w:pPr>
        <w:pStyle w:val="Heading2"/>
      </w:pPr>
      <w:r>
        <w:t xml:space="preserve">Capitolo 6 — Non è una condizione sola</w:t>
      </w:r>
    </w:p>
    <w:p>
      <w:pPr>
        <w:pStyle w:val="BlockText"/>
      </w:pPr>
      <w:r>
        <w:rPr>
          <w:b/>
          <w:bCs/>
        </w:rPr>
        <w:t xml:space="preserve">In una riga:</w:t>
      </w:r>
      <w:r>
        <w:t xml:space="preserve"> </w:t>
      </w:r>
      <w:r>
        <w:t xml:space="preserve">cinque pattern clinici e due cancelli, e il pattern più frequente è quello in cui l’osso non c’entra.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Anatomica piccola, 5–20 mm</w:t>
            </w:r>
          </w:p>
        </w:tc>
        <w:tc>
          <w:tcPr/>
          <w:p>
            <w:pPr>
              <w:pStyle w:val="Compact"/>
            </w:pPr>
            <w:r>
              <w:t xml:space="preserve">Misura in teleradiografia</w:t>
            </w:r>
          </w:p>
        </w:tc>
        <w:tc>
          <w:tcPr/>
          <w:p>
            <w:pPr>
              <w:pStyle w:val="Compact"/>
            </w:pPr>
            <w:r>
              <w:t xml:space="preserve">Base inclinata, dose</w:t>
            </w:r>
          </w:p>
        </w:tc>
        <w:tc>
          <w:tcPr/>
          <w:p>
            <w:pPr>
              <w:pStyle w:val="Compact"/>
            </w:pPr>
            <w:r>
              <w:t xml:space="preserve">Abbastanza, sul carico</w:t>
            </w:r>
          </w:p>
        </w:tc>
      </w:tr>
      <w:tr>
        <w:tc>
          <w:tcPr/>
          <w:p>
            <w:pPr>
              <w:pStyle w:val="Compact"/>
            </w:pPr>
            <w:r>
              <w:t xml:space="preserve">Anatomica grande, oltre 20 mm</w:t>
            </w:r>
          </w:p>
        </w:tc>
        <w:tc>
          <w:tcPr/>
          <w:p>
            <w:pPr>
              <w:pStyle w:val="Compact"/>
            </w:pPr>
            <w:r>
              <w:t xml:space="preserve">Misura, zoppia visibile</w:t>
            </w:r>
          </w:p>
        </w:tc>
        <w:tc>
          <w:tcPr/>
          <w:p>
            <w:pPr>
              <w:pStyle w:val="Compact"/>
            </w:pPr>
            <w:r>
              <w:t xml:space="preserve">Base inclinata</w:t>
            </w:r>
          </w:p>
        </w:tc>
        <w:tc>
          <w:tcPr/>
          <w:p>
            <w:pPr>
              <w:pStyle w:val="Compact"/>
            </w:pPr>
            <w:r>
              <w:t xml:space="preserve">Poco, sul dolore</w:t>
            </w:r>
          </w:p>
        </w:tc>
      </w:tr>
      <w:tr>
        <w:tc>
          <w:tcPr/>
          <w:p>
            <w:pPr>
              <w:pStyle w:val="Compact"/>
            </w:pPr>
            <w:r>
              <w:t xml:space="preserve">Apparente, senza differenza ossea</w:t>
            </w:r>
          </w:p>
        </w:tc>
        <w:tc>
          <w:tcPr/>
          <w:p>
            <w:pPr>
              <w:pStyle w:val="Compact"/>
            </w:pPr>
            <w:r>
              <w:t xml:space="preserve">Misura muta, anca rigida</w:t>
            </w:r>
          </w:p>
        </w:tc>
        <w:tc>
          <w:tcPr/>
          <w:p>
            <w:pPr>
              <w:pStyle w:val="Compact"/>
            </w:pPr>
            <w:r>
              <w:t xml:space="preserve">Riferimento sbagliato</w:t>
            </w:r>
          </w:p>
        </w:tc>
        <w:tc>
          <w:tcPr/>
          <w:p>
            <w:pPr>
              <w:pStyle w:val="Compact"/>
            </w:pPr>
            <w:r>
              <w:t xml:space="preserve">Molto, sul movimento</w:t>
            </w:r>
          </w:p>
        </w:tc>
      </w:tr>
      <w:tr>
        <w:tc>
          <w:tcPr/>
          <w:p>
            <w:pPr>
              <w:pStyle w:val="Compact"/>
            </w:pPr>
            <w:r>
              <w:t xml:space="preserve">Da percezione</w:t>
            </w:r>
          </w:p>
        </w:tc>
        <w:tc>
          <w:tcPr/>
          <w:p>
            <w:pPr>
              <w:pStyle w:val="Compact"/>
            </w:pPr>
            <w:r>
              <w:t xml:space="preserve">Racconto forte, misura piccola</w:t>
            </w:r>
          </w:p>
        </w:tc>
        <w:tc>
          <w:tcPr/>
          <w:p>
            <w:pPr>
              <w:pStyle w:val="Compact"/>
            </w:pPr>
            <w:r>
              <w:t xml:space="preserve">Parola diventata sintomo</w:t>
            </w:r>
          </w:p>
        </w:tc>
        <w:tc>
          <w:tcPr/>
          <w:p>
            <w:pPr>
              <w:pStyle w:val="Compact"/>
            </w:pPr>
            <w:r>
              <w:t xml:space="preserve">Abbastanza, informazione</w:t>
            </w:r>
          </w:p>
        </w:tc>
      </w:tr>
      <w:tr>
        <w:tc>
          <w:tcPr/>
          <w:p>
            <w:pPr>
              <w:pStyle w:val="Compact"/>
            </w:pPr>
            <w:r>
              <w:t xml:space="preserve">Con sensibilizzazione diffusa</w:t>
            </w:r>
          </w:p>
        </w:tc>
        <w:tc>
          <w:tcPr/>
          <w:p>
            <w:pPr>
              <w:pStyle w:val="Compact"/>
            </w:pPr>
            <w:r>
              <w:t xml:space="preserve">Misure simmetriche, provocazione negativa</w:t>
            </w:r>
          </w:p>
        </w:tc>
        <w:tc>
          <w:tcPr/>
          <w:p>
            <w:pPr>
              <w:pStyle w:val="Compact"/>
            </w:pPr>
            <w:r>
              <w:t xml:space="preserve">Muscolo che non stacca, più la parola</w:t>
            </w:r>
          </w:p>
        </w:tc>
        <w:tc>
          <w:tcPr/>
          <w:p>
            <w:pPr>
              <w:pStyle w:val="Compact"/>
            </w:pPr>
            <w:r>
              <w:t xml:space="preserve">Abbastanza, su attivazione e informazione</w:t>
            </w:r>
          </w:p>
        </w:tc>
      </w:tr>
    </w:tbl>
    <w:p>
      <w:pPr>
        <w:pStyle w:val="BodyText"/>
      </w:pPr>
      <w:r>
        <w:rPr>
          <w:b/>
          <w:bCs/>
        </w:rPr>
        <w:t xml:space="preserve">Anatomica piccola (5–20 millimetri).</w:t>
      </w:r>
      <w:r>
        <w:t xml:space="preserve"> </w:t>
      </w:r>
      <w:r>
        <w:t xml:space="preserve">È la fascia in cui la letteratura non ha stabilito nessuna soglia di correzione. Lavori sulla tolleranza al carico e sull’escursione di anca e ginocchio. La decisione sul rialzo non è tua: la segnali al medico con la misura in mano.</w:t>
      </w:r>
    </w:p>
    <w:p>
      <w:pPr>
        <w:pStyle w:val="BodyText"/>
      </w:pPr>
      <w:r>
        <w:rPr>
          <w:b/>
          <w:bCs/>
        </w:rPr>
        <w:t xml:space="preserve">Anatomica grande (oltre 20 millimetri).</w:t>
      </w:r>
      <w:r>
        <w:t xml:space="preserve"> </w:t>
      </w:r>
      <w:r>
        <w:t xml:space="preserve">È quasi sempre secondaria, e il percorso è ortopedico. Se il paziente non è già seguito, il canale medico è prioritario e si apre contestualmente, come nel GIALLO. Il tuo lavoro esiste ed è limitato: dolore e tolleranza del distretto che paga, mai la lunghezza.</w:t>
      </w:r>
    </w:p>
    <w:p>
      <w:pPr>
        <w:pStyle w:val="BlockText"/>
      </w:pPr>
      <w:r>
        <w:rPr>
          <w:b/>
          <w:bCs/>
        </w:rPr>
        <w:t xml:space="preserve">Attenzione.</w:t>
      </w:r>
      <w:r>
        <w:t xml:space="preserve"> </w:t>
      </w:r>
      <w:r>
        <w:t xml:space="preserve">Quando la differenza nasce da una</w:t>
      </w:r>
      <w:r>
        <w:t xml:space="preserve"> </w:t>
      </w:r>
      <w:r>
        <w:rPr>
          <w:b/>
          <w:bCs/>
        </w:rPr>
        <w:t xml:space="preserve">protesi d’anca</w:t>
      </w:r>
      <w:r>
        <w:t xml:space="preserve">, la combinazione flessione, adduzione e rotazione interna è la posizione descritta come a rischio per la via posteriore. Vale anche se la protesi è stata impiantata anni fa, e anche se il paziente sta bene. Il numero, per non gonfiare: il tasso di lussazione dopo protesi per via posteriore si colloca intorno al 2%. Ed è lo stesso —</w:t>
      </w:r>
      <w:r>
        <w:t xml:space="preserve"> </w:t>
      </w:r>
      <w:r>
        <w:rPr>
          <w:b/>
          <w:bCs/>
        </w:rPr>
        <w:t xml:space="preserve">2,2% contro 2,0% su 6.900 pazienti</w:t>
      </w:r>
      <w:r>
        <w:t xml:space="preserve"> </w:t>
      </w:r>
      <w:r>
        <w:t xml:space="preserve">— in chi riceve le precauzioni post-operatorie e in chi non le riceve (Crompton, 2020, PMID 32718213). Quel 2% è per di più un tasso di coorte post-operatoria, non il rischio di una manovra. E le precauzioni studiate riguardano il periodo subito dopo l’intervento, non il protesizzato di anni fa. Nessuno ha misurato che cosa succeda quando una mano porta a fine corsa la rotazione interna di un’anca protesizzata.</w:t>
      </w:r>
      <w:r>
        <w:t xml:space="preserve"> </w:t>
      </w:r>
      <w:r>
        <w:rPr>
          <w:b/>
          <w:bCs/>
        </w:rPr>
        <w:t xml:space="preserve">La nostra condotta su quell’anca è una scelta di prudenza, non un dato: si misura fino al primo arresto e non oltre, e non è né marker né leva.</w:t>
      </w:r>
      <w:r>
        <w:t xml:space="preserve"> </w:t>
      </w:r>
      <w:r>
        <w:t xml:space="preserve">Chiedi sempre via d’accesso e data dell’intervento.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w:t>
      </w:r>
    </w:p>
    <w:p>
      <w:pPr>
        <w:pStyle w:val="FirstParagraph"/>
      </w:pPr>
      <w:r>
        <w:rPr>
          <w:b/>
          <w:bCs/>
        </w:rPr>
        <w:t xml:space="preserve">Apparente, senza differenza ossea.</w:t>
      </w:r>
      <w:r>
        <w:t xml:space="preserve"> </w:t>
      </w:r>
      <w:r>
        <w:t xml:space="preserve">È il pattern più frequente e il più tuo. È anche l’unico in cui l’escursione che recuperi è misurabile nella stessa seduta.</w:t>
      </w:r>
    </w:p>
    <w:p>
      <w:pPr>
        <w:pStyle w:val="BodyText"/>
      </w:pPr>
      <w:r>
        <w:rPr>
          <w:b/>
          <w:bCs/>
        </w:rPr>
        <w:t xml:space="preserve">Da percezione.</w:t>
      </w:r>
      <w:r>
        <w:t xml:space="preserve"> </w:t>
      </w:r>
      <w:r>
        <w:t xml:space="preserve">La sensazione di essere storto precede il dolore di anni. Non è una stranezza sua e non è suggestionabilità: la percezione distorta del proprio corpo è quasi universale in chi ha lombalgia da anni, e quasi assente nei sani (Wand, 2014, PMID 24614834).</w:t>
      </w:r>
      <w:r>
        <w:t xml:space="preserve"> </w:t>
      </w:r>
      <w:r>
        <w:rPr>
          <w:i/>
          <w:iCs/>
        </w:rPr>
        <w:t xml:space="preserve">Misurato in lombalgia cronica, non in dismetria: il salto è di popolazione.</w:t>
      </w:r>
      <w:r>
        <w:t xml:space="preserve"> </w:t>
      </w:r>
      <w:r>
        <w:t xml:space="preserve">Il lavoro è di informazione, e non è di serie B: è quello che al paziente manca da più tempo.</w:t>
      </w:r>
    </w:p>
    <w:p>
      <w:pPr>
        <w:pStyle w:val="BodyText"/>
      </w:pPr>
      <w:r>
        <w:rPr>
          <w:b/>
          <w:bCs/>
        </w:rPr>
        <w:t xml:space="preserve">Con sensibilizzazione diffusa.</w:t>
      </w:r>
      <w:r>
        <w:t xml:space="preserve"> </w:t>
      </w:r>
      <w:r>
        <w:t xml:space="preserve">Oltre a quello che dice la tabella, cerca questi segni: dolore sproporzionato al carico, soglia dolorosa bassa anche lontano dalla zona sintomatica, sonno disturbato, spesso un esordio dentro un periodo di vita. È il quadro che la letteratura sul dolore chiama</w:t>
      </w:r>
      <w:r>
        <w:t xml:space="preserve"> </w:t>
      </w:r>
      <w:r>
        <w:rPr>
          <w:b/>
          <w:bCs/>
        </w:rPr>
        <w:t xml:space="preserve">nociplastico</w:t>
      </w:r>
      <w:r>
        <w:t xml:space="preserve">. Ed è il sottotipo in cui insistere sul tessuto locale peggiora le cose.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Che questo sia un sottotipo distinto della dismetria non l’ha misurato nessuno. I criteri clinici del dolore nociplastico esistono e sono formalizzati (Kosek,</w:t>
      </w:r>
      <w:r>
        <w:t xml:space="preserve"> </w:t>
      </w:r>
      <w:r>
        <w:rPr>
          <w:i/>
          <w:iCs/>
        </w:rPr>
        <w:t xml:space="preserve">Pain</w:t>
      </w:r>
      <w:r>
        <w:t xml:space="preserve"> </w:t>
      </w:r>
      <w:r>
        <w:t xml:space="preserve">2021, PMID 33974577; per la lombalgia, Nijs,</w:t>
      </w:r>
      <w:r>
        <w:t xml:space="preserve"> </w:t>
      </w:r>
      <w:r>
        <w:rPr>
          <w:i/>
          <w:iCs/>
        </w:rPr>
        <w:t xml:space="preserve">Lancet Rheumatol</w:t>
      </w:r>
      <w:r>
        <w:t xml:space="preserve"> </w:t>
      </w:r>
      <w:r>
        <w:t xml:space="preserve">2024, PMID 38310923): la novità qui è il riconoscimento, non il fenomeno.</w:t>
      </w:r>
    </w:p>
    <w:bookmarkStart w:id="31" w:name="X0be5f106f394c4aeb9941b17be5e14aea1aa1a8"/>
    <w:p>
      <w:pPr>
        <w:pStyle w:val="Heading3"/>
      </w:pPr>
      <w:r>
        <w:t xml:space="preserve">Come si presume il sottotipo quando la lastra non c’è</w:t>
      </w:r>
    </w:p>
    <w:p>
      <w:pPr>
        <w:pStyle w:val="FirstParagraph"/>
      </w:pPr>
      <w:r>
        <w:t xml:space="preserve">Tre pattern su cinque si riconoscono da una teleradiografia, e</w:t>
      </w:r>
      <w:r>
        <w:t xml:space="preserve"> </w:t>
      </w:r>
      <w:r>
        <w:rPr>
          <w:b/>
          <w:bCs/>
        </w:rPr>
        <w:t xml:space="preserve">quasi nessuno ce l’ha</w:t>
      </w:r>
      <w:r>
        <w:t xml:space="preserve">. È la situazione che il triage chiama GIALLO e dichiara la norma. Senza quell’esame il sottotipo non è una classificazione: è una</w:t>
      </w:r>
      <w:r>
        <w:t xml:space="preserve"> </w:t>
      </w:r>
      <w:r>
        <w:rPr>
          <w:b/>
          <w:bCs/>
        </w:rPr>
        <w:t xml:space="preserve">presunzione di lavoro</w:t>
      </w:r>
      <w:r>
        <w:t xml:space="preserve">, e va scritta come tale in cartella.</w:t>
      </w:r>
    </w:p>
    <w:p>
      <w:pPr>
        <w:pStyle w:val="Compact"/>
        <w:numPr>
          <w:ilvl w:val="0"/>
          <w:numId w:val="1016"/>
        </w:numPr>
      </w:pPr>
      <w:r>
        <w:rPr>
          <w:b/>
          <w:bCs/>
        </w:rPr>
        <w:t xml:space="preserve">Rotazione d’anca ed estensione di ginocchio asimmetriche, con la sensazione di gamba corta dal lato rigido</w:t>
      </w:r>
      <w:r>
        <w:t xml:space="preserve"> </w:t>
      </w:r>
      <w:r>
        <w:t xml:space="preserve">→ presunzione</w:t>
      </w:r>
      <w:r>
        <w:t xml:space="preserve"> </w:t>
      </w:r>
      <w:r>
        <w:rPr>
          <w:b/>
          <w:bCs/>
        </w:rPr>
        <w:t xml:space="preserve">apparente</w:t>
      </w:r>
      <w:r>
        <w:t xml:space="preserve">.</w:t>
      </w:r>
    </w:p>
    <w:p>
      <w:pPr>
        <w:pStyle w:val="Compact"/>
        <w:numPr>
          <w:ilvl w:val="0"/>
          <w:numId w:val="1016"/>
        </w:numPr>
      </w:pPr>
      <w:r>
        <w:rPr>
          <w:b/>
          <w:bCs/>
        </w:rPr>
        <w:t xml:space="preserve">Esame simmetrico, racconto tutto sulla parola ricevuta</w:t>
      </w:r>
      <w:r>
        <w:t xml:space="preserve"> </w:t>
      </w:r>
      <w:r>
        <w:t xml:space="preserve">→ presunzione</w:t>
      </w:r>
      <w:r>
        <w:t xml:space="preserve"> </w:t>
      </w:r>
      <w:r>
        <w:rPr>
          <w:b/>
          <w:bCs/>
        </w:rPr>
        <w:t xml:space="preserve">da percezione</w:t>
      </w:r>
      <w:r>
        <w:t xml:space="preserve">.</w:t>
      </w:r>
    </w:p>
    <w:p>
      <w:pPr>
        <w:pStyle w:val="Compact"/>
        <w:numPr>
          <w:ilvl w:val="0"/>
          <w:numId w:val="1016"/>
        </w:numPr>
      </w:pPr>
      <w:r>
        <w:rPr>
          <w:b/>
          <w:bCs/>
        </w:rPr>
        <w:t xml:space="preserve">Provocazione negativa su sei, dolore sproporzionato, soglia bassa a distanza</w:t>
      </w:r>
      <w:r>
        <w:t xml:space="preserve"> </w:t>
      </w:r>
      <w:r>
        <w:t xml:space="preserve">→ presunzione</w:t>
      </w:r>
      <w:r>
        <w:t xml:space="preserve"> </w:t>
      </w:r>
      <w:r>
        <w:rPr>
          <w:b/>
          <w:bCs/>
        </w:rPr>
        <w:t xml:space="preserve">con sensibilizzazione diffusa</w:t>
      </w:r>
      <w:r>
        <w:t xml:space="preserve">.</w:t>
      </w:r>
    </w:p>
    <w:p>
      <w:pPr>
        <w:pStyle w:val="Compact"/>
        <w:numPr>
          <w:ilvl w:val="0"/>
          <w:numId w:val="1016"/>
        </w:numPr>
      </w:pPr>
      <w:r>
        <w:rPr>
          <w:b/>
          <w:bCs/>
        </w:rPr>
        <w:t xml:space="preserve">Trauma noto di femore o tibia, protesi, allungamento, zoppia visibile</w:t>
      </w:r>
      <w:r>
        <w:t xml:space="preserve"> </w:t>
      </w:r>
      <w:r>
        <w:t xml:space="preserve">→ presunzione</w:t>
      </w:r>
      <w:r>
        <w:t xml:space="preserve"> </w:t>
      </w:r>
      <w:r>
        <w:rPr>
          <w:b/>
          <w:bCs/>
        </w:rPr>
        <w:t xml:space="preserve">anatomica</w:t>
      </w:r>
      <w:r>
        <w:t xml:space="preserve">, canale medico prioritario.</w:t>
      </w:r>
    </w:p>
    <w:p>
      <w:pPr>
        <w:pStyle w:val="Compact"/>
        <w:numPr>
          <w:ilvl w:val="0"/>
          <w:numId w:val="1016"/>
        </w:numPr>
      </w:pPr>
      <w:r>
        <w:rPr>
          <w:b/>
          <w:bCs/>
        </w:rPr>
        <w:t xml:space="preserve">Nessuno di questi</w:t>
      </w:r>
      <w:r>
        <w:t xml:space="preserve"> </w:t>
      </w:r>
      <w:r>
        <w:t xml:space="preserve">→ resta sospesa fra anatomica piccola e apparente, e la condotta è la stessa: escursione, tolleranza al carico, dose quotidiana.</w:t>
      </w:r>
    </w:p>
    <w:p>
      <w:pPr>
        <w:pStyle w:val="FirstParagraph"/>
      </w:pPr>
      <w:r>
        <w:rPr>
          <w:b/>
          <w:bCs/>
        </w:rPr>
        <w:t xml:space="preserve">Il pattern resta sospeso finché la misura non arriva, e si dice anche al paziente.</w:t>
      </w:r>
      <w:r>
        <w:t xml:space="preserve"> </w:t>
      </w:r>
      <w:r>
        <w:t xml:space="preserve">La presunzione decide da dove parti, non cosa ha. È l’ipotesi che scrivi a matita in cima al foglio: guida il lavoro, e resta a matita.</w:t>
      </w:r>
    </w:p>
    <w:bookmarkEnd w:id="31"/>
    <w:bookmarkStart w:id="32" w:name="i-due-cancelli"/>
    <w:p>
      <w:pPr>
        <w:pStyle w:val="Heading3"/>
      </w:pPr>
      <w:r>
        <w:t xml:space="preserve">I due cancelli</w:t>
      </w:r>
    </w:p>
    <w:p>
      <w:pPr>
        <w:pStyle w:val="FirstParagraph"/>
      </w:pPr>
      <w:r>
        <w:t xml:space="preserve">I due cancelli non sono varianti di presentazione: cambiano l’uscita del triage.</w:t>
      </w:r>
      <w:r>
        <w:t xml:space="preserve"> </w:t>
      </w:r>
      <w:r>
        <w:rPr>
          <w:b/>
          <w:bCs/>
        </w:rPr>
        <w:t xml:space="preserve">In entrambi si sospende anche il lavoro attivo</w:t>
      </w:r>
      <w:r>
        <w:t xml:space="preserve">, non solo quello manuale.</w:t>
      </w:r>
    </w:p>
    <w:p>
      <w:pPr>
        <w:pStyle w:val="BodyText"/>
      </w:pPr>
      <w:r>
        <w:rPr>
          <w:b/>
          <w:bCs/>
        </w:rPr>
        <w:t xml:space="preserve">Il bambino o l’adolescente con asimmetria nuova o zoppia.</w:t>
      </w:r>
      <w:r>
        <w:t xml:space="preserve"> </w:t>
      </w:r>
      <w:r>
        <w:t xml:space="preserve">La prima domanda non è quale diagnosi ortopedica. È</w:t>
      </w:r>
      <w:r>
        <w:t xml:space="preserve"> </w:t>
      </w:r>
      <w:r>
        <w:rPr>
          <w:b/>
          <w:bCs/>
        </w:rPr>
        <w:t xml:space="preserve">se c’è febbre e se carica il peso</w:t>
      </w:r>
      <w:r>
        <w:t xml:space="preserve">: le due uscite, con i loro tempi e la differenziale, stanno per esteso in «Dove finisce il nostro campo». Nell’adolescente senza febbre va esclusa l’epifisiolisi della testa femorale. I segni sono zoppia, dolore vago all’anca, alla coscia</w:t>
      </w:r>
      <w:r>
        <w:t xml:space="preserve"> </w:t>
      </w:r>
      <w:r>
        <w:rPr>
          <w:b/>
          <w:bCs/>
        </w:rPr>
        <w:t xml:space="preserve">o al ginocchio</w:t>
      </w:r>
      <w:r>
        <w:t xml:space="preserve">, piede extraruotato, rotazione interna ridotta. Il ritardo diagnostico è frequente proprio perché il ragazzo si lamenta del ginocchio (Katz, 2006, PMID 16493917). Fino alla valutazione, l’arto</w:t>
      </w:r>
      <w:r>
        <w:t xml:space="preserve"> </w:t>
      </w:r>
      <w:r>
        <w:rPr>
          <w:b/>
          <w:bCs/>
        </w:rPr>
        <w:t xml:space="preserve">non si carica</w:t>
      </w:r>
      <w:r>
        <w:t xml:space="preserve">.</w:t>
      </w:r>
    </w:p>
    <w:p>
      <w:pPr>
        <w:pStyle w:val="BodyText"/>
      </w:pPr>
      <w:r>
        <w:rPr>
          <w:b/>
          <w:bCs/>
        </w:rPr>
        <w:t xml:space="preserve">La dismetria post-chirurgica recente.</w:t>
      </w:r>
      <w:r>
        <w:t xml:space="preserve"> </w:t>
      </w:r>
      <w:r>
        <w:t xml:space="preserve">Il percorso è già in carico a un chirurgo. Qualunque cosa tu faccia — mani ed esercizio — va comunicata per iscritto a chi ha operato.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per entrambi i cancelli: cambiano l’uscita del triage e il mandato, non sono pattern clinici.</w:t>
      </w:r>
    </w:p>
    <w:bookmarkEnd w:id="32"/>
    <w:bookmarkStart w:id="33" w:name="condizioni-spesso-associate"/>
    <w:p>
      <w:pPr>
        <w:pStyle w:val="Heading3"/>
      </w:pPr>
      <w:r>
        <w:t xml:space="preserve">Condizioni spesso associate</w:t>
      </w:r>
    </w:p>
    <w:p>
      <w:pPr>
        <w:pStyle w:val="FirstParagraph"/>
      </w:pPr>
      <w:r>
        <w:t xml:space="preserve">Deviazione della colonna in piedi →</w:t>
      </w:r>
      <w:r>
        <w:t xml:space="preserve"> </w:t>
      </w:r>
      <w:r>
        <w:rPr>
          <w:b/>
          <w:bCs/>
        </w:rPr>
        <w:t xml:space="preserve">Pseudoscoliosi</w:t>
      </w:r>
      <w:r>
        <w:t xml:space="preserve">. Lombalgia cronica prevalente →</w:t>
      </w:r>
      <w:r>
        <w:t xml:space="preserve"> </w:t>
      </w:r>
      <w:r>
        <w:rPr>
          <w:b/>
          <w:bCs/>
        </w:rPr>
        <w:t xml:space="preserve">Lombalgia</w:t>
      </w:r>
      <w:r>
        <w:t xml:space="preserve">. Dolore oltre il ginocchio →</w:t>
      </w:r>
      <w:r>
        <w:t xml:space="preserve"> </w:t>
      </w:r>
      <w:r>
        <w:rPr>
          <w:b/>
          <w:bCs/>
        </w:rPr>
        <w:t xml:space="preserve">Sciatalgia</w:t>
      </w:r>
      <w:r>
        <w:t xml:space="preserve">. Dolore al ginocchio del lato corto →</w:t>
      </w:r>
      <w:r>
        <w:t xml:space="preserve"> </w:t>
      </w:r>
      <w:r>
        <w:rPr>
          <w:b/>
          <w:bCs/>
        </w:rPr>
        <w:t xml:space="preserve">Artrosi</w:t>
      </w:r>
      <w:r>
        <w:t xml:space="preserve">.</w:t>
      </w:r>
    </w:p>
    <w:p>
      <w:pPr>
        <w:pStyle w:val="BodyText"/>
      </w:pPr>
      <w:r>
        <w:rPr>
          <w:b/>
          <w:bCs/>
        </w:rPr>
        <w:t xml:space="preserve">Le tre cose da ricordare, più una</w:t>
      </w:r>
    </w:p>
    <w:p>
      <w:pPr>
        <w:pStyle w:val="Compact"/>
        <w:numPr>
          <w:ilvl w:val="0"/>
          <w:numId w:val="1017"/>
        </w:numPr>
      </w:pPr>
      <w:r>
        <w:t xml:space="preserve">Il pattern più frequente è quello senza differenza ossea, ed è quello in cui puoi di più.</w:t>
      </w:r>
    </w:p>
    <w:p>
      <w:pPr>
        <w:pStyle w:val="Compact"/>
        <w:numPr>
          <w:ilvl w:val="0"/>
          <w:numId w:val="1017"/>
        </w:numPr>
      </w:pPr>
      <w:r>
        <w:t xml:space="preserve">Senza teleradiografia il sottotipo è una presunzione di lavoro, e si scrive in cartella come presunzione.</w:t>
      </w:r>
    </w:p>
    <w:p>
      <w:pPr>
        <w:pStyle w:val="Compact"/>
        <w:numPr>
          <w:ilvl w:val="0"/>
          <w:numId w:val="1017"/>
        </w:numPr>
      </w:pPr>
      <w:r>
        <w:t xml:space="preserve">I due cancelli non si trattano, e sospendono anche gli esercizi.</w:t>
      </w:r>
    </w:p>
    <w:p>
      <w:pPr>
        <w:pStyle w:val="Compact"/>
        <w:numPr>
          <w:ilvl w:val="0"/>
          <w:numId w:val="1017"/>
        </w:numPr>
      </w:pPr>
      <w:r>
        <w:rPr>
          <w:b/>
          <w:bCs/>
        </w:rPr>
        <w:t xml:space="preserve">Perché ci sei tu.</w:t>
      </w:r>
      <w:r>
        <w:t xml:space="preserve"> </w:t>
      </w:r>
      <w:r>
        <w:t xml:space="preserve">Su 576 scheletri fra 40 e 79 anni non è emersa nessuna correlazione fra differenza di lunghezza e degenerazione di colonna, anca e ginocchio (Liu, 2018, PMID 29705080).</w:t>
      </w:r>
      <w:r>
        <w:t xml:space="preserve"> </w:t>
      </w:r>
      <w:r>
        <w:rPr>
          <w:b/>
          <w:bCs/>
        </w:rPr>
        <w:t xml:space="preserve">Per te:</w:t>
      </w:r>
      <w:r>
        <w:t xml:space="preserve"> </w:t>
      </w:r>
      <w:r>
        <w:t xml:space="preserve">sulla dismetria piccola in un paziente senza dolore non ci sei. Questo ti autorizza a riconoscerlo, a spiegarlo e a lasciarlo andare senza un ciclo. Non ti autorizza a trattare i millimetri in nessuno degli altri sottotipi: il bersaglio resta il sintomo e la funzione.</w:t>
      </w:r>
    </w:p>
    <w:p>
      <w:r>
        <w:pict>
          <v:rect style="width:0;height:1.5pt" o:hralign="center" o:hrstd="t" o:hr="t"/>
        </w:pict>
      </w:r>
    </w:p>
    <w:bookmarkEnd w:id="33"/>
    <w:bookmarkEnd w:id="34"/>
    <w:bookmarkStart w:id="40" w:name="capitolo-7-la-lettura-osteopatica"/>
    <w:p>
      <w:pPr>
        <w:pStyle w:val="Heading2"/>
      </w:pPr>
      <w:r>
        <w:t xml:space="preserve">Capitolo 7 — La lettura osteopatica</w:t>
      </w:r>
    </w:p>
    <w:p>
      <w:pPr>
        <w:pStyle w:val="BlockText"/>
      </w:pPr>
      <w:r>
        <w:rPr>
          <w:b/>
          <w:bCs/>
        </w:rPr>
        <w:t xml:space="preserve">In una riga:</w:t>
      </w:r>
      <w:r>
        <w:t xml:space="preserve"> </w:t>
      </w:r>
      <w:r>
        <w:t xml:space="preserve">nella popolazione pesa di più il biomeccanico e il comportamentale conta più di quanto sembri — ma</w:t>
      </w:r>
      <w:r>
        <w:t xml:space="preserve"> </w:t>
      </w:r>
      <w:r>
        <w:rPr>
          <w:b/>
          <w:bCs/>
        </w:rPr>
        <w:t xml:space="preserve">quale modello comandi nella persona che hai davanti si decide nel capitolo dopo</w:t>
      </w:r>
      <w:r>
        <w:t xml:space="preserve">, non qui.</w:t>
      </w:r>
    </w:p>
    <w:bookmarkStart w:id="35" w:name="biomeccanico-strutturale"/>
    <w:p>
      <w:pPr>
        <w:pStyle w:val="Heading3"/>
      </w:pPr>
      <w:r>
        <w:t xml:space="preserve">Biomeccanico-Strutturale</w:t>
      </w:r>
    </w:p>
    <w:p>
      <w:pPr>
        <w:pStyle w:val="FirstParagraph"/>
      </w:pPr>
      <w:r>
        <w:rPr>
          <w:b/>
          <w:bCs/>
        </w:rPr>
        <w:t xml:space="preserve">Cosa governa qui.</w:t>
      </w:r>
      <w:r>
        <w:t xml:space="preserve"> </w:t>
      </w:r>
      <w:r>
        <w:t xml:space="preserve">La geometria del carico: come la differenza fra i due lati arriva al piano sacrale, come viene assorbita sopra e sotto, e come i turni di carico si distribuiscono.</w:t>
      </w:r>
      <w:r>
        <w:t xml:space="preserve"> </w:t>
      </w:r>
      <w:r>
        <w:rPr>
          <w:b/>
          <w:bCs/>
        </w:rPr>
        <w:t xml:space="preserve">Quali meccanismi:</w:t>
      </w:r>
      <w:r>
        <w:t xml:space="preserve"> </w:t>
      </w:r>
      <w:r>
        <w:t xml:space="preserve">la base inclinata, la dose asimmetrica accumulata, il riferimento sbagliato, e — per la parte dei turni — il muscolo che non stacca mai.</w:t>
      </w:r>
    </w:p>
    <w:p>
      <w:pPr>
        <w:pStyle w:val="BodyText"/>
      </w:pPr>
      <w:r>
        <w:rPr>
          <w:b/>
          <w:bCs/>
        </w:rPr>
        <w:t xml:space="preserve">Gli attori.</w:t>
      </w:r>
      <w:r>
        <w:t xml:space="preserve"> </w:t>
      </w:r>
      <w:r>
        <w:t xml:space="preserve">Le strutture di «Le strutture in gioco», meno gli abduttori.</w:t>
      </w:r>
    </w:p>
    <w:p>
      <w:pPr>
        <w:pStyle w:val="BodyText"/>
      </w:pPr>
      <w:r>
        <w:rPr>
          <w:b/>
          <w:bCs/>
        </w:rPr>
        <w:t xml:space="preserve">I segnali che pesa.</w:t>
      </w:r>
      <w:r>
        <w:t xml:space="preserve"> </w:t>
      </w:r>
      <w:r>
        <w:t xml:space="preserve">Differenza documentata sotto carico. Sintomo in piedi che si allevia da seduto. Rotazione d’anca ridotta da un lato. Deficit di estensione di un ginocchio. Dorsiflessione asimmetrica.</w:t>
      </w:r>
      <w:r>
        <w:t xml:space="preserve"> </w:t>
      </w:r>
      <w:r>
        <w:rPr>
          <w:b/>
          <w:bCs/>
        </w:rPr>
        <w:t xml:space="preserve">La leva che rivendica:</w:t>
      </w:r>
      <w:r>
        <w:t xml:space="preserve"> </w:t>
      </w:r>
      <w:r>
        <w:t xml:space="preserve">l’escursione di anca, ginocchio e caviglia.</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la geometria e le sue misure (Marsiolo e Aulisa, 2023, PMID 37685636). Sono la stessa etichetta e lo stesso disegno che le danno «Le strutture in gioco» e «Cosa si rompe», dove i numeri sono scritti per esteso.</w:t>
      </w:r>
      <w:r>
        <w:t xml:space="preserve"> </w:t>
      </w:r>
      <w:r>
        <w:rPr>
          <w:b/>
          <w:bCs/>
        </w:rPr>
        <w:t xml:space="preserve">DIMOSTRATO</w:t>
      </w:r>
      <w:r>
        <w:t xml:space="preserve"> </w:t>
      </w:r>
      <w:r>
        <w:rPr>
          <w:i/>
          <w:iCs/>
        </w:rPr>
        <w:t xml:space="preserve">(studi sull’uomo, solidi)</w:t>
      </w:r>
      <w:r>
        <w:t xml:space="preserve"> </w:t>
      </w:r>
      <w:r>
        <w:t xml:space="preserve">il contributo del deficit di estensione del ginocchio alla dismetria misurata (Fournier, 2023, PMID 37209935),</w:t>
      </w:r>
      <w:r>
        <w:t xml:space="preserve"> </w:t>
      </w:r>
      <w:r>
        <w:rPr>
          <w:i/>
          <w:iCs/>
        </w:rPr>
        <w:t xml:space="preserve">misurato in persone con artrosi di ginocchio o a rischio: il salto è di popolazione</w:t>
      </w:r>
      <w:r>
        <w:t xml:space="preserve">.</w:t>
      </w:r>
      <w:r>
        <w:t xml:space="preserve"> </w:t>
      </w:r>
      <w:r>
        <w:rPr>
          <w:b/>
          <w:bCs/>
        </w:rPr>
        <w:t xml:space="preserve">IPOTESI</w:t>
      </w:r>
      <w:r>
        <w:t xml:space="preserve"> </w:t>
      </w:r>
      <w:r>
        <w:rPr>
          <w:i/>
          <w:iCs/>
        </w:rPr>
        <w:t xml:space="preserve">(meccanismo coerente, nessuno studio)</w:t>
      </w:r>
      <w:r>
        <w:t xml:space="preserve"> </w:t>
      </w:r>
      <w:r>
        <w:t xml:space="preserve">che modificare la posizione delle ossa del bacino sia possibile con le mani, e qui con prove contrarie (Tullberg, 1998, PMID 9615363).</w:t>
      </w:r>
    </w:p>
    <w:bookmarkEnd w:id="35"/>
    <w:bookmarkStart w:id="36" w:name="neurologico"/>
    <w:p>
      <w:pPr>
        <w:pStyle w:val="Heading3"/>
      </w:pPr>
      <w:r>
        <w:t xml:space="preserve">Neurologico</w:t>
      </w:r>
    </w:p>
    <w:p>
      <w:pPr>
        <w:pStyle w:val="FirstParagraph"/>
      </w:pPr>
      <w:r>
        <w:rPr>
          <w:b/>
          <w:bCs/>
        </w:rPr>
        <w:t xml:space="preserve">Cosa governa qui.</w:t>
      </w:r>
      <w:r>
        <w:t xml:space="preserve"> </w:t>
      </w:r>
      <w:r>
        <w:t xml:space="preserve">La soglia a cui un carico ripetuto diventa dolore, il modo in cui quel dolore si distribuisce, e il livello di attivazione del sistema.</w:t>
      </w:r>
      <w:r>
        <w:t xml:space="preserve"> </w:t>
      </w:r>
      <w:r>
        <w:rPr>
          <w:b/>
          <w:bCs/>
        </w:rPr>
        <w:t xml:space="preserve">Quali meccanismi:</w:t>
      </w:r>
      <w:r>
        <w:t xml:space="preserve"> </w:t>
      </w:r>
      <w:r>
        <w:t xml:space="preserve">la dose asimmetrica accumulata, il muscolo che non stacca mai, e la componente di nocicezione del riferimento sbagliato.</w:t>
      </w:r>
    </w:p>
    <w:p>
      <w:pPr>
        <w:pStyle w:val="BodyText"/>
      </w:pPr>
      <w:r>
        <w:rPr>
          <w:b/>
          <w:bCs/>
        </w:rPr>
        <w:t xml:space="preserve">Gli attori.</w:t>
      </w:r>
      <w:r>
        <w:t xml:space="preserve"> </w:t>
      </w:r>
      <w:r>
        <w:t xml:space="preserve">Le afferenze nocicettive della sacroiliaca e delle sue zone di riferimento, e le unità motorie del gluteo medio che restano accese.</w:t>
      </w:r>
    </w:p>
    <w:p>
      <w:pPr>
        <w:pStyle w:val="BodyText"/>
      </w:pPr>
      <w:r>
        <w:rPr>
          <w:b/>
          <w:bCs/>
        </w:rPr>
        <w:t xml:space="preserve">I tre fenotipi del dolore, e il segno che li distingue.</w:t>
      </w:r>
      <w:r>
        <w:t xml:space="preserve"> </w:t>
      </w:r>
      <w:r>
        <w:rPr>
          <w:b/>
          <w:bCs/>
        </w:rPr>
        <w:t xml:space="preserve">Nocicettivo:</w:t>
      </w:r>
      <w:r>
        <w:t xml:space="preserve"> </w:t>
      </w:r>
      <w:r>
        <w:t xml:space="preserve">c’è proporzione fra dolore e carico, la sede è riconoscibile, il dolore si accende e si spegne con le posizioni. È il caso ordinario.</w:t>
      </w:r>
      <w:r>
        <w:t xml:space="preserve"> </w:t>
      </w:r>
      <w:r>
        <w:rPr>
          <w:b/>
          <w:bCs/>
        </w:rPr>
        <w:t xml:space="preserve">Riferito somatico:</w:t>
      </w:r>
      <w:r>
        <w:t xml:space="preserve"> </w:t>
      </w:r>
      <w:r>
        <w:t xml:space="preserve">scende lungo la gamba, anche sotto il ginocchio, ed è profondo e mal localizzato (28% dei casi con sacroiliaca provata).</w:t>
      </w:r>
      <w:r>
        <w:t xml:space="preserve"> </w:t>
      </w:r>
      <w:r>
        <w:rPr>
          <w:b/>
          <w:bCs/>
        </w:rPr>
        <w:t xml:space="preserve">Non è una radice e non cambia il tuo bersaglio.</w:t>
      </w:r>
      <w:r>
        <w:t xml:space="preserve"> </w:t>
      </w:r>
      <w:r>
        <w:t xml:space="preserve">Un dolore a banda stretta, urente, con formicolio o perdita di forza non è questo modello: è il capitolo delle bandiere rosse.</w:t>
      </w:r>
      <w:r>
        <w:t xml:space="preserve"> </w:t>
      </w:r>
      <w:r>
        <w:rPr>
          <w:b/>
          <w:bCs/>
        </w:rPr>
        <w:t xml:space="preserve">Nociplastico:</w:t>
      </w:r>
      <w:r>
        <w:t xml:space="preserve"> </w:t>
      </w:r>
      <w:r>
        <w:t xml:space="preserve">dolore sproporzionato al carico, soglia abbassata anche lontano, sonno disturbato, provocazione negativa.</w:t>
      </w:r>
    </w:p>
    <w:p>
      <w:pPr>
        <w:pStyle w:val="BodyText"/>
      </w:pPr>
      <w:r>
        <w:rPr>
          <w:b/>
          <w:bCs/>
        </w:rPr>
        <w:t xml:space="preserve">I segnali che pesa quando a comandare è l’attivazione.</w:t>
      </w:r>
      <w:r>
        <w:t xml:space="preserve"> </w:t>
      </w:r>
      <w:r>
        <w:t xml:space="preserve">Sintomo continuo e non legato al carico. Sonno spezzato. Tessuti che rispondono al primo contatto. Misure simmetriche. Test di provocazione negativi. Esordio dentro un periodo di vita. È l’elenco opposto a quello dei tre test positivi, e serve a riconoscere il paziente che le altre liste non intercettano.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il valore discriminante dei test di provocazione: tre o più positivi su sei danno sensibilità 94% e specificità 78% contro il blocco anestetico, e sei negativi escludono la sacroiliaca (Laslett,</w:t>
      </w:r>
      <w:r>
        <w:t xml:space="preserve"> </w:t>
      </w:r>
      <w:r>
        <w:rPr>
          <w:i/>
          <w:iCs/>
        </w:rPr>
        <w:t xml:space="preserve">Man Ther</w:t>
      </w:r>
      <w:r>
        <w:t xml:space="preserve"> </w:t>
      </w:r>
      <w:r>
        <w:t xml:space="preserve">2005, PMID 16038856). Con la stessa etichetta va letta la distribuzione del dolore riferito (Slipman, 2000, PMID 10724079).</w:t>
      </w:r>
      <w:r>
        <w:t xml:space="preserve"> </w:t>
      </w:r>
      <w:r>
        <w:rPr>
          <w:b/>
          <w:bCs/>
        </w:rPr>
        <w:t xml:space="preserve">IPOTESI</w:t>
      </w:r>
      <w:r>
        <w:t xml:space="preserve"> </w:t>
      </w:r>
      <w:r>
        <w:rPr>
          <w:i/>
          <w:iCs/>
        </w:rPr>
        <w:t xml:space="preserve">(meccanismo coerente, nessuno studio)</w:t>
      </w:r>
      <w:r>
        <w:t xml:space="preserve"> </w:t>
      </w:r>
      <w:r>
        <w:t xml:space="preserve">che in questa condizione esista una quota di pazienti in cui la soglia è abbassata centralmente. I criteri del dolore nociplastico esistono (Kosek, 2021, PMID 33974577), ma nessuno li ha applicati a una popolazione con dismetria documentata. È il presupposto del quarto marker del capitolo successivo.</w:t>
      </w:r>
    </w:p>
    <w:bookmarkEnd w:id="36"/>
    <w:bookmarkStart w:id="37"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Cosa il paziente crede di avere, e cosa fa di conseguenza. Qui il modello non è di contorno: è il secondo per peso.</w:t>
      </w:r>
      <w:r>
        <w:t xml:space="preserve"> </w:t>
      </w:r>
      <w:r>
        <w:rPr>
          <w:b/>
          <w:bCs/>
        </w:rPr>
        <w:t xml:space="preserve">Quali meccanismi:</w:t>
      </w:r>
      <w:r>
        <w:t xml:space="preserve"> </w:t>
      </w:r>
      <w:r>
        <w:t xml:space="preserve">la parola che è diventata un sintomo, e — attraverso le abitudini di appoggio — il muscolo che non stacca mai.</w:t>
      </w:r>
    </w:p>
    <w:p>
      <w:pPr>
        <w:pStyle w:val="BodyText"/>
      </w:pPr>
      <w:r>
        <w:rPr>
          <w:b/>
          <w:bCs/>
        </w:rPr>
        <w:t xml:space="preserve">Gli attori.</w:t>
      </w:r>
      <w:r>
        <w:t xml:space="preserve"> </w:t>
      </w:r>
      <w:r>
        <w:t xml:space="preserve">Non sono strutture, ed è l’unico modello del capitolo i cui attori non stanno in «Le strutture in gioco». Sono la parola ricevuta, le abitudini di appoggio che ne discendono, e la relazione dentro cui gliela riformuli.</w:t>
      </w:r>
    </w:p>
    <w:p>
      <w:pPr>
        <w:pStyle w:val="BodyText"/>
      </w:pPr>
      <w:r>
        <w:rPr>
          <w:b/>
          <w:bCs/>
        </w:rPr>
        <w:t xml:space="preserve">La leva che rivendica.</w:t>
      </w:r>
      <w:r>
        <w:t xml:space="preserve"> </w:t>
      </w:r>
      <w:r>
        <w:t xml:space="preserve">Il contesto e l’alleanza:</w:t>
      </w:r>
      <w:r>
        <w:t xml:space="preserve"> </w:t>
      </w:r>
      <w:r>
        <w:rPr>
          <w:i/>
          <w:iCs/>
        </w:rPr>
        <w:t xml:space="preserve">“la mano è il contesto, e la leva è quello che dici mentre la usi”</w:t>
      </w:r>
      <w:r>
        <w:t xml:space="preserve">. Sono suoi anche i tre stati del paziente del capitolo successivo.</w:t>
      </w:r>
      <w:r>
        <w:t xml:space="preserve"> </w:t>
      </w:r>
      <w:r>
        <w:rPr>
          <w:b/>
          <w:bCs/>
        </w:rPr>
        <w:t xml:space="preserve">I segnali che pesa:</w:t>
      </w:r>
      <w:r>
        <w:t xml:space="preserve"> </w:t>
      </w:r>
      <w:r>
        <w:t xml:space="preserve">racconta con precisione l’episodio in cui gliel’hanno detto; si autocorregge mentre parla; chiede se può camminare, correre, portare pesi; la sensazione di essere storto lo disturba più del dolore.</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l’etichetta cambia gravità percepita, aspettativa e bisogno percepito di esami e chirurgia (O’Keeffe, 2022, PMID 35616226).</w:t>
      </w:r>
      <w:r>
        <w:t xml:space="preserve"> </w:t>
      </w:r>
      <w:r>
        <w:rPr>
          <w:i/>
          <w:iCs/>
        </w:rPr>
        <w:t xml:space="preserve">Misurato con etichette del mal di schiena su un caso ipotetico: il salto è di intervento.</w:t>
      </w:r>
      <w:r>
        <w:t xml:space="preserve"> </w:t>
      </w:r>
      <w:r>
        <w:rPr>
          <w:b/>
          <w:bCs/>
        </w:rPr>
        <w:t xml:space="preserve">PROBABILE</w:t>
      </w:r>
      <w:r>
        <w:t xml:space="preserve"> </w:t>
      </w:r>
      <w:r>
        <w:rPr>
          <w:i/>
          <w:iCs/>
        </w:rPr>
        <w:t xml:space="preserve">(razionale forte, prove parziali)</w:t>
      </w:r>
      <w:r>
        <w:t xml:space="preserve"> </w:t>
      </w:r>
      <w:r>
        <w:t xml:space="preserve">che l’alleanza terapeutica predica l’esito. L’alleanza misurata alla seconda seduta predice funzione, dolore, disabilità ed effetto percepito a otto settimane (Ferreira, 2013, PMID 23139428); in</w:t>
      </w:r>
      <w:r>
        <w:t xml:space="preserve"> </w:t>
      </w:r>
      <w:r>
        <w:rPr>
          <w:b/>
          <w:bCs/>
        </w:rPr>
        <w:t xml:space="preserve">45 ambulatori nella pratica di routine</w:t>
      </w:r>
      <w:r>
        <w:t xml:space="preserve"> </w:t>
      </w:r>
      <w:r>
        <w:t xml:space="preserve">aggiunge varianza a un modello predittivo già validato (Alodaibi, 2021, PMID 33513231).</w:t>
      </w:r>
      <w:r>
        <w:t xml:space="preserve"> </w:t>
      </w:r>
      <w:r>
        <w:rPr>
          <w:i/>
          <w:iCs/>
        </w:rPr>
        <w:t xml:space="preserve">Misurato in persone con lombalgia, non con dismetria, e con un disegno osservazionale: dice che un’alleanza migliore va insieme a un esito migliore, non che addestrarla lo produca. Nella pratica di routine il suo contributo è di circa tre punti di varianza spiegata: è reale ed è piccolo.</w:t>
      </w:r>
      <w:r>
        <w:t xml:space="preserve"> </w:t>
      </w:r>
      <w:r>
        <w:rPr>
          <w:b/>
          <w:bCs/>
        </w:rPr>
        <w:t xml:space="preserve">IPOTESI</w:t>
      </w:r>
      <w:r>
        <w:t xml:space="preserve"> </w:t>
      </w:r>
      <w:r>
        <w:rPr>
          <w:i/>
          <w:iCs/>
        </w:rPr>
        <w:t xml:space="preserve">(meccanismo coerente, nessuno studio)</w:t>
      </w:r>
      <w:r>
        <w:t xml:space="preserve"> </w:t>
      </w:r>
      <w:r>
        <w:t xml:space="preserve">che cambiare la parola cambi l’esito clinico qui.</w:t>
      </w:r>
    </w:p>
    <w:bookmarkEnd w:id="37"/>
    <w:bookmarkStart w:id="38" w:name="metabolico-energetico"/>
    <w:p>
      <w:pPr>
        <w:pStyle w:val="Heading3"/>
      </w:pPr>
      <w:r>
        <w:t xml:space="preserve">Metabolico-Energetico</w:t>
      </w:r>
    </w:p>
    <w:p>
      <w:pPr>
        <w:pStyle w:val="FirstParagraph"/>
      </w:pPr>
      <w:r>
        <w:rPr>
          <w:b/>
          <w:bCs/>
        </w:rPr>
        <w:t xml:space="preserve">Cosa governa qui.</w:t>
      </w:r>
      <w:r>
        <w:t xml:space="preserve"> </w:t>
      </w:r>
      <w:r>
        <w:t xml:space="preserve">Il bilancio fra la dose di carico quotidiana e il recupero. Non produce un meccanismo in proprio: decide se gli altri quattro pagano o no. È lo stipendio rispetto alle spese: non è una spesa, e decide quali spese passano.</w:t>
      </w:r>
      <w:r>
        <w:t xml:space="preserve"> </w:t>
      </w:r>
      <w:r>
        <w:rPr>
          <w:b/>
          <w:bCs/>
        </w:rPr>
        <w:t xml:space="preserve">Quali meccanismi:</w:t>
      </w:r>
      <w:r>
        <w:t xml:space="preserve"> </w:t>
      </w:r>
      <w:r>
        <w:t xml:space="preserve">modula la dose asimmetrica accumulata e il muscolo che non stacca mai.</w:t>
      </w:r>
    </w:p>
    <w:p>
      <w:pPr>
        <w:pStyle w:val="BodyText"/>
      </w:pPr>
      <w:r>
        <w:rPr>
          <w:b/>
          <w:bCs/>
        </w:rPr>
        <w:t xml:space="preserve">Gli attori.</w:t>
      </w:r>
      <w:r>
        <w:t xml:space="preserve"> </w:t>
      </w:r>
      <w:r>
        <w:t xml:space="preserve">Gli abduttori d’anca e la loro capacità di alternarsi, e la tolleranza al carico dei tessuti che stanno sulla linea del peso.</w:t>
      </w:r>
    </w:p>
    <w:p>
      <w:pPr>
        <w:pStyle w:val="BodyText"/>
      </w:pPr>
      <w:r>
        <w:rPr>
          <w:b/>
          <w:bCs/>
        </w:rPr>
        <w:t xml:space="preserve">La leva che rivendica, ed è la migliore del documento.</w:t>
      </w:r>
      <w:r>
        <w:t xml:space="preserve"> </w:t>
      </w:r>
      <w:r>
        <w:t xml:space="preserve">Cammino progressivo e carico progressivo agiscono qui, e sono le uniche leve a poggiare su prove di intervento di buona qualità: il modello che sembra il più povero è quello con le prove migliori.</w:t>
      </w:r>
      <w:r>
        <w:t xml:space="preserve"> </w:t>
      </w:r>
      <w:r>
        <w:rPr>
          <w:b/>
          <w:bCs/>
        </w:rPr>
        <w:t xml:space="preserve">I segnali che pesa:</w:t>
      </w:r>
      <w:r>
        <w:t xml:space="preserve"> </w:t>
      </w:r>
      <w:r>
        <w:t xml:space="preserve">lavoro in piedi otto ore; aumento di peso insieme al peggioramento; guadagni manuali che si consumano entro la settimana mentre ore in piedi e turni di carico restano quelli.</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la dose di stazione eretta conti: l’esposizione occupazionale sostanziale allo stare in piedi è associata a sintomi lombari, OR 1,31 (IC 1,10–1,56) (Coenen, 2018, PMID 27884862) —</w:t>
      </w:r>
      <w:r>
        <w:t xml:space="preserve"> </w:t>
      </w:r>
      <w:r>
        <w:rPr>
          <w:i/>
          <w:iCs/>
        </w:rPr>
        <w:t xml:space="preserve">è un’associazione in larghissima parte trasversale, non una causa: dice che la dose conta, non che toglierla curi</w:t>
      </w:r>
      <w:r>
        <w:t xml:space="preserve">.</w:t>
      </w:r>
      <w:r>
        <w:t xml:space="preserve"> </w:t>
      </w:r>
      <w:r>
        <w:rPr>
          <w:b/>
          <w:bCs/>
        </w:rPr>
        <w:t xml:space="preserve">IPOTESI</w:t>
      </w:r>
      <w:r>
        <w:t xml:space="preserve"> </w:t>
      </w:r>
      <w:r>
        <w:rPr>
          <w:i/>
          <w:iCs/>
        </w:rPr>
        <w:t xml:space="preserve">(meccanismo coerente, nessuno studio)</w:t>
      </w:r>
      <w:r>
        <w:t xml:space="preserve"> </w:t>
      </w:r>
      <w:r>
        <w:t xml:space="preserve">che ridurre quella dose cambi il sintomo</w:t>
      </w:r>
      <w:r>
        <w:t xml:space="preserve"> </w:t>
      </w:r>
      <w:r>
        <w:rPr>
          <w:b/>
          <w:bCs/>
        </w:rPr>
        <w:t xml:space="preserve">in questa condizione</w:t>
      </w:r>
      <w:r>
        <w:t xml:space="preserve">: la prova randomizzata più netta è su lavoratori con mansione in piedi (Rannisto, 2019, PMID 30871549), ma ha randomizzato solette, non ore in piedi.</w:t>
      </w:r>
      <w:r>
        <w:t xml:space="preserve"> </w:t>
      </w:r>
      <w:r>
        <w:rPr>
          <w:b/>
          <w:bCs/>
        </w:rPr>
        <w:t xml:space="preserve">PROBABILE</w:t>
      </w:r>
      <w:r>
        <w:t xml:space="preserve"> </w:t>
      </w:r>
      <w:r>
        <w:rPr>
          <w:i/>
          <w:iCs/>
        </w:rPr>
        <w:t xml:space="preserve">(razionale forte, prove parziali)</w:t>
      </w:r>
      <w:r>
        <w:t xml:space="preserve"> </w:t>
      </w:r>
      <w:r>
        <w:t xml:space="preserve">che la co-attivazione bilaterale preceda il dolore da stazione eretta.</w:t>
      </w:r>
      <w:r>
        <w:t xml:space="preserve"> </w:t>
      </w:r>
      <w:r>
        <w:rPr>
          <w:b/>
          <w:bCs/>
        </w:rPr>
        <w:t xml:space="preserve">IPOTESI</w:t>
      </w:r>
      <w:r>
        <w:t xml:space="preserve"> </w:t>
      </w:r>
      <w:r>
        <w:rPr>
          <w:i/>
          <w:iCs/>
        </w:rPr>
        <w:t xml:space="preserve">(meccanismo coerente, nessuno studio)</w:t>
      </w:r>
      <w:r>
        <w:t xml:space="preserve"> </w:t>
      </w:r>
      <w:r>
        <w:t xml:space="preserve">che romperla lo riduca</w:t>
      </w:r>
      <w:r>
        <w:t xml:space="preserve"> </w:t>
      </w:r>
      <w:r>
        <w:rPr>
          <w:b/>
          <w:bCs/>
        </w:rPr>
        <w:t xml:space="preserve">in questa condizione</w:t>
      </w:r>
      <w:r>
        <w:t xml:space="preserve">: il pattern è stato manipolato davvero, ma in laboratorio su soggetti sani (Nelson-Wong, 2010, PMID 20116046).</w:t>
      </w:r>
      <w:r>
        <w:t xml:space="preserve"> </w:t>
      </w:r>
      <w:r>
        <w:rPr>
          <w:i/>
          <w:iCs/>
        </w:rPr>
        <w:t xml:space="preserve">Il salto è di popolazione, e la prova regge il meccanismo, non la leva.</w:t>
      </w:r>
      <w:r>
        <w:t xml:space="preserve"> </w:t>
      </w:r>
      <w:r>
        <w:t xml:space="preserve">Peso e alimentazione si segnalano e si rinviano: non sono atto osteopatico.</w:t>
      </w:r>
    </w:p>
    <w:bookmarkEnd w:id="38"/>
    <w:bookmarkStart w:id="39" w:name="respiratorio-circolatorio"/>
    <w:p>
      <w:pPr>
        <w:pStyle w:val="Heading3"/>
      </w:pPr>
      <w:r>
        <w:t xml:space="preserve">Respiratorio-Circolatorio</w:t>
      </w:r>
    </w:p>
    <w:p>
      <w:pPr>
        <w:pStyle w:val="FirstParagraph"/>
      </w:pPr>
      <w:r>
        <w:rPr>
          <w:b/>
          <w:bCs/>
        </w:rPr>
        <w:t xml:space="preserve">Cosa governa qui.</w:t>
      </w:r>
      <w:r>
        <w:t xml:space="preserve"> </w:t>
      </w:r>
      <w:r>
        <w:t xml:space="preserve">Nessun meccanismo. E non perché nessuno abbia guardato. Qualcuno ha guardato sul</w:t>
      </w:r>
      <w:r>
        <w:t xml:space="preserve"> </w:t>
      </w:r>
      <w:r>
        <w:rPr>
          <w:b/>
          <w:bCs/>
        </w:rPr>
        <w:t xml:space="preserve">dolore spinale</w:t>
      </w:r>
      <w:r>
        <w:t xml:space="preserve"> </w:t>
      </w:r>
      <w:r>
        <w:t xml:space="preserve">in generale (Van Wesemael, 2025, PMID 41099211) e sulla</w:t>
      </w:r>
      <w:r>
        <w:t xml:space="preserve"> </w:t>
      </w:r>
      <w:r>
        <w:rPr>
          <w:b/>
          <w:bCs/>
        </w:rPr>
        <w:t xml:space="preserve">lombalgia cronica aspecifica</w:t>
      </w:r>
      <w:r>
        <w:t xml:space="preserve"> </w:t>
      </w:r>
      <w:r>
        <w:t xml:space="preserve">(Chen, 2026, PMID 40965964). Gli interventi respiratori hanno risultati positivi, ma di</w:t>
      </w:r>
      <w:r>
        <w:t xml:space="preserve"> </w:t>
      </w:r>
      <w:r>
        <w:rPr>
          <w:b/>
          <w:bCs/>
        </w:rPr>
        <w:t xml:space="preserve">certezza bassa o molto bassa</w:t>
      </w:r>
      <w:r>
        <w:t xml:space="preserve">. Dopo il salto di popolazione non raggiungono la soglia che qui fa aprire uno strumento.</w:t>
      </w:r>
    </w:p>
    <w:p>
      <w:pPr>
        <w:pStyle w:val="BodyText"/>
      </w:pPr>
      <w:r>
        <w:rPr>
          <w:b/>
          <w:bCs/>
        </w:rPr>
        <w:t xml:space="preserve">Gli attori.</w:t>
      </w:r>
      <w:r>
        <w:t xml:space="preserve"> </w:t>
      </w:r>
      <w:r>
        <w:t xml:space="preserve">Nessuno proprio, su questa condizione. È l’unico modello del capitolo che non ha attori in «Le strutture in gioco».</w:t>
      </w:r>
    </w:p>
    <w:p>
      <w:pPr>
        <w:pStyle w:val="BodyText"/>
      </w:pPr>
      <w:r>
        <w:rPr>
          <w:b/>
          <w:bCs/>
        </w:rPr>
        <w:t xml:space="preserve">I segnali che sembrano suoi, e dove portano davvero.</w:t>
      </w:r>
      <w:r>
        <w:t xml:space="preserve"> </w:t>
      </w:r>
      <w:r>
        <w:t xml:space="preserve">Una gamba visibilmente più gonfia dell’altra, comparsa in giorni o settimane, non è congestione da assetto meccanico: è una possibile trombosi venosa profonda, e porta al ROSSO.</w:t>
      </w:r>
      <w:r>
        <w:t xml:space="preserve"> </w:t>
      </w:r>
      <w:r>
        <w:rPr>
          <w:b/>
          <w:bCs/>
        </w:rPr>
        <w:t xml:space="preserve">È l’unica voce di questo tipo nel capitolo:</w:t>
      </w:r>
      <w:r>
        <w:t xml:space="preserve"> </w:t>
      </w:r>
      <w:r>
        <w:t xml:space="preserve">gli altri quattro modelli hanno segnali di dominanza veri, questo no, e la differenza è deliberata, non una svista.</w:t>
      </w:r>
    </w:p>
    <w:p>
      <w:pPr>
        <w:pStyle w:val="BlockText"/>
      </w:pPr>
      <w:r>
        <w:rPr>
          <w:b/>
          <w:bCs/>
        </w:rPr>
        <w:t xml:space="preserve">Attenzione.</w:t>
      </w:r>
      <w:r>
        <w:t xml:space="preserve"> </w:t>
      </w:r>
      <w:r>
        <w:t xml:space="preserve">Se ti trovi a invocare il diaframma o il ritorno venoso per spiegare una gamba corta, stai riempiendo una casella.</w:t>
      </w:r>
    </w:p>
    <w:p>
      <w:pPr>
        <w:pStyle w:val="FirstParagraph"/>
      </w:pPr>
      <w:r>
        <w:rPr>
          <w:b/>
          <w:bCs/>
        </w:rPr>
        <w:t xml:space="preserve">Le tre cose da ricordare, più una</w:t>
      </w:r>
    </w:p>
    <w:p>
      <w:pPr>
        <w:pStyle w:val="Compact"/>
        <w:numPr>
          <w:ilvl w:val="0"/>
          <w:numId w:val="1018"/>
        </w:numPr>
      </w:pPr>
      <w:r>
        <w:t xml:space="preserve">Il biomeccanico pesa di più, ma la sua leva sulla posizione delle ossa è smentita: il bersaglio è l’escursione, non l’allineamento.</w:t>
      </w:r>
    </w:p>
    <w:p>
      <w:pPr>
        <w:pStyle w:val="Compact"/>
        <w:numPr>
          <w:ilvl w:val="0"/>
          <w:numId w:val="1018"/>
        </w:numPr>
      </w:pPr>
      <w:r>
        <w:t xml:space="preserve">Il comportamentale è il secondo modello per peso, e su questo quadro è quasi sempre sottovalutato.</w:t>
      </w:r>
    </w:p>
    <w:p>
      <w:pPr>
        <w:pStyle w:val="Compact"/>
        <w:numPr>
          <w:ilvl w:val="0"/>
          <w:numId w:val="1018"/>
        </w:numPr>
      </w:pPr>
      <w:r>
        <w:t xml:space="preserve">Il metabolico sembra vuoto e ospita le due leve con le prove migliori: quelle che il paziente esegue da solo.</w:t>
      </w:r>
    </w:p>
    <w:p>
      <w:pPr>
        <w:pStyle w:val="Compact"/>
        <w:numPr>
          <w:ilvl w:val="0"/>
          <w:numId w:val="1018"/>
        </w:numPr>
      </w:pPr>
      <w:r>
        <w:rPr>
          <w:b/>
          <w:bCs/>
        </w:rPr>
        <w:t xml:space="preserve">Perché ci sei tu.</w:t>
      </w:r>
      <w:r>
        <w:t xml:space="preserve"> </w:t>
      </w:r>
      <w:r>
        <w:t xml:space="preserve">La palpazione delle spine iliache postero-superiori ha un accordo medio fra esaminatori di</w:t>
      </w:r>
      <w:r>
        <w:t xml:space="preserve"> </w:t>
      </w:r>
      <w:r>
        <w:rPr>
          <w:b/>
          <w:bCs/>
        </w:rPr>
        <w:t xml:space="preserve">kappa 0,27</w:t>
      </w:r>
      <w:r>
        <w:t xml:space="preserve">. Gli autori concludono che i metodi attuali non sostengono l’uso clinico (Cooperstein, 2016, PMID 27069265).</w:t>
      </w:r>
      <w:r>
        <w:t xml:space="preserve"> </w:t>
      </w:r>
      <w:r>
        <w:rPr>
          <w:b/>
          <w:bCs/>
        </w:rPr>
        <w:t xml:space="preserve">Per te:</w:t>
      </w:r>
      <w:r>
        <w:t xml:space="preserve"> </w:t>
      </w:r>
      <w:r>
        <w:t xml:space="preserve">il reperto su cui questa professione ha costruito il proprio racconto non regge come misura. Questo ti autorizza a usare la palpazione per orientarti e a scriverlo come orientamento. Non ti autorizza a fondarci il mandato né a usarla come marker: per quelli servono provocazione del dolore, escursione regionale e tempo su un compito.</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Capitolo 8 — Come ragiono davanti a questo paziente</w:t>
            </w:r>
          </w:p>
        </w:tc>
      </w:tr>
      <w:tr>
        <w:tc>
          <w:tcPr/>
          <w:p>
            <w:pPr>
              <w:pStyle w:val="Compact"/>
            </w:pPr>
            <w:r>
              <w:t xml:space="preserve">## Capitolo 9 — Dove finisce il nostro campo</w:t>
            </w:r>
          </w:p>
        </w:tc>
      </w:tr>
      <w:tr>
        <w:tc>
          <w:tcPr/>
          <w:p>
            <w:pPr>
              <w:pStyle w:val="Compact"/>
            </w:pPr>
            <w:r>
              <w:t xml:space="preserve">&gt;</w:t>
            </w:r>
            <w:r>
              <w:t xml:space="preserve"> </w:t>
            </w:r>
            <w:r>
              <w:rPr>
                <w:b/>
                <w:bCs/>
              </w:rPr>
              <w:t xml:space="preserve">In una riga:</w:t>
            </w:r>
            <w:r>
              <w:t xml:space="preserve"> </w:t>
            </w:r>
            <w:r>
              <w:t xml:space="preserve">su questa condizione il confine non è il dolore: è la misura, e la misura non la fai tu.</w:t>
            </w:r>
          </w:p>
        </w:tc>
      </w:tr>
      <w:tr>
        <w:tc>
          <w:tcPr/>
          <w:p>
            <w:pPr>
              <w:pStyle w:val="Compact"/>
            </w:pPr>
            <w:r>
              <w:t xml:space="preserve">### Le bandiere rosse</w:t>
            </w:r>
          </w:p>
        </w:tc>
      </w:tr>
      <w:tr>
        <w:tc>
          <w:tcPr/>
          <w:p>
            <w:pPr>
              <w:pStyle w:val="Compact"/>
            </w:pPr>
            <w:r>
              <w:t xml:space="preserve">| Bandiera rossa | A chi si manda | Tempi |</w:t>
            </w:r>
            <w:r>
              <w:t xml:space="preserve"> </w:t>
            </w:r>
            <w:r>
              <w:t xml:space="preserve">|—|—|—|</w:t>
            </w:r>
            <w:r>
              <w:t xml:space="preserve"> </w:t>
            </w:r>
            <w:r>
              <w:t xml:space="preserve">| Sindrome della cauda equina | Pronto soccorso |</w:t>
            </w:r>
            <w:r>
              <w:t xml:space="preserve"> </w:t>
            </w:r>
            <w:r>
              <w:rPr>
                <w:b/>
                <w:bCs/>
              </w:rPr>
              <w:t xml:space="preserve">112</w:t>
            </w:r>
            <w:r>
              <w:t xml:space="preserve"> </w:t>
            </w:r>
            <w:r>
              <w:t xml:space="preserve">|</w:t>
            </w:r>
            <w:r>
              <w:t xml:space="preserve"> </w:t>
            </w:r>
            <w:r>
              <w:t xml:space="preserve">| Deficit motorio in peggioramento | Neurologo o PS | Urgente (entro 24 ore) |</w:t>
            </w:r>
            <w:r>
              <w:t xml:space="preserve"> </w:t>
            </w:r>
            <w:r>
              <w:t xml:space="preserve">| Gamba gonfia da un lato, nuova | Pronto soccorso | Urgente (in giornata) |</w:t>
            </w:r>
            <w:r>
              <w:t xml:space="preserve"> </w:t>
            </w:r>
            <w:r>
              <w:t xml:space="preserve">| Bambino zoppicante: febbre, o non carica, o sotto 3 anni | Pronto soccorso | Urgente (in giornata) |</w:t>
            </w:r>
            <w:r>
              <w:t xml:space="preserve"> </w:t>
            </w:r>
            <w:r>
              <w:t xml:space="preserve">| Adolescente: zoppia senza febbre, dolore anca, coscia o ginocchio | Ortopedico pediatrico o PS | Invio, non attendere |</w:t>
            </w:r>
            <w:r>
              <w:t xml:space="preserve"> </w:t>
            </w:r>
            <w:r>
              <w:t xml:space="preserve">| Accorciamento o extrarotazione nuovi, adulto fragile o protesizzato | PS o chirurgo operatore | Urgente (in giornata) |</w:t>
            </w:r>
            <w:r>
              <w:t xml:space="preserve"> </w:t>
            </w:r>
            <w:r>
              <w:t xml:space="preserve">| Febbre, immunodepressione, droghe endovena, catetere vascolare, infezione recente | Pronto soccorso | Urgente (entro 24 ore) |</w:t>
            </w:r>
            <w:r>
              <w:t xml:space="preserve"> </w:t>
            </w:r>
            <w:r>
              <w:t xml:space="preserve">| Storia di neoplasia, dolore lombare o d’anca nuovo | Medico curante o oncologo | Invio, non attendere |</w:t>
            </w:r>
            <w:r>
              <w:t xml:space="preserve"> </w:t>
            </w:r>
            <w:r>
              <w:t xml:space="preserve">| Cortisone prolungato o trauma recente | Medico curante | Invio, non attendere |</w:t>
            </w:r>
            <w:r>
              <w:t xml:space="preserve"> </w:t>
            </w:r>
            <w:r>
              <w:t xml:space="preserve">| Dolore notturno con calo di peso | Medico curante | Invio (entro 7 giorni) |</w:t>
            </w:r>
            <w:r>
              <w:t xml:space="preserve"> </w:t>
            </w:r>
            <w:r>
              <w:t xml:space="preserve">| Dolore lombo-gluteo cronico esordito prima dei 45 anni, infiammatorio | Medico curante, per valutazione reumatologica | Invio (entro 14 giorni) |</w:t>
            </w:r>
          </w:p>
        </w:tc>
      </w:tr>
      <w:tr>
        <w:tc>
          <w:tcPr/>
          <w:p>
            <w:pPr>
              <w:pStyle w:val="Compact"/>
            </w:pPr>
            <w:r>
              <w:rPr>
                <w:b/>
                <w:bCs/>
              </w:rPr>
              <w:t xml:space="preserve">Come si leggono per esteso le righe che non stanno in cella.</w:t>
            </w:r>
          </w:p>
        </w:tc>
      </w:tr>
      <w:tr>
        <w:tc>
          <w:tcPr/>
          <w:p>
            <w:pPr>
              <w:pStyle w:val="Compact"/>
            </w:pPr>
            <w:r>
              <w:rPr>
                <w:b/>
                <w:bCs/>
              </w:rPr>
              <w:t xml:space="preserve">Cauda equina.</w:t>
            </w:r>
            <w:r>
              <w:t xml:space="preserve"> </w:t>
            </w:r>
            <w:r>
              <w:t xml:space="preserve">I segni sono perdita di controllo di urine o feci, insensibilità della zona a contatto con la sella, deficit di forza bilaterale. È l’unica riga con il 112: si chiama, non si invia.</w:t>
            </w:r>
            <w:r>
              <w:t xml:space="preserve"> </w:t>
            </w:r>
            <w:r>
              <w:rPr>
                <w:b/>
                <w:bCs/>
              </w:rPr>
              <w:t xml:space="preserve">E non è solo un filtro d’ingresso.</w:t>
            </w:r>
            <w:r>
              <w:t xml:space="preserve"> </w:t>
            </w:r>
            <w:r>
              <w:t xml:space="preserve">È anche la voce più rappresentata fra gli eventi avversi gravi segnalati dopo lavoro manuale lombopelvico: 29 casi su 77 in una raccolta di segnalazioni, che gli autori dichiarano non provare la causa (Hebert, 2015, PMID 23787298).</w:t>
            </w:r>
            <w:r>
              <w:t xml:space="preserve"> </w:t>
            </w:r>
            <w:r>
              <w:rPr>
                <w:b/>
                <w:bCs/>
              </w:rPr>
              <w:t xml:space="preserve">Si esclude prima e si sorveglia dopo</w:t>
            </w:r>
            <w:r>
              <w:t xml:space="preserve">, e la sorveglianza la fa il paziente: vedi «Cosa dire al paziente».</w:t>
            </w:r>
          </w:p>
        </w:tc>
      </w:tr>
      <w:tr>
        <w:tc>
          <w:tcPr/>
          <w:p>
            <w:pPr>
              <w:pStyle w:val="Compact"/>
            </w:pPr>
            <w:r>
              <w:rPr>
                <w:b/>
                <w:bCs/>
              </w:rPr>
              <w:t xml:space="preserve">Deficit motorio in peggioramento.</w:t>
            </w:r>
            <w:r>
              <w:t xml:space="preserve"> </w:t>
            </w:r>
            <w:r>
              <w:t xml:space="preserve">Non è la debolezza riferita. È la forza che cala di giorno in giorno, un piede che si trascina.</w:t>
            </w:r>
          </w:p>
        </w:tc>
      </w:tr>
      <w:tr>
        <w:tc>
          <w:tcPr/>
          <w:p>
            <w:pPr>
              <w:pStyle w:val="Compact"/>
            </w:pPr>
            <w:r>
              <w:rPr>
                <w:b/>
                <w:bCs/>
              </w:rPr>
              <w:t xml:space="preserve">Gamba gonfia da un lato, nuova.</w:t>
            </w:r>
            <w:r>
              <w:t xml:space="preserve"> </w:t>
            </w:r>
            <w:r>
              <w:t xml:space="preserve">È una differenza di circonferenza comparsa in giorni o settimane, con calore o dolore al polpaccio: possibile trombosi venosa profonda. Non si tratta, non si mobilizza, non si massaggia. Il percorso corrente è la valutazione in giornata, e per questo la destinazione è il pronto soccorso: un venerdì pomeriggio dal curante diventa lunedì. Il motivo per cui la riga esiste è l’embolia polmonare:</w:t>
            </w:r>
            <w:r>
              <w:t xml:space="preserve"> </w:t>
            </w:r>
            <w:r>
              <w:rPr>
                <w:b/>
                <w:bCs/>
              </w:rPr>
              <w:t xml:space="preserve">dispnea improvvisa, dolore toracico o sincope in questo contesto sono 112.</w:t>
            </w:r>
          </w:p>
        </w:tc>
      </w:tr>
      <w:tr>
        <w:tc>
          <w:tcPr/>
          <w:p>
            <w:pPr>
              <w:pStyle w:val="Compact"/>
            </w:pPr>
            <w:r>
              <w:rPr>
                <w:b/>
                <w:bCs/>
              </w:rPr>
              <w:t xml:space="preserve">Il bambino e l’adolescente che zoppicano.</w:t>
            </w:r>
            <w:r>
              <w:t xml:space="preserve"> </w:t>
            </w:r>
            <w:r>
              <w:t xml:space="preserve">La prima domanda è la febbre. Un bambino febbrile, che non appoggia il piede, o sotto i tre anni: artrite settica e osteomielite sono emergenze di ore, si va in pronto soccorso e non si carica l’arto. Senza febbre e con carico possibile, in un adolescente, si presume un’epifisiolisi fino a prova contraria: il ritardo può trasformare una forma stabile in una instabile (Katz, 2006, PMID 16493917). Nella differenziale stanno anche Perthes e le neoplasie, e dolore notturno e sintomi generali sono criteri.</w:t>
            </w:r>
            <w:r>
              <w:t xml:space="preserve"> </w:t>
            </w:r>
            <w:r>
              <w:rPr>
                <w:b/>
                <w:bCs/>
              </w:rPr>
              <w:t xml:space="preserve">In questo cancello non si tratta nulla, nemmeno una disfunzione coesistente.</w:t>
            </w:r>
          </w:p>
        </w:tc>
      </w:tr>
      <w:tr>
        <w:tc>
          <w:tcPr/>
          <w:p>
            <w:pPr>
              <w:pStyle w:val="Compact"/>
            </w:pPr>
            <w:r>
              <w:rPr>
                <w:b/>
                <w:bCs/>
              </w:rPr>
              <w:t xml:space="preserve">Accorciamento o extrarotazione nuovi in un adulto.</w:t>
            </w:r>
            <w:r>
              <w:t xml:space="preserve"> </w:t>
            </w:r>
            <w:r>
              <w:t xml:space="preserve">La differenza ossea in un adulto è stabile: se è cambiata, non è una dismetria. In un over-65, in un osteoporotico, in chi assume cortisone o in un protesizzato va letta in quattro modi. Frattura da fragilità. Cedimento o infezione periprotesica. Necrosi della testa femorale. Lesione secondaria.</w:t>
            </w:r>
            <w:r>
              <w:t xml:space="preserve"> </w:t>
            </w:r>
            <w:r>
              <w:rPr>
                <w:b/>
                <w:bCs/>
              </w:rPr>
              <w:t xml:space="preserve">Una radiografia standard negativa non esclude.</w:t>
            </w:r>
            <w:r>
              <w:t xml:space="preserve"> </w:t>
            </w:r>
            <w:r>
              <w:t xml:space="preserve">In questa riga non si tratta nulla.</w:t>
            </w:r>
          </w:p>
        </w:tc>
      </w:tr>
      <w:tr>
        <w:tc>
          <w:tcPr/>
          <w:p>
            <w:pPr>
              <w:pStyle w:val="Compact"/>
            </w:pPr>
            <w:r>
              <w:rPr>
                <w:b/>
                <w:bCs/>
              </w:rPr>
              <w:t xml:space="preserve">Febbre e contesto infettivo.</w:t>
            </w:r>
            <w:r>
              <w:t xml:space="preserve"> </w:t>
            </w:r>
            <w:r>
              <w:t xml:space="preserve">Il contesto è questo: droghe endovena, catetere vascolare a permanenza, infezione o intervento recenti, immunodepressione, con dolore lombare nuovo o ingravescente. Spondilodiscite e ascesso epidurale si manifestano come una lombalgia che non risponde alla posizione: cioè come il paziente che entrerebbe in GIALLO e ci resterebbe per settimane. Sono le bandiere che gli autori nominano esplicitamente, a fronte di una prevalenza di disturbi infettivi fra lo 0,0% e l’1,9% in pronto soccorso (Galliker, 2020, PMID 31278933).</w:t>
            </w:r>
          </w:p>
        </w:tc>
      </w:tr>
      <w:tr>
        <w:tc>
          <w:tcPr/>
          <w:p>
            <w:pPr>
              <w:pStyle w:val="Compact"/>
            </w:pPr>
            <w:r>
              <w:rPr>
                <w:b/>
                <w:bCs/>
              </w:rPr>
              <w:t xml:space="preserve">Storia di neoplasia.</w:t>
            </w:r>
            <w:r>
              <w:t xml:space="preserve"> </w:t>
            </w:r>
            <w:r>
              <w:t xml:space="preserve">È l’unica bandiera con una probabilità post-test davvero informativa per la neoplasia spinale: intorno al 33%, IC 22–46%. La gran parte delle bandiere in uso cambia invece la probabilità quasi per nulla (Downie,</w:t>
            </w:r>
            <w:r>
              <w:t xml:space="preserve"> </w:t>
            </w:r>
            <w:r>
              <w:rPr>
                <w:i/>
                <w:iCs/>
              </w:rPr>
              <w:t xml:space="preserve">BMJ</w:t>
            </w:r>
            <w:r>
              <w:t xml:space="preserve"> </w:t>
            </w:r>
            <w:r>
              <w:t xml:space="preserve">2013, PMID 24335669). Per questo ha una riga e un tempo propri.</w:t>
            </w:r>
          </w:p>
        </w:tc>
      </w:tr>
      <w:tr>
        <w:tc>
          <w:tcPr/>
          <w:p>
            <w:pPr>
              <w:pStyle w:val="Compact"/>
            </w:pPr>
            <w:r>
              <w:rPr>
                <w:b/>
                <w:bCs/>
              </w:rPr>
              <w:t xml:space="preserve">Cortisone prolungato o trauma recente.</w:t>
            </w:r>
            <w:r>
              <w:t xml:space="preserve"> </w:t>
            </w:r>
            <w:r>
              <w:t xml:space="preserve">Il soggetto è sempre lo stesso — la probabilità di frattura vertebrale in chi ha mal di schiena — e i numeri sono quattro predittori della stessa cosa. Il cortisone prolungato la porta al</w:t>
            </w:r>
            <w:r>
              <w:t xml:space="preserve"> </w:t>
            </w:r>
            <w:r>
              <w:rPr>
                <w:b/>
                <w:bCs/>
              </w:rPr>
              <w:t xml:space="preserve">33%</w:t>
            </w:r>
            <w:r>
              <w:t xml:space="preserve"> </w:t>
            </w:r>
            <w:r>
              <w:t xml:space="preserve">(IC 10–67%, da un solo studio). Un trauma importante la porta all’11%. Una contusione visibile al 62%. Più bandiere insieme al 90%.</w:t>
            </w:r>
          </w:p>
        </w:tc>
      </w:tr>
      <w:tr>
        <w:tc>
          <w:tcPr/>
          <w:p>
            <w:pPr>
              <w:pStyle w:val="Compact"/>
            </w:pPr>
            <w:r>
              <w:rPr>
                <w:b/>
                <w:bCs/>
              </w:rPr>
              <w:t xml:space="preserve">Per te:</w:t>
            </w:r>
            <w:r>
              <w:t xml:space="preserve"> </w:t>
            </w:r>
            <w:r>
              <w:t xml:space="preserve">è l’unica riga che cambia la tua condotta anche quando il paziente sta bene e chiede solo manutenzione. Un paziente in terapia cortisonica prolungata che riferisce un dolore nuovo non è un GIALLO: è un invio, e non aspetti la seduta successiva. (Downie,</w:t>
            </w:r>
            <w:r>
              <w:t xml:space="preserve"> </w:t>
            </w:r>
            <w:r>
              <w:rPr>
                <w:i/>
                <w:iCs/>
              </w:rPr>
              <w:t xml:space="preserve">BMJ</w:t>
            </w:r>
            <w:r>
              <w:t xml:space="preserve"> </w:t>
            </w:r>
            <w:r>
              <w:t xml:space="preserve">2013 — PMID 24335669)</w:t>
            </w:r>
          </w:p>
        </w:tc>
      </w:tr>
      <w:tr>
        <w:tc>
          <w:tcPr/>
          <w:p>
            <w:pPr>
              <w:pStyle w:val="Compact"/>
            </w:pPr>
            <w:r>
              <w:rPr>
                <w:b/>
                <w:bCs/>
              </w:rPr>
              <w:t xml:space="preserve">Dolore notturno con calo di peso.</w:t>
            </w:r>
            <w:r>
              <w:t xml:space="preserve"> </w:t>
            </w:r>
            <w:r>
              <w:t xml:space="preserve">È un dolore che cresce di notte, non modificato dalla posizione, con perdita di peso non cercata. La prevalenza di patologia spinale grave</w:t>
            </w:r>
            <w:r>
              <w:t xml:space="preserve"> </w:t>
            </w:r>
            <w:r>
              <w:rPr>
                <w:b/>
                <w:bCs/>
              </w:rPr>
              <w:t xml:space="preserve">in pronto soccorso</w:t>
            </w:r>
            <w:r>
              <w:t xml:space="preserve"> </w:t>
            </w:r>
            <w:r>
              <w:t xml:space="preserve">sta fra lo 0,7% e il 7,4%, con lo 0–2,1% per il tumore. In uno studio osteopatico è più bassa, e per questo le bandiere rosse valgono in combinazione, non da sole (Galliker, 2020).</w:t>
            </w:r>
          </w:p>
        </w:tc>
      </w:tr>
      <w:tr>
        <w:tc>
          <w:tcPr/>
          <w:p>
            <w:pPr>
              <w:pStyle w:val="Compact"/>
            </w:pPr>
            <w:r>
              <w:rPr>
                <w:b/>
                <w:bCs/>
              </w:rPr>
              <w:t xml:space="preserve">Dolore lombo-gluteo cronico con caratteri infiammatori.</w:t>
            </w:r>
            <w:r>
              <w:t xml:space="preserve"> </w:t>
            </w:r>
            <w:r>
              <w:t xml:space="preserve">È il buco che costa di più, perché coincide con il paziente-tipo di questa Bibbia. L’ASAS raccomanda l’invio in un dolore lombare cronico esordito prima dei 45 anni, con almeno uno di questi elementi. Il</w:t>
            </w:r>
            <w:r>
              <w:t xml:space="preserve"> </w:t>
            </w:r>
            <w:r>
              <w:rPr>
                <w:b/>
                <w:bCs/>
              </w:rPr>
              <w:t xml:space="preserve">dolore lombare infiammatorio</w:t>
            </w:r>
            <w:r>
              <w:t xml:space="preserve">: rigidità mattutina oltre trenta minuti, risveglio nella seconda metà della notte, miglioramento con il movimento e non con il riposo, dolore gluteo alternante. Sono i caratteri che lo compongono, e contano insieme, non uno alla volta. Le</w:t>
            </w:r>
            <w:r>
              <w:t xml:space="preserve"> </w:t>
            </w:r>
            <w:r>
              <w:rPr>
                <w:b/>
                <w:bCs/>
              </w:rPr>
              <w:t xml:space="preserve">manifestazioni periferiche</w:t>
            </w:r>
            <w:r>
              <w:t xml:space="preserve">: artrite, entesite, dattilite. Le</w:t>
            </w:r>
            <w:r>
              <w:t xml:space="preserve"> </w:t>
            </w:r>
            <w:r>
              <w:rPr>
                <w:b/>
                <w:bCs/>
              </w:rPr>
              <w:t xml:space="preserve">manifestazioni extra-articolari</w:t>
            </w:r>
            <w:r>
              <w:t xml:space="preserve">: psoriasi, malattia infiammatoria intestinale, uveite. Poi la familiarità per spondiloartrite, la risposta netta ai FANS, e infine HLA-B27, sacroileite all’imaging o indici di flogosi elevati, se il paziente li ha già (Poddubnyy, 2015, PMID 25990288).</w:t>
            </w:r>
            <w:r>
              <w:t xml:space="preserve"> </w:t>
            </w:r>
            <w:r>
              <w:rPr>
                <w:b/>
                <w:bCs/>
              </w:rPr>
              <w:t xml:space="preserve">Nel dubbio, un solo carattere infiammatorio in questo paziente basta a scrivere al curante: è una nostra soglia di prudenza, più bassa di quella dell’ASAS, e si dichiara come tale.</w:t>
            </w:r>
            <w:r>
              <w:t xml:space="preserve"> </w:t>
            </w:r>
            <w:r>
              <w:t xml:space="preserve">Qui non si sospende il lavoro: si scrive al curante chiedendo la valutazione reumatologica, e si continua in parallelo.</w:t>
            </w:r>
          </w:p>
        </w:tc>
      </w:tr>
      <w:tr>
        <w:tc>
          <w:tcPr/>
          <w:p>
            <w:pPr>
              <w:pStyle w:val="Compact"/>
            </w:pPr>
            <w:r>
              <w:t xml:space="preserve">### Il cancello d’ingresso — un triage a tre uscite</w:t>
            </w:r>
          </w:p>
        </w:tc>
      </w:tr>
      <w:tr>
        <w:tc>
          <w:tcPr/>
          <w:p>
            <w:pPr>
              <w:pStyle w:val="Compact"/>
            </w:pPr>
            <w:r>
              <w:t xml:space="preserve">Il cancello non stabilisce se il paziente ha diritto al trattamento. Stabilisce</w:t>
            </w:r>
            <w:r>
              <w:t xml:space="preserve"> </w:t>
            </w:r>
            <w:r>
              <w:rPr>
                <w:b/>
                <w:bCs/>
              </w:rPr>
              <w:t xml:space="preserve">quale delle tre situazioni hai davanti</w:t>
            </w:r>
            <w:r>
              <w:t xml:space="preserve">. Ciascuna ha condizioni scritte e verificabili.</w:t>
            </w:r>
          </w:p>
        </w:tc>
      </w:tr>
      <w:tr>
        <w:tc>
          <w:tcPr/>
          <w:p>
            <w:pPr>
              <w:pStyle w:val="Compact"/>
            </w:pPr>
            <w:r>
              <w:rPr>
                <w:b/>
                <w:bCs/>
              </w:rPr>
              <w:t xml:space="preserve">Perché tre uscite e non due.</w:t>
            </w:r>
            <w:r>
              <w:t xml:space="preserve"> </w:t>
            </w:r>
            <w:r>
              <w:t xml:space="preserve">Un cancello binario manderebbe fuori quasi tutti, perché quasi nessuno ha la misura. Il GIALLO chiede quattro cose verificabili dove il binario ne chiedeva una.</w:t>
            </w:r>
          </w:p>
        </w:tc>
      </w:tr>
      <w:tr>
        <w:tc>
          <w:tcPr/>
          <w:p>
            <w:pPr>
              <w:pStyle w:val="Compact"/>
            </w:pPr>
            <w:r>
              <w:rPr>
                <w:b/>
                <w:bCs/>
              </w:rPr>
              <w:t xml:space="preserve">Il mandato clinico</w:t>
            </w:r>
            <w:r>
              <w:t xml:space="preserve"> </w:t>
            </w:r>
            <w:r>
              <w:t xml:space="preserve">— avere qualcosa da trattare oggi — nasce da un reperto disfunzionale documentato e da un marker che si muove quando lo tratti.</w:t>
            </w:r>
            <w:r>
              <w:t xml:space="preserve"> </w:t>
            </w:r>
            <w:r>
              <w:rPr>
                <w:b/>
                <w:bCs/>
              </w:rPr>
              <w:t xml:space="preserve">Senza quelli non hai un motivo per lavorare, nemmeno con la misura radiografica in mano.</w:t>
            </w:r>
          </w:p>
        </w:tc>
      </w:tr>
      <w:tr>
        <w:tc>
          <w:tcPr/>
          <w:p>
            <w:pPr>
              <w:pStyle w:val="Compact"/>
            </w:pPr>
            <w:r>
              <w:rPr>
                <w:b/>
                <w:bCs/>
              </w:rPr>
              <w:t xml:space="preserve">La cornice professionale</w:t>
            </w:r>
            <w:r>
              <w:t xml:space="preserve"> </w:t>
            </w:r>
            <w:r>
              <w:t xml:space="preserve">resta quella del profilo: si opera in riferimento alla diagnosi di competenza medica, e quando l’inquadramento manca il canale medico si attiva</w:t>
            </w:r>
            <w:r>
              <w:t xml:space="preserve"> </w:t>
            </w:r>
            <w:r>
              <w:rPr>
                <w:b/>
                <w:bCs/>
              </w:rPr>
              <w:t xml:space="preserve">contestualmente</w:t>
            </w:r>
            <w:r>
              <w:t xml:space="preserve">, non dopo.</w:t>
            </w:r>
          </w:p>
        </w:tc>
      </w:tr>
      <w:tr>
        <w:tc>
          <w:tcPr/>
          <w:p>
            <w:pPr>
              <w:pStyle w:val="Compact"/>
            </w:pPr>
            <w:r>
              <w:rPr>
                <w:b/>
                <w:bCs/>
              </w:rPr>
              <w:t xml:space="preserve">E il contrappeso:</w:t>
            </w:r>
            <w:r>
              <w:t xml:space="preserve"> </w:t>
            </w:r>
            <w:r>
              <w:t xml:space="preserve">un reperto positivo giustifica il tuo lavoro, non sostituisce l’inquadramento. Trovare un’anca rigida e tre test positivi significa che hai</w:t>
            </w:r>
            <w:r>
              <w:t xml:space="preserve"> </w:t>
            </w:r>
            <w:r>
              <w:rPr>
                <w:b/>
                <w:bCs/>
              </w:rPr>
              <w:t xml:space="preserve">qualcosa da trattare</w:t>
            </w:r>
            <w:r>
              <w:t xml:space="preserve">, non che</w:t>
            </w:r>
            <w:r>
              <w:t xml:space="preserve"> </w:t>
            </w:r>
            <w:r>
              <w:rPr>
                <w:b/>
                <w:bCs/>
              </w:rPr>
              <w:t xml:space="preserve">sai cosa ha il paziente</w:t>
            </w:r>
            <w:r>
              <w:t xml:space="preserve">. Le due cose vanno dette al paziente come conviventi.</w:t>
            </w:r>
          </w:p>
        </w:tc>
      </w:tr>
      <w:tr>
        <w:tc>
          <w:tcPr/>
          <w:p>
            <w:pPr>
              <w:pStyle w:val="Compact"/>
            </w:pPr>
            <w:r>
              <w:rPr>
                <w:b/>
                <w:bCs/>
              </w:rPr>
              <w:t xml:space="preserve">🔴 ROSSO — Stop.</w:t>
            </w:r>
            <w:r>
              <w:t xml:space="preserve"> </w:t>
            </w:r>
            <w:r>
              <w:t xml:space="preserve">Basta una sola bandiera rossa.</w:t>
            </w:r>
            <w:r>
              <w:t xml:space="preserve"> </w:t>
            </w:r>
            <w:r>
              <w:rPr>
                <w:b/>
                <w:bCs/>
              </w:rPr>
              <w:t xml:space="preserve">Non si apre un ciclo, non si tratta nulla — nemmeno in un distretto che sembra estraneo alla bandiera — non si consegna lavoro attivo, e non si rimanda alla seduta successiva.</w:t>
            </w:r>
            <w:r>
              <w:t xml:space="preserve"> </w:t>
            </w:r>
            <w:r>
              <w:t xml:space="preserve">Il paziente esce con un’indicazione medica</w:t>
            </w:r>
            <w:r>
              <w:t xml:space="preserve"> </w:t>
            </w:r>
            <w:r>
              <w:rPr>
                <w:b/>
                <w:bCs/>
              </w:rPr>
              <w:t xml:space="preserve">esplicita e scritta</w:t>
            </w:r>
            <w:r>
              <w:t xml:space="preserve">, e con i tempi dichiarati. L’apertura di un ciclo si rivaluta solo dopo l’inquadramento medico. Nessun reperto positivo scavalca questa uscita.</w:t>
            </w:r>
          </w:p>
        </w:tc>
      </w:tr>
      <w:tr>
        <w:tc>
          <w:tcPr/>
          <w:p>
            <w:pPr>
              <w:pStyle w:val="Compact"/>
            </w:pPr>
            <w:r>
              <w:rPr>
                <w:b/>
                <w:bCs/>
              </w:rPr>
              <w:t xml:space="preserve">🟡 GIALLO — Si lavora, in parallelo.</w:t>
            </w:r>
            <w:r>
              <w:t xml:space="preserve"> </w:t>
            </w:r>
            <w:r>
              <w:t xml:space="preserve">Ci sei quando non c’è nessuna bandiera rossa e non c’è nessuna misura radiografica sotto carico disponibile. Oppure quando la misura c’è, ma è fatta con un metodo che non regge.</w:t>
            </w:r>
            <w:r>
              <w:t xml:space="preserve"> </w:t>
            </w:r>
            <w:r>
              <w:rPr>
                <w:b/>
                <w:bCs/>
              </w:rPr>
              <w:t xml:space="preserve">È la situazione più frequente su questa condizione, e non è un motivo per rimandare fuori il paziente.</w:t>
            </w:r>
            <w:r>
              <w:t xml:space="preserve"> </w:t>
            </w:r>
            <w:r>
              <w:t xml:space="preserve">Si lavora a quattro condizioni, tutte verificabili.</w:t>
            </w:r>
          </w:p>
        </w:tc>
      </w:tr>
      <w:tr>
        <w:tc>
          <w:tcPr/>
          <w:p>
            <w:pPr>
              <w:pStyle w:val="Compact"/>
            </w:pPr>
            <w:r>
              <w:t xml:space="preserve">1.</w:t>
            </w:r>
            <w:r>
              <w:t xml:space="preserve"> </w:t>
            </w:r>
            <w:r>
              <w:rPr>
                <w:b/>
                <w:bCs/>
              </w:rPr>
              <w:t xml:space="preserve">Un reperto tuo, positivo e scritto in cartella.</w:t>
            </w:r>
            <w:r>
              <w:t xml:space="preserve"> </w:t>
            </w:r>
            <w:r>
              <w:t xml:space="preserve">Non</w:t>
            </w:r>
            <w:r>
              <w:t xml:space="preserve"> </w:t>
            </w:r>
            <w:r>
              <w:t xml:space="preserve">“il paziente ha una dismetria”</w:t>
            </w:r>
            <w:r>
              <w:t xml:space="preserve">, ma il reperto che regge: rotazione d’anca in gradi, deficit di estensione del ginocchio in gradi, numero di test positivi, tempo di tolleranza in piedi.</w:t>
            </w:r>
            <w:r>
              <w:t xml:space="preserve"> </w:t>
            </w:r>
            <w:r>
              <w:rPr>
                <w:b/>
                <w:bCs/>
              </w:rPr>
              <w:t xml:space="preserve">La differenza di altezza delle creste palpata non vale come reperto di mandato</w:t>
            </w:r>
            <w:r>
              <w:t xml:space="preserve">, e in cartella si scrive come orientamento.</w:t>
            </w:r>
            <w:r>
              <w:t xml:space="preserve"> </w:t>
            </w:r>
            <w:r>
              <w:t xml:space="preserve">2.</w:t>
            </w:r>
            <w:r>
              <w:t xml:space="preserve"> </w:t>
            </w:r>
            <w:r>
              <w:rPr>
                <w:b/>
                <w:bCs/>
              </w:rPr>
              <w:t xml:space="preserve">Il paziente informato di cosa tratti e cosa no.</w:t>
            </w:r>
            <w:r>
              <w:t xml:space="preserve"> </w:t>
            </w:r>
            <w:r>
              <w:t xml:space="preserve">Deve sapere che l’oggetto del lavoro non è la lunghezza della gamba. Che la misura la produce una radiografia sotto carico richiesta dal medico. Che tu lavori sulla parte meccanica che hai misurato, mentre l’inquadramento resta del curante. Le parole esatte stanno in «Cosa dire al paziente», ed è una condizione del GIALLO, non una cortesia.</w:t>
            </w:r>
            <w:r>
              <w:t xml:space="preserve"> </w:t>
            </w:r>
            <w:r>
              <w:t xml:space="preserve">3.</w:t>
            </w:r>
            <w:r>
              <w:t xml:space="preserve"> </w:t>
            </w:r>
            <w:r>
              <w:rPr>
                <w:b/>
                <w:bCs/>
              </w:rPr>
              <w:t xml:space="preserve">Il canale medico attivato contestualmente, per iscritto — senza rimandare fuori il paziente.</w:t>
            </w:r>
            <w:r>
              <w:t xml:space="preserve"> </w:t>
            </w:r>
            <w:r>
              <w:t xml:space="preserve">È una comunicazione al curante con quello che hai misurato e con i numeri della risposta ai blocchi (vedi «Il confine di atto»). Si apre oggi, non alla seduta successiva. E non sostituisce il tuo lavoro: gli corre accanto.</w:t>
            </w:r>
            <w:r>
              <w:t xml:space="preserve"> </w:t>
            </w:r>
            <w:r>
              <w:t xml:space="preserve">4.</w:t>
            </w:r>
            <w:r>
              <w:t xml:space="preserve"> </w:t>
            </w:r>
            <w:r>
              <w:rPr>
                <w:b/>
                <w:bCs/>
              </w:rPr>
              <w:t xml:space="preserve">Un tempo definito, con la revisione già in calendario.</w:t>
            </w:r>
            <w:r>
              <w:t xml:space="preserve"> </w:t>
            </w:r>
            <w:r>
              <w:t xml:space="preserve">Sei settimane, non un numero di sedute, e la data della rivalutazione fissata</w:t>
            </w:r>
            <w:r>
              <w:t xml:space="preserve"> </w:t>
            </w:r>
            <w:r>
              <w:rPr>
                <w:b/>
                <w:bCs/>
              </w:rPr>
              <w:t xml:space="preserve">prima</w:t>
            </w:r>
            <w:r>
              <w:t xml:space="preserve"> </w:t>
            </w:r>
            <w:r>
              <w:t xml:space="preserve">di iniziare. Un tempo che si decide alla fine non è un tempo: è un ripensamento.</w:t>
            </w:r>
          </w:p>
        </w:tc>
      </w:tr>
      <w:tr>
        <w:tc>
          <w:tcPr/>
          <w:p>
            <w:pPr>
              <w:pStyle w:val="Compact"/>
            </w:pPr>
            <w:r>
              <w:rPr>
                <w:b/>
                <w:bCs/>
              </w:rPr>
              <w:t xml:space="preserve">Se il tempo scade e il marker non si è mosso</w:t>
            </w:r>
            <w:r>
              <w:t xml:space="preserve">, non è una rinuncia: è un’informazione. Vuol dire che il tuo reperto non era il piano che comanda. La spinta sul canale medico da parallela diventa</w:t>
            </w:r>
            <w:r>
              <w:t xml:space="preserve"> </w:t>
            </w:r>
            <w:r>
              <w:rPr>
                <w:b/>
                <w:bCs/>
              </w:rPr>
              <w:t xml:space="preserve">prioritaria</w:t>
            </w:r>
            <w:r>
              <w:t xml:space="preserve">. Il bersaglio si riassegna</w:t>
            </w:r>
            <w:r>
              <w:t xml:space="preserve"> </w:t>
            </w:r>
            <w:r>
              <w:rPr>
                <w:b/>
                <w:bCs/>
              </w:rPr>
              <w:t xml:space="preserve">una volta sola</w:t>
            </w:r>
            <w:r>
              <w:t xml:space="preserve">, dal piano che avevi scelto a quello che avevi scartato: tipicamente dalla geometria all’attivazione e alle credenze. La seconda finestra si dichiara. Alla scadenza di quella, il ciclo si chiude.</w:t>
            </w:r>
          </w:p>
        </w:tc>
      </w:tr>
      <w:tr>
        <w:tc>
          <w:tcPr/>
          <w:p>
            <w:pPr>
              <w:pStyle w:val="Compact"/>
            </w:pPr>
            <w:r>
              <w:rPr>
                <w:b/>
                <w:bCs/>
              </w:rPr>
              <w:t xml:space="preserve">🟢 VERDE — Si procede.</w:t>
            </w:r>
            <w:r>
              <w:t xml:space="preserve"> </w:t>
            </w:r>
            <w:r>
              <w:t xml:space="preserve">Ci sei quando non c’è nessuna bandiera rossa, e c’è una fra queste tre cose: una teleradiografia sotto carico già eseguita, con il valore in millimetri disponibile; un percorso ortopedico o fisiatrico già in corso; un rialzo già prescritto da un medico o da un tecnico ortopedico, con la misura documentata.</w:t>
            </w:r>
          </w:p>
        </w:tc>
      </w:tr>
      <w:tr>
        <w:tc>
          <w:tcPr/>
          <w:p>
            <w:pPr>
              <w:pStyle w:val="Compact"/>
            </w:pPr>
            <w:r>
              <w:t xml:space="preserve">&gt;</w:t>
            </w:r>
            <w:r>
              <w:t xml:space="preserve"> </w:t>
            </w:r>
            <w:r>
              <w:rPr>
                <w:b/>
                <w:bCs/>
              </w:rPr>
              <w:t xml:space="preserve">Attenzione, perché è un’obiezione che riceverai.</w:t>
            </w:r>
            <w:r>
              <w:t xml:space="preserve"> </w:t>
            </w:r>
            <w:r>
              <w:t xml:space="preserve">La teleradiografia è il riferimento di</w:t>
            </w:r>
            <w:r>
              <w:t xml:space="preserve"> </w:t>
            </w:r>
            <w:r>
              <w:rPr>
                <w:b/>
                <w:bCs/>
              </w:rPr>
              <w:t xml:space="preserve">accuratezza</w:t>
            </w:r>
            <w:r>
              <w:t xml:space="preserve"> </w:t>
            </w:r>
            <w:r>
              <w:t xml:space="preserve">(Alfuth, 2021, PMID 34928991). Non è il metodo con cui l’effetto del rialzo è stato dimostrato: le due prove randomizzate che lo sostengono hanno misurato la dismetria con laser-ultrasuoni e con ecografia. Il VERDE chiede più di quegli studi, e per una ragione di condotta, non di evidenza.</w:t>
            </w:r>
          </w:p>
        </w:tc>
      </w:tr>
      <w:tr>
        <w:tc>
          <w:tcPr/>
          <w:p>
            <w:pPr>
              <w:pStyle w:val="Compact"/>
            </w:pPr>
            <w:r>
              <w:rPr>
                <w:b/>
                <w:bCs/>
              </w:rPr>
              <w:t xml:space="preserve">La scadenza.</w:t>
            </w:r>
            <w:r>
              <w:t xml:space="preserve"> </w:t>
            </w:r>
            <w:r>
              <w:t xml:space="preserve">L’inquadramento</w:t>
            </w:r>
            <w:r>
              <w:t xml:space="preserve"> </w:t>
            </w:r>
            <w:r>
              <w:rPr>
                <w:b/>
                <w:bCs/>
              </w:rPr>
              <w:t xml:space="preserve">decade</w:t>
            </w:r>
            <w:r>
              <w:t xml:space="preserve"> </w:t>
            </w:r>
            <w:r>
              <w:t xml:space="preserve">se il sintomo cambia carattere, sede o intensità rispetto all’ultima valutazione medica. Un quadro che cambia forma torna al triage, dall’inizio.</w:t>
            </w:r>
          </w:p>
        </w:tc>
      </w:tr>
      <w:tr>
        <w:tc>
          <w:tcPr/>
          <w:p>
            <w:pPr>
              <w:pStyle w:val="Compact"/>
            </w:pPr>
            <w:r>
              <w:rPr>
                <w:b/>
                <w:bCs/>
              </w:rPr>
              <w:t xml:space="preserve">Il vincolo che non si negozia.</w:t>
            </w:r>
            <w:r>
              <w:t xml:space="preserve"> </w:t>
            </w:r>
            <w:r>
              <w:t xml:space="preserve">Tutte e tre le uscite poggiano su qualcosa di</w:t>
            </w:r>
            <w:r>
              <w:t xml:space="preserve"> </w:t>
            </w:r>
            <w:r>
              <w:rPr>
                <w:b/>
                <w:bCs/>
              </w:rPr>
              <w:t xml:space="preserve">scritto</w:t>
            </w:r>
            <w:r>
              <w:t xml:space="preserve">: l’indicazione medica del ROSSO, il reperto in cartella e la lettera al curante del GIALLO, la revisione programmata di entrambi. Un triage non documentato non è un triage: è un’intenzione.</w:t>
            </w:r>
          </w:p>
        </w:tc>
      </w:tr>
      <w:tr>
        <w:tc>
          <w:tcPr/>
          <w:p>
            <w:pPr>
              <w:pStyle w:val="Compact"/>
            </w:pPr>
            <w:r>
              <w:t xml:space="preserve">### La tolleranza ossea al carico</w:t>
            </w:r>
          </w:p>
        </w:tc>
      </w:tr>
      <w:tr>
        <w:tc>
          <w:tcPr/>
          <w:p>
            <w:pPr>
              <w:pStyle w:val="Compact"/>
            </w:pPr>
            <w:r>
              <w:t xml:space="preserve">Questa Bibbia manda le mani sul bacino sotto carico e sull’anca a fine corsa. E lo fa in una popolazione che contiene protesi, esiti di frattura e utilizzatori cronici di cortisone.</w:t>
            </w:r>
            <w:r>
              <w:t xml:space="preserve"> </w:t>
            </w:r>
            <w:r>
              <w:rPr>
                <w:b/>
                <w:bCs/>
              </w:rPr>
              <w:t xml:space="preserve">La tolleranza ossea decide come ci si avvicina a quella zona, e va chiesta come si chiede un farmaco:</w:t>
            </w:r>
            <w:r>
              <w:t xml:space="preserve"> </w:t>
            </w:r>
            <w:r>
              <w:t xml:space="preserve">osteoporosi nota, densitometria, fratture da fragilità, terapia cortisonica. Il numero, per non gonfiare: due soli eventi avversi gravi su 960.140 sedute di terapia manuale, entrambi fratture costali in donne over-60 osteoporotiche (Chu, 2023, PMID 36690712). Un rischio raro si nomina come raro; non si tace.</w:t>
            </w:r>
          </w:p>
        </w:tc>
      </w:tr>
      <w:tr>
        <w:tc>
          <w:tcPr/>
          <w:p>
            <w:pPr>
              <w:pStyle w:val="Compact"/>
            </w:pPr>
            <w:r>
              <w:t xml:space="preserve">### Cosa dichiari nel consenso, su questa condizione</w:t>
            </w:r>
          </w:p>
        </w:tc>
      </w:tr>
      <w:tr>
        <w:tc>
          <w:tcPr/>
          <w:p>
            <w:pPr>
              <w:pStyle w:val="Compact"/>
            </w:pPr>
            <w:r>
              <w:t xml:space="preserve">Tre cose che qui aggiungi e che in un’altra Bibbia non scriveresti.</w:t>
            </w:r>
          </w:p>
        </w:tc>
      </w:tr>
      <w:tr>
        <w:tc>
          <w:tcPr/>
          <w:p>
            <w:pPr>
              <w:pStyle w:val="Compact"/>
            </w:pPr>
            <w:r>
              <w:t xml:space="preserve">Che</w:t>
            </w:r>
            <w:r>
              <w:t xml:space="preserve"> </w:t>
            </w:r>
            <w:r>
              <w:rPr>
                <w:b/>
                <w:bCs/>
              </w:rPr>
              <w:t xml:space="preserve">l’oggetto del trattamento non è la lunghezza della gamba</w:t>
            </w:r>
            <w:r>
              <w:t xml:space="preserve">: l’obiettivo sono dolore, escursione e tempo di tolleranza al carico.</w:t>
            </w:r>
          </w:p>
        </w:tc>
      </w:tr>
      <w:tr>
        <w:tc>
          <w:tcPr/>
          <w:p>
            <w:pPr>
              <w:pStyle w:val="Compact"/>
            </w:pPr>
            <w:r>
              <w:t xml:space="preserve">Che</w:t>
            </w:r>
            <w:r>
              <w:t xml:space="preserve"> </w:t>
            </w:r>
            <w:r>
              <w:rPr>
                <w:b/>
                <w:bCs/>
              </w:rPr>
              <w:t xml:space="preserve">la simmetria non è la misura del risultato</w:t>
            </w:r>
            <w:r>
              <w:t xml:space="preserve">: il risultato non si valuta su fotografie, livelli di bacino o percezione di essere dritti, ma sui numeri concordati all’inizio.</w:t>
            </w:r>
          </w:p>
        </w:tc>
      </w:tr>
      <w:tr>
        <w:tc>
          <w:tcPr/>
          <w:p>
            <w:pPr>
              <w:pStyle w:val="Compact"/>
            </w:pPr>
            <w:r>
              <w:t xml:space="preserve">Che</w:t>
            </w:r>
            <w:r>
              <w:t xml:space="preserve"> </w:t>
            </w:r>
            <w:r>
              <w:rPr>
                <w:b/>
                <w:bCs/>
              </w:rPr>
              <w:t xml:space="preserve">la stima manuale della lunghezza non è una misura</w:t>
            </w:r>
            <w:r>
              <w:t xml:space="preserve">: orienta il lavoro e non stabilisce se esista una differenza ossea. Per quella serve una radiografia sotto carico richiesta dal medico.</w:t>
            </w:r>
          </w:p>
        </w:tc>
      </w:tr>
      <w:tr>
        <w:tc>
          <w:tcPr/>
          <w:p>
            <w:pPr>
              <w:pStyle w:val="Compact"/>
            </w:pPr>
            <w:r>
              <w:t xml:space="preserve">### Il confine di atto, dove questa condizione lo mette alla prova</w:t>
            </w:r>
          </w:p>
        </w:tc>
      </w:tr>
      <w:tr>
        <w:tc>
          <w:tcPr/>
          <w:p>
            <w:pPr>
              <w:pStyle w:val="Compact"/>
            </w:pPr>
            <w:r>
              <w:t xml:space="preserve">Tre gesti sono fuori dal nostro perimetro, e sono esattamente quelli che il paziente chiede.</w:t>
            </w:r>
          </w:p>
        </w:tc>
      </w:tr>
      <w:tr>
        <w:tc>
          <w:tcPr/>
          <w:p>
            <w:pPr>
              <w:pStyle w:val="Compact"/>
            </w:pPr>
            <w:r>
              <w:rPr>
                <w:b/>
                <w:bCs/>
              </w:rPr>
              <w:t xml:space="preserve">Prescrivere, indicare o modificare un rialzo.</w:t>
            </w:r>
            <w:r>
              <w:t xml:space="preserve"> </w:t>
            </w:r>
            <w:r>
              <w:t xml:space="preserve">La dismetria si segnala e si rinvia al medico o al tecnico ortopedico. E vale al contrario: non si dice al paziente di togliere quello che porta.</w:t>
            </w:r>
          </w:p>
        </w:tc>
      </w:tr>
      <w:tr>
        <w:tc>
          <w:tcPr/>
          <w:p>
            <w:pPr>
              <w:pStyle w:val="Compact"/>
            </w:pPr>
            <w:r>
              <w:rPr>
                <w:b/>
                <w:bCs/>
              </w:rPr>
              <w:t xml:space="preserve">Dichiarare che una dismetria non esiste, o che è</w:t>
            </w:r>
            <w:r>
              <w:rPr>
                <w:b/>
                <w:bCs/>
              </w:rPr>
              <w:t xml:space="preserve"> </w:t>
            </w:r>
            <w:r>
              <w:rPr>
                <w:b/>
                <w:bCs/>
              </w:rPr>
              <w:t xml:space="preserve">“solo funzionale”</w:t>
            </w:r>
            <w:r>
              <w:rPr>
                <w:b/>
                <w:bCs/>
              </w:rPr>
              <w:t xml:space="preserve">.</w:t>
            </w:r>
            <w:r>
              <w:t xml:space="preserve"> </w:t>
            </w:r>
            <w:r>
              <w:t xml:space="preserve">È un’esclusione diagnostica, e la diagnosi è atto medico.</w:t>
            </w:r>
          </w:p>
        </w:tc>
      </w:tr>
      <w:tr>
        <w:tc>
          <w:tcPr/>
          <w:p>
            <w:pPr>
              <w:pStyle w:val="Compact"/>
            </w:pPr>
            <w:r>
              <w:rPr>
                <w:b/>
                <w:bCs/>
              </w:rPr>
              <w:t xml:space="preserve">Produrre la misura.</w:t>
            </w:r>
            <w:r>
              <w:t xml:space="preserve"> </w:t>
            </w:r>
            <w:r>
              <w:t xml:space="preserve">Metro a nastro, blocchi e stima palpatoria non sono misure. La misura che decide è una radiografia, chiederla è compito del medico, e la nostra parte è mettergli in mano il motivo.</w:t>
            </w:r>
          </w:p>
        </w:tc>
      </w:tr>
      <w:tr>
        <w:tc>
          <w:tcPr/>
          <w:p>
            <w:pPr>
              <w:pStyle w:val="Compact"/>
            </w:pPr>
            <w:r>
              <w:rPr>
                <w:b/>
                <w:bCs/>
              </w:rPr>
              <w:t xml:space="preserve">E qui va separata una cosa che il divieto rischia di portarsi via.</w:t>
            </w:r>
            <w:r>
              <w:t xml:space="preserve"> </w:t>
            </w:r>
            <w:r>
              <w:rPr>
                <w:i/>
                <w:iCs/>
              </w:rPr>
              <w:t xml:space="preserve">Produrre una misura</w:t>
            </w:r>
            <w:r>
              <w:t xml:space="preserve"> </w:t>
            </w:r>
            <w:r>
              <w:t xml:space="preserve">è vietato e resta vietato.</w:t>
            </w:r>
            <w:r>
              <w:t xml:space="preserve"> </w:t>
            </w:r>
            <w:r>
              <w:rPr>
                <w:i/>
                <w:iCs/>
              </w:rPr>
              <w:t xml:space="preserve">Provocare una risposta</w:t>
            </w:r>
            <w:r>
              <w:t xml:space="preserve"> </w:t>
            </w:r>
            <w:r>
              <w:t xml:space="preserve">è nostro. Il test con i blocchi sotto il piede è quello che la revisione sistematica giudica più utile fra i metodi clinici (Alfuth, 2021). Usato come</w:t>
            </w:r>
            <w:r>
              <w:t xml:space="preserve"> </w:t>
            </w:r>
            <w:r>
              <w:rPr>
                <w:b/>
                <w:bCs/>
              </w:rPr>
              <w:t xml:space="preserve">test di risposta sintomatica</w:t>
            </w:r>
            <w:r>
              <w:t xml:space="preserve"> </w:t>
            </w:r>
            <w:r>
              <w:t xml:space="preserve">non produce nessuna diagnosi: l’esito si esprime in</w:t>
            </w:r>
            <w:r>
              <w:t xml:space="preserve"> </w:t>
            </w:r>
            <w:r>
              <w:rPr>
                <w:b/>
                <w:bCs/>
              </w:rPr>
              <w:t xml:space="preserve">minuti di tolleranza e numero di test positivi, mai in millimetri</w:t>
            </w:r>
            <w:r>
              <w:t xml:space="preserve">. È l’unica informazione che rende utile la lettera al curante. Non</w:t>
            </w:r>
            <w:r>
              <w:t xml:space="preserve"> </w:t>
            </w:r>
            <w:r>
              <w:rPr>
                <w:i/>
                <w:iCs/>
              </w:rPr>
              <w:t xml:space="preserve">“sospetto una dismetria”</w:t>
            </w:r>
            <w:r>
              <w:t xml:space="preserve">, ma</w:t>
            </w:r>
            <w:r>
              <w:t xml:space="preserve"> </w:t>
            </w:r>
            <w:r>
              <w:rPr>
                <w:i/>
                <w:iCs/>
              </w:rPr>
              <w:t xml:space="preserve">“con uno spessore sotto il tallone destro la tolleranza passa da 8 a 15 minuti e i test positivi da 4 a 2”</w:t>
            </w:r>
            <w:r>
              <w:t xml:space="preserve">.</w:t>
            </w:r>
            <w:r>
              <w:t xml:space="preserve"> </w:t>
            </w:r>
            <w:r>
              <w:rPr>
                <w:b/>
                <w:bCs/>
              </w:rPr>
              <w:t xml:space="preserve">Quei due numeri sono il marker 3 e il marker 1: sono la risposta sintomatica che rende utile la lettera, non la prova della tua ipotesi — quella resta il marker fuori piano scelto prima.</w:t>
            </w:r>
            <w:r>
              <w:t xml:space="preserve"> </w:t>
            </w:r>
            <w:r>
              <w:t xml:space="preserve">È anche una</w:t>
            </w:r>
            <w:r>
              <w:t xml:space="preserve"> </w:t>
            </w:r>
            <w:r>
              <w:rPr>
                <w:b/>
                <w:bCs/>
              </w:rPr>
              <w:t xml:space="preserve">soglia di smistamento</w:t>
            </w:r>
            <w:r>
              <w:t xml:space="preserve">: una stima che supera abbondantemente il centimetro porta il paziente a un GIALLO a canale medico prioritario, con l’entità scritta</w:t>
            </w:r>
            <w:r>
              <w:t xml:space="preserve"> </w:t>
            </w:r>
            <w:r>
              <w:rPr>
                <w:b/>
                <w:bCs/>
              </w:rPr>
              <w:t xml:space="preserve">come stima e non come misura</w:t>
            </w:r>
            <w:r>
              <w:t xml:space="preserve">.</w:t>
            </w:r>
          </w:p>
        </w:tc>
      </w:tr>
      <w:tr>
        <w:tc>
          <w:tcPr/>
          <w:p>
            <w:pPr>
              <w:pStyle w:val="Compact"/>
            </w:pPr>
            <w:r>
              <w:rPr>
                <w:b/>
                <w:bCs/>
              </w:rPr>
              <w:t xml:space="preserve">E c’è un limite della lettura, non solo dell’atto.</w:t>
            </w:r>
            <w:r>
              <w:t xml:space="preserve"> </w:t>
            </w:r>
            <w:r>
              <w:t xml:space="preserve">L’obliquità del bacino ha due origini che si somigliano: l’arto e la colonna. Distinguerle richiede una radiografia in piedi più un test di correzione</w:t>
            </w:r>
            <w:r>
              <w:t xml:space="preserve"> </w:t>
            </w:r>
            <w:r>
              <w:rPr>
                <w:b/>
                <w:bCs/>
              </w:rPr>
              <w:t xml:space="preserve">letto su quella radiografia</w:t>
            </w:r>
            <w:r>
              <w:t xml:space="preserve">. Un’obliquità che si risolve con la correzione a blocchi orienta all’arto; una deformità che persiste orienta alla colonna; e sbagliare l’origine ritarda le cure. Nei pazienti a</w:t>
            </w:r>
            <w:r>
              <w:t xml:space="preserve"> </w:t>
            </w:r>
            <w:r>
              <w:rPr>
                <w:b/>
                <w:bCs/>
              </w:rPr>
              <w:t xml:space="preserve">eziologia mista</w:t>
            </w:r>
            <w:r>
              <w:t xml:space="preserve"> </w:t>
            </w:r>
            <w:r>
              <w:t xml:space="preserve">la distinzione resta irrisolta anche per gli ortopedici (Truumees, 2026, PMID 41855582).</w:t>
            </w:r>
            <w:r>
              <w:t xml:space="preserve"> </w:t>
            </w:r>
            <w:r>
              <w:rPr>
                <w:i/>
                <w:iCs/>
              </w:rPr>
              <w:t xml:space="preserve">Sintesi qualitativa di 24 studi di coorte, livello di evidenza IV, e il test di correzione che descrive è radiografico: non è il nostro test con i blocchi, e non autorizza a leggere con le mani ciò che quella revisione legge su una lastra.</w:t>
            </w:r>
          </w:p>
        </w:tc>
      </w:tr>
      <w:tr>
        <w:tc>
          <w:tcPr/>
          <w:p>
            <w:pPr>
              <w:pStyle w:val="Compact"/>
            </w:pPr>
            <w:r>
              <w:t xml:space="preserve">&gt;</w:t>
            </w:r>
            <w:r>
              <w:t xml:space="preserve"> </w:t>
            </w: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per l’uso decisionale. Che il test con i blocchi sia il più utile fra i metodi clinici è DIMOSTRATO</w:t>
            </w:r>
            <w:r>
              <w:t xml:space="preserve"> </w:t>
            </w:r>
            <w:r>
              <w:rPr>
                <w:i/>
                <w:iCs/>
              </w:rPr>
              <w:t xml:space="preserve">(studi sull’uomo, solidi)</w:t>
            </w:r>
            <w:r>
              <w:t xml:space="preserve">. Che una risposta positiva predica il beneficio di un rialzo in questo paziente non l’ha misurato nessuno.</w:t>
            </w:r>
          </w:p>
        </w:tc>
      </w:tr>
      <w:tr>
        <w:tc>
          <w:tcPr/>
          <w:p>
            <w:pPr>
              <w:pStyle w:val="Compact"/>
            </w:pPr>
            <w:r>
              <w:t xml:space="preserve">Il riferimento normativo è il</w:t>
            </w:r>
            <w:r>
              <w:t xml:space="preserve"> </w:t>
            </w:r>
            <w:r>
              <w:rPr>
                <w:b/>
                <w:bCs/>
              </w:rPr>
              <w:t xml:space="preserve">DPR 131/2021</w:t>
            </w:r>
            <w:r>
              <w:t xml:space="preserve">.</w:t>
            </w:r>
          </w:p>
        </w:tc>
      </w:tr>
      <w:tr>
        <w:tc>
          <w:tcPr/>
          <w:p>
            <w:pPr>
              <w:pStyle w:val="Compact"/>
            </w:pPr>
            <w:r>
              <w:t xml:space="preserve">### I farmaci, e perché non li commenti</w:t>
            </w:r>
          </w:p>
        </w:tc>
      </w:tr>
      <w:tr>
        <w:tc>
          <w:tcPr/>
          <w:p>
            <w:pPr>
              <w:pStyle w:val="Compact"/>
            </w:pPr>
            <w:r>
              <w:t xml:space="preserve">Antinfiammatori, miorilassanti e cerotti medicati riducono il dolore. Non modificano la distribuzione del carico che continua a produrlo. Questo lo sai tu, e non lo dici a lui come giudizio.</w:t>
            </w:r>
            <w:r>
              <w:t xml:space="preserve"> </w:t>
            </w:r>
            <w:r>
              <w:rPr>
                <w:b/>
                <w:bCs/>
              </w:rPr>
              <w:t xml:space="preserve">Non si suggerisce mai di sospendere, ridurre o cambiare una terapia, nemmeno in forma dubitativa:</w:t>
            </w:r>
            <w:r>
              <w:t xml:space="preserve"> </w:t>
            </w:r>
            <w:r>
              <w:t xml:space="preserve">decide il prescrittore. Tu annoti cosa prende e lo comunichi per iscritto quando apri il canale medico.</w:t>
            </w:r>
          </w:p>
        </w:tc>
      </w:tr>
      <w:tr>
        <w:tc>
          <w:tcPr/>
          <w:p>
            <w:pPr>
              <w:pStyle w:val="Compact"/>
            </w:pPr>
            <w:r>
              <w:rPr>
                <w:b/>
                <w:bCs/>
              </w:rPr>
              <w:t xml:space="preserve">E se sbagli campo?</w:t>
            </w:r>
            <w:r>
              <w:t xml:space="preserve"> </w:t>
            </w:r>
            <w:r>
              <w:t xml:space="preserve">Il danno non è quasi mai una manovra: è il tempo. Un adolescente con un’epifisiolisi trattato tre settimane come un bacino ruotato perde la finestra in cui l’intervento è più semplice.</w:t>
            </w:r>
          </w:p>
        </w:tc>
      </w:tr>
      <w:tr>
        <w:tc>
          <w:tcPr/>
          <w:p>
            <w:pPr>
              <w:pStyle w:val="Compact"/>
            </w:pPr>
            <w:r>
              <w:rPr>
                <w:b/>
                <w:bCs/>
              </w:rPr>
              <w:t xml:space="preserve">Le tre cose da ricordare, più una</w:t>
            </w:r>
          </w:p>
        </w:tc>
      </w:tr>
      <w:tr>
        <w:tc>
          <w:tcPr/>
          <w:p>
            <w:pPr>
              <w:pStyle w:val="Compact"/>
            </w:pPr>
            <w:r>
              <w:t xml:space="preserve">- Il GIALLO è la norma su questa condizione, e ha un tetto in calendario: sei settimane, non un numero di sedute.</w:t>
            </w:r>
            <w:r>
              <w:t xml:space="preserve"> </w:t>
            </w:r>
            <w:r>
              <w:t xml:space="preserve">- Il ROSSO non ammette eccezioni: non si tratta nulla, nemmeno un distretto che sembra estraneo alla bandiera.</w:t>
            </w:r>
            <w:r>
              <w:t xml:space="preserve"> </w:t>
            </w:r>
            <w:r>
              <w:t xml:space="preserve">- Produrre una misura è vietato; provocare una risposta è nostro, e l’esito si scrive in minuti e in test, mai in millimetri.</w:t>
            </w:r>
            <w:r>
              <w:t xml:space="preserve"> </w:t>
            </w:r>
            <w:r>
              <w:t xml:space="preserve">-</w:t>
            </w:r>
            <w:r>
              <w:t xml:space="preserve"> </w:t>
            </w:r>
            <w:r>
              <w:rPr>
                <w:b/>
                <w:bCs/>
              </w:rPr>
              <w:t xml:space="preserve">Perché ci sei tu.</w:t>
            </w:r>
            <w:r>
              <w:t xml:space="preserve"> </w:t>
            </w:r>
            <w:r>
              <w:t xml:space="preserve">In chi ha mal di schiena, il cortisone prolungato porta la probabilità di frattura vertebrale al</w:t>
            </w:r>
            <w:r>
              <w:t xml:space="preserve"> </w:t>
            </w:r>
            <w:r>
              <w:rPr>
                <w:b/>
                <w:bCs/>
              </w:rPr>
              <w:t xml:space="preserve">33%</w:t>
            </w:r>
            <w:r>
              <w:t xml:space="preserve">, con IC 10–67% e da un solo studio. Il dato sta dentro una revisione che conclude una cosa diversa: molte bandiere rosse in uso non cambiano quasi per nulla la probabilità (Downie, 2013, PMID 24335669).</w:t>
            </w:r>
            <w:r>
              <w:t xml:space="preserve"> </w:t>
            </w:r>
            <w:r>
              <w:rPr>
                <w:b/>
                <w:bCs/>
              </w:rPr>
              <w:t xml:space="preserve">Per te:</w:t>
            </w:r>
            <w:r>
              <w:t xml:space="preserve"> </w:t>
            </w:r>
            <w:r>
              <w:t xml:space="preserve">è il dato che ti fa fermare davanti a un paziente che sembra semplice, e insieme quello che ti impedisce di trattare ogni bandiera come se pesasse uguale. Questo ti autorizza a scrivere l’invio e a rimandare il ciclo. Non ti autorizza a fare la lastra, a leggerla o a dire al paziente che una frattura c’è o non c’è.</w:t>
            </w:r>
          </w:p>
        </w:tc>
      </w:tr>
    </w:tbl>
    <w:bookmarkEnd w:id="39"/>
    <w:bookmarkEnd w:id="40"/>
    <w:bookmarkStart w:id="57"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l’intervento con le prove migliori non è la nostra mano, ed è un rialzo che prescrive qualcun altro.</w:t>
      </w:r>
    </w:p>
    <w:bookmarkStart w:id="41" w:name="lancora-e-perché-sono-due"/>
    <w:p>
      <w:pPr>
        <w:pStyle w:val="Heading3"/>
      </w:pPr>
      <w:r>
        <w:t xml:space="preserve">L’ancora, e perché sono due</w:t>
      </w:r>
    </w:p>
    <w:p>
      <w:pPr>
        <w:pStyle w:val="FirstParagraph"/>
      </w:pPr>
      <w:r>
        <w:t xml:space="preserve">Su questa condizione non esiste un ricercatore-ancora della terapia manuale.</w:t>
      </w:r>
      <w:r>
        <w:t xml:space="preserve"> </w:t>
      </w:r>
      <w:r>
        <w:rPr>
          <w:b/>
          <w:bCs/>
        </w:rPr>
        <w:t xml:space="preserve">Nessuno studio controllato ha misurato l’effetto del trattamento manuale in persone con una differenza di lunghezza documentata.</w:t>
      </w:r>
      <w:r>
        <w:t xml:space="preserve"> </w:t>
      </w:r>
      <w:r>
        <w:t xml:space="preserve">Le ancore sono due, e nessuna è osteopatica.</w:t>
      </w:r>
    </w:p>
    <w:p>
      <w:pPr>
        <w:pStyle w:val="BodyText"/>
      </w:pPr>
      <w:r>
        <w:rPr>
          <w:b/>
          <w:bCs/>
        </w:rPr>
        <w:t xml:space="preserve">L’ancora clinica è T. Mark Campbell</w:t>
      </w:r>
      <w:r>
        <w:t xml:space="preserve">, fisiatra a Ottawa. Ha firmato tre lavori: la revisione sistematica dell’intervento con le prove migliori, cioè il rialzo; lo studio che lega il deficit di estensione del ginocchio alla differenza misurata; e la meta-analisi su</w:t>
      </w:r>
      <w:r>
        <w:t xml:space="preserve"> </w:t>
      </w:r>
      <w:r>
        <w:rPr>
          <w:b/>
          <w:bCs/>
        </w:rPr>
        <w:t xml:space="preserve">come</w:t>
      </w:r>
      <w:r>
        <w:t xml:space="preserve"> </w:t>
      </w:r>
      <w:r>
        <w:t xml:space="preserve">quei gradi si recuperano.</w:t>
      </w:r>
    </w:p>
    <w:p>
      <w:pPr>
        <w:pStyle w:val="BodyText"/>
      </w:pPr>
      <w:r>
        <w:rPr>
          <w:b/>
          <w:bCs/>
        </w:rPr>
        <w:t xml:space="preserve">L’ancora del fenomeno e della misura è Gary A. Knutson</w:t>
      </w:r>
      <w:r>
        <w:t xml:space="preserve">, autore delle due revisioni del 2005 che hanno separato anatomica e funzionale e dato i numeri di popolazione. Il limite va dichiarato: sono revisioni</w:t>
      </w:r>
      <w:r>
        <w:t xml:space="preserve"> </w:t>
      </w:r>
      <w:r>
        <w:rPr>
          <w:b/>
          <w:bCs/>
        </w:rPr>
        <w:t xml:space="preserve">narrative</w:t>
      </w:r>
      <w:r>
        <w:t xml:space="preserve"> </w:t>
      </w:r>
      <w:r>
        <w:t xml:space="preserve">di vent’anni fa, e quello che regge non è il loro disegno, ma le serie radiografiche accurate che raccolgono.</w:t>
      </w:r>
    </w:p>
    <w:bookmarkEnd w:id="41"/>
    <w:bookmarkStart w:id="53"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(PubMed)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Knutson, 2005 (</w:t>
            </w:r>
            <w:hyperlink r:id="rId42">
              <w:r>
                <w:rPr>
                  <w:rStyle w:val="Hyperlink"/>
                </w:rPr>
                <w:t xml:space="preserve">16026625</w:t>
              </w:r>
            </w:hyperlink>
            <w:r>
              <w:t xml:space="preserve">)</w:t>
            </w:r>
          </w:p>
        </w:tc>
        <w:tc>
          <w:tcPr/>
          <w:p>
            <w:pPr>
              <w:pStyle w:val="Compact"/>
            </w:pPr>
            <w:r>
              <w:t xml:space="preserve">Prevalenza 90%, media 5,2 mm</w:t>
            </w:r>
          </w:p>
        </w:tc>
        <w:tc>
          <w:tcPr/>
          <w:p>
            <w:pPr>
              <w:pStyle w:val="Compact"/>
            </w:pPr>
            <w:r>
              <w:t xml:space="preserve">Togliere al numero il ruolo di diagnosi</w:t>
            </w:r>
          </w:p>
        </w:tc>
      </w:tr>
      <w:tr>
        <w:tc>
          <w:tcPr/>
          <w:p>
            <w:pPr>
              <w:pStyle w:val="Compact"/>
            </w:pPr>
            <w:r>
              <w:t xml:space="preserve">Harvey, 2010 (</w:t>
            </w:r>
            <w:hyperlink r:id="rId43">
              <w:r>
                <w:rPr>
                  <w:rStyle w:val="Hyperlink"/>
                </w:rPr>
                <w:t xml:space="preserve">20194234</w:t>
              </w:r>
            </w:hyperlink>
            <w:r>
              <w:t xml:space="preserve">)</w:t>
            </w:r>
          </w:p>
        </w:tc>
        <w:tc>
          <w:tcPr/>
          <w:p>
            <w:pPr>
              <w:pStyle w:val="Compact"/>
            </w:pPr>
            <w:r>
              <w:t xml:space="preserve">3.026 persone, artrosi del ginocchio corto</w:t>
            </w:r>
          </w:p>
        </w:tc>
        <w:tc>
          <w:tcPr/>
          <w:p>
            <w:pPr>
              <w:pStyle w:val="Compact"/>
            </w:pPr>
            <w:r>
              <w:t xml:space="preserve">Esaminare sempre il ginocchio corto</w:t>
            </w:r>
          </w:p>
        </w:tc>
      </w:tr>
      <w:tr>
        <w:tc>
          <w:tcPr/>
          <w:p>
            <w:pPr>
              <w:pStyle w:val="Compact"/>
            </w:pPr>
            <w:r>
              <w:t xml:space="preserve">Liu, 2018 (</w:t>
            </w:r>
            <w:hyperlink r:id="rId44">
              <w:r>
                <w:rPr>
                  <w:rStyle w:val="Hyperlink"/>
                </w:rPr>
                <w:t xml:space="preserve">29705080</w:t>
              </w:r>
            </w:hyperlink>
            <w:r>
              <w:t xml:space="preserve">)</w:t>
            </w:r>
          </w:p>
        </w:tc>
        <w:tc>
          <w:tcPr/>
          <w:p>
            <w:pPr>
              <w:pStyle w:val="Compact"/>
            </w:pPr>
            <w:r>
              <w:t xml:space="preserve">576 scheletri, nessuna correlazione</w:t>
            </w:r>
          </w:p>
        </w:tc>
        <w:tc>
          <w:tcPr/>
          <w:p>
            <w:pPr>
              <w:pStyle w:val="Compact"/>
            </w:pPr>
            <w:r>
              <w:t xml:space="preserve">Non trattare i millimetri in sé</w:t>
            </w:r>
          </w:p>
        </w:tc>
      </w:tr>
      <w:tr>
        <w:tc>
          <w:tcPr/>
          <w:p>
            <w:pPr>
              <w:pStyle w:val="Compact"/>
            </w:pPr>
            <w:r>
              <w:t xml:space="preserve">Wallwork, 2024 (</w:t>
            </w:r>
            <w:hyperlink r:id="rId45">
              <w:r>
                <w:rPr>
                  <w:rStyle w:val="Hyperlink"/>
                </w:rPr>
                <w:t xml:space="preserve">38253366</w:t>
              </w:r>
            </w:hyperlink>
            <w:r>
              <w:t xml:space="preserve">)</w:t>
            </w:r>
          </w:p>
        </w:tc>
        <w:tc>
          <w:tcPr/>
          <w:p>
            <w:pPr>
              <w:pStyle w:val="Compact"/>
            </w:pPr>
            <w:r>
              <w:t xml:space="preserve">Decorso persistente: 56 → 48 → 40/100</w:t>
            </w:r>
          </w:p>
        </w:tc>
        <w:tc>
          <w:tcPr/>
          <w:p>
            <w:pPr>
              <w:pStyle w:val="Compact"/>
            </w:pPr>
            <w:r>
              <w:t xml:space="preserve">Leggere i tuoi marker sapendolo</w:t>
            </w:r>
          </w:p>
        </w:tc>
      </w:tr>
      <w:tr>
        <w:tc>
          <w:tcPr/>
          <w:p>
            <w:pPr>
              <w:pStyle w:val="Compact"/>
            </w:pPr>
            <w:r>
              <w:t xml:space="preserve">Campbell, 2018 (</w:t>
            </w:r>
            <w:hyperlink r:id="rId46">
              <w:r>
                <w:rPr>
                  <w:rStyle w:val="Hyperlink"/>
                </w:rPr>
                <w:t xml:space="preserve">29229292</w:t>
              </w:r>
            </w:hyperlink>
            <w:r>
              <w:t xml:space="preserve">)</w:t>
            </w:r>
          </w:p>
        </w:tc>
        <w:tc>
          <w:tcPr/>
          <w:p>
            <w:pPr>
              <w:pStyle w:val="Compact"/>
            </w:pPr>
            <w:r>
              <w:t xml:space="preserve">Rialzi: 10 studi, uno randomizzato</w:t>
            </w:r>
          </w:p>
        </w:tc>
        <w:tc>
          <w:tcPr/>
          <w:p>
            <w:pPr>
              <w:pStyle w:val="Compact"/>
            </w:pPr>
            <w:r>
              <w:t xml:space="preserve">Segnalare, non promettere il rialzo</w:t>
            </w:r>
          </w:p>
        </w:tc>
      </w:tr>
      <w:tr>
        <w:tc>
          <w:tcPr/>
          <w:p>
            <w:pPr>
              <w:pStyle w:val="Compact"/>
            </w:pPr>
            <w:r>
              <w:t xml:space="preserve">Rannisto, 2019 (</w:t>
            </w:r>
            <w:hyperlink r:id="rId47">
              <w:r>
                <w:rPr>
                  <w:rStyle w:val="Hyperlink"/>
                </w:rPr>
                <w:t xml:space="preserve">30871549</w:t>
              </w:r>
            </w:hyperlink>
            <w:r>
              <w:t xml:space="preserve">)</w:t>
            </w:r>
          </w:p>
        </w:tc>
        <w:tc>
          <w:tcPr/>
          <w:p>
            <w:pPr>
              <w:pStyle w:val="Compact"/>
            </w:pPr>
            <w:r>
              <w:t xml:space="preserve">42 lavoratori in piedi, solette</w:t>
            </w:r>
          </w:p>
        </w:tc>
        <w:tc>
          <w:tcPr/>
          <w:p>
            <w:pPr>
              <w:pStyle w:val="Compact"/>
            </w:pPr>
            <w:r>
              <w:t xml:space="preserve">Segnalare chi lavora in piedi</w:t>
            </w:r>
          </w:p>
        </w:tc>
      </w:tr>
      <w:tr>
        <w:tc>
          <w:tcPr/>
          <w:p>
            <w:pPr>
              <w:pStyle w:val="Compact"/>
            </w:pPr>
            <w:r>
              <w:t xml:space="preserve">Tullberg, 1998 (</w:t>
            </w:r>
            <w:hyperlink r:id="rId48">
              <w:r>
                <w:rPr>
                  <w:rStyle w:val="Hyperlink"/>
                </w:rPr>
                <w:t xml:space="preserve">9615363</w:t>
              </w:r>
            </w:hyperlink>
            <w:r>
              <w:t xml:space="preserve">)</w:t>
            </w:r>
          </w:p>
        </w:tc>
        <w:tc>
          <w:tcPr/>
          <w:p>
            <w:pPr>
              <w:pStyle w:val="Compact"/>
            </w:pPr>
            <w:r>
              <w:t xml:space="preserve">Posizione sacro-ileo prima e dopo, n=10</w:t>
            </w:r>
          </w:p>
        </w:tc>
        <w:tc>
          <w:tcPr/>
          <w:p>
            <w:pPr>
              <w:pStyle w:val="Compact"/>
            </w:pPr>
            <w:r>
              <w:t xml:space="preserve">Cambiare marker, non promettere allineamento</w:t>
            </w:r>
          </w:p>
        </w:tc>
      </w:tr>
      <w:tr>
        <w:tc>
          <w:tcPr/>
          <w:p>
            <w:pPr>
              <w:pStyle w:val="Compact"/>
            </w:pPr>
            <w:r>
              <w:t xml:space="preserve">Cooperstein, 2016 (</w:t>
            </w:r>
            <w:hyperlink r:id="rId49">
              <w:r>
                <w:rPr>
                  <w:rStyle w:val="Hyperlink"/>
                </w:rPr>
                <w:t xml:space="preserve">27069265</w:t>
              </w:r>
            </w:hyperlink>
            <w:r>
              <w:t xml:space="preserve">)</w:t>
            </w:r>
          </w:p>
        </w:tc>
        <w:tc>
          <w:tcPr/>
          <w:p>
            <w:pPr>
              <w:pStyle w:val="Compact"/>
            </w:pPr>
            <w:r>
              <w:t xml:space="preserve">Palpazione delle spine, kappa 0,27</w:t>
            </w:r>
          </w:p>
        </w:tc>
        <w:tc>
          <w:tcPr/>
          <w:p>
            <w:pPr>
              <w:pStyle w:val="Compact"/>
            </w:pPr>
            <w:r>
              <w:t xml:space="preserve">Non fondare il mandato sulla palpazione</w:t>
            </w:r>
          </w:p>
        </w:tc>
      </w:tr>
      <w:tr>
        <w:tc>
          <w:tcPr/>
          <w:p>
            <w:pPr>
              <w:pStyle w:val="Compact"/>
            </w:pPr>
            <w:r>
              <w:t xml:space="preserve">Fournier, 2023 (</w:t>
            </w:r>
            <w:hyperlink r:id="rId50">
              <w:r>
                <w:rPr>
                  <w:rStyle w:val="Hyperlink"/>
                </w:rPr>
                <w:t xml:space="preserve">37209935</w:t>
              </w:r>
            </w:hyperlink>
            <w:r>
              <w:t xml:space="preserve">)</w:t>
            </w:r>
          </w:p>
        </w:tc>
        <w:tc>
          <w:tcPr/>
          <w:p>
            <w:pPr>
              <w:pStyle w:val="Compact"/>
            </w:pPr>
            <w:r>
              <w:t xml:space="preserve">Estensione del ginocchio e dismetria</w:t>
            </w:r>
          </w:p>
        </w:tc>
        <w:tc>
          <w:tcPr/>
          <w:p>
            <w:pPr>
              <w:pStyle w:val="Compact"/>
            </w:pPr>
            <w:r>
              <w:t xml:space="preserve">Misurare l’estensione dei due ginocchi</w:t>
            </w:r>
          </w:p>
        </w:tc>
      </w:tr>
      <w:tr>
        <w:tc>
          <w:tcPr/>
          <w:p>
            <w:pPr>
              <w:pStyle w:val="Compact"/>
            </w:pPr>
            <w:r>
              <w:t xml:space="preserve">Campbell, 2023 (</w:t>
            </w:r>
            <w:hyperlink r:id="rId51">
              <w:r>
                <w:rPr>
                  <w:rStyle w:val="Hyperlink"/>
                </w:rPr>
                <w:t xml:space="preserve">36691685</w:t>
              </w:r>
            </w:hyperlink>
            <w:r>
              <w:t xml:space="preserve">) · Huang, 2024 (</w:t>
            </w:r>
            <w:hyperlink r:id="rId52">
              <w:r>
                <w:rPr>
                  <w:rStyle w:val="Hyperlink"/>
                </w:rPr>
                <w:t xml:space="preserve">39424858</w:t>
              </w:r>
            </w:hyperlink>
            <w:r>
              <w:t xml:space="preserve">)</w:t>
            </w:r>
          </w:p>
        </w:tc>
        <w:tc>
          <w:tcPr/>
          <w:p>
            <w:pPr>
              <w:pStyle w:val="Compact"/>
            </w:pPr>
            <w:r>
              <w:t xml:space="preserve">Recupero dei gradi; controllo gluteo in dismetria funzionale</w:t>
            </w:r>
          </w:p>
        </w:tc>
        <w:tc>
          <w:tcPr/>
          <w:p>
            <w:pPr>
              <w:pStyle w:val="Compact"/>
            </w:pPr>
            <w:r>
              <w:t xml:space="preserve">Mettere il lavoro attivo al centro</w:t>
            </w:r>
          </w:p>
        </w:tc>
      </w:tr>
    </w:tbl>
    <w:bookmarkEnd w:id="53"/>
    <w:bookmarkStart w:id="54" w:name="i-tre-cerchi"/>
    <w:p>
      <w:pPr>
        <w:pStyle w:val="Heading3"/>
      </w:pPr>
      <w:r>
        <w:t xml:space="preserve">I tre cerchi</w:t>
      </w:r>
    </w:p>
    <w:p>
      <w:pPr>
        <w:pStyle w:val="FirstParagraph"/>
      </w:pPr>
      <w:r>
        <w:rPr>
          <w:b/>
          <w:bCs/>
        </w:rPr>
        <w:t xml:space="preserve">Cerchio 1 — l’evidenza specifica.</w:t>
      </w:r>
      <w:r>
        <w:t xml:space="preserve"> </w:t>
      </w:r>
      <w:r>
        <w:t xml:space="preserve">Riguarda il rialzo, non le mani, e sono due prove randomizzate piccole.</w:t>
      </w:r>
    </w:p>
    <w:p>
      <w:pPr>
        <w:pStyle w:val="BodyText"/>
      </w:pPr>
      <w:r>
        <w:t xml:space="preserve">La prima ha assegnato 33 pazienti con lombalgia cronica e differenza fino a 10 millimetri,</w:t>
      </w:r>
      <w:r>
        <w:t xml:space="preserve"> </w:t>
      </w:r>
      <w:r>
        <w:rPr>
          <w:b/>
          <w:bCs/>
        </w:rPr>
        <w:t xml:space="preserve">misurata con ultrasuoni</w:t>
      </w:r>
      <w:r>
        <w:t xml:space="preserve">, a una soletta su misura o a nessuna correzione. Dolore e disabilità sono migliorati (Defrin, 2005, PMID 16271551).</w:t>
      </w:r>
      <w:r>
        <w:t xml:space="preserve"> </w:t>
      </w:r>
      <w:r>
        <w:rPr>
          <w:b/>
          <w:bCs/>
        </w:rPr>
        <w:t xml:space="preserve">Il gruppo di confronto non riceveva nessuna soletta e lo studio non era in cieco</w:t>
      </w:r>
      <w:r>
        <w:t xml:space="preserve">, quindi decorso e aspettativa non sono separati dall’effetto.</w:t>
      </w:r>
    </w:p>
    <w:p>
      <w:pPr>
        <w:pStyle w:val="BodyText"/>
      </w:pPr>
      <w:r>
        <w:t xml:space="preserve">La seconda ha assegnato 42 macellai con differenza di almeno 5 millimetri,</w:t>
      </w:r>
      <w:r>
        <w:t xml:space="preserve"> </w:t>
      </w:r>
      <w:r>
        <w:rPr>
          <w:b/>
          <w:bCs/>
        </w:rPr>
        <w:t xml:space="preserve">misurata con laser-ultrasuoni</w:t>
      </w:r>
      <w:r>
        <w:t xml:space="preserve">, a solette con correzione del 70% o a</w:t>
      </w:r>
      <w:r>
        <w:t xml:space="preserve"> </w:t>
      </w:r>
      <w:r>
        <w:rPr>
          <w:b/>
          <w:bCs/>
        </w:rPr>
        <w:t xml:space="preserve">solette identiche senza correzione</w:t>
      </w:r>
      <w:r>
        <w:t xml:space="preserve">. Nel gruppo corretto il dolore lombare è migliorato di</w:t>
      </w:r>
      <w:r>
        <w:t xml:space="preserve"> </w:t>
      </w:r>
      <w:r>
        <w:rPr>
          <w:b/>
          <w:bCs/>
        </w:rPr>
        <w:t xml:space="preserve">2,6 punti su 10</w:t>
      </w:r>
      <w:r>
        <w:t xml:space="preserve"> </w:t>
      </w:r>
      <w:r>
        <w:t xml:space="preserve">in più, con meno assenze. È l’unica stima non confusa dall’aspettativa, ed è su venti persone trattate. L’88% che circola di più viene dagli studi</w:t>
      </w:r>
      <w:r>
        <w:t xml:space="preserve"> </w:t>
      </w:r>
      <w:r>
        <w:rPr>
          <w:b/>
          <w:bCs/>
        </w:rPr>
        <w:t xml:space="preserve">senza gruppo di confronto</w:t>
      </w:r>
      <w:r>
        <w:t xml:space="preserve"> </w:t>
      </w:r>
      <w:r>
        <w:t xml:space="preserve">della stessa revisione.</w:t>
      </w:r>
    </w:p>
    <w:p>
      <w:pPr>
        <w:pStyle w:val="BodyText"/>
      </w:pPr>
      <w:r>
        <w:rPr>
          <w:b/>
          <w:bCs/>
        </w:rPr>
        <w:t xml:space="preserve">Un dettaglio di disegno che vale una risposta clinica.</w:t>
      </w:r>
      <w:r>
        <w:t xml:space="preserve"> </w:t>
      </w:r>
      <w:r>
        <w:t xml:space="preserve">Rannisto ha corretto il</w:t>
      </w:r>
      <w:r>
        <w:t xml:space="preserve"> </w:t>
      </w:r>
      <w:r>
        <w:rPr>
          <w:b/>
          <w:bCs/>
        </w:rPr>
        <w:t xml:space="preserve">70%</w:t>
      </w:r>
      <w:r>
        <w:t xml:space="preserve"> </w:t>
      </w:r>
      <w:r>
        <w:t xml:space="preserve">della differenza, non il 100%. È il dato che spiega il paziente che sta peggio da quando porta il rialzo: un compenso di vent’anni ha una tolleranza al cambiamento. Che sia questa la ragione resta un’ipotesi; che gli studi abbiano corretto parzialmente è un fatto.</w:t>
      </w:r>
    </w:p>
    <w:p>
      <w:pPr>
        <w:pStyle w:val="BodyText"/>
      </w:pPr>
      <w:r>
        <w:rPr>
          <w:b/>
          <w:bCs/>
        </w:rPr>
        <w:t xml:space="preserve">Per te:</w:t>
      </w:r>
      <w:r>
        <w:t xml:space="preserve"> </w:t>
      </w:r>
      <w:r>
        <w:t xml:space="preserve">quando spieghi il rialzo, il numero da usare è il 2,6 su 10 in lavoratori che stanno in piedi tutto il giorno, non l’88%. La mansione in piedi è l’informazione che rende utile la tua segnalazione, perché è la popolazione in cui l’effetto è stato misurato. (Rannisto, 2019 — PMID 30871549)</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rPr>
          <w:b/>
          <w:bCs/>
        </w:rPr>
        <w:t xml:space="preserve">e ristretto a una popolazione sola</w:t>
      </w:r>
      <w:r>
        <w:t xml:space="preserve"> </w:t>
      </w:r>
      <w:r>
        <w:t xml:space="preserve">— il lavoratore con mansione in piedi, differenza di almeno 5 millimetri e lombalgia. Sono due prove randomizzate piccole, di cui una senza controllo credibile. Stanno dentro una revisione sistematica che giudica la qualità complessiva da molto bassa a scarsa, e che non ha potuto stabilire quale differenza vada corretta né con quale strategia.</w:t>
      </w:r>
    </w:p>
    <w:p>
      <w:pPr>
        <w:pStyle w:val="FirstParagraph"/>
      </w:pPr>
      <w:r>
        <w:rPr>
          <w:b/>
          <w:bCs/>
        </w:rPr>
        <w:t xml:space="preserve">Cerchio 2 — l’evidenza trasversale sul meccanismo.</w:t>
      </w:r>
      <w:r>
        <w:t xml:space="preserve"> </w:t>
      </w:r>
      <w:r>
        <w:t xml:space="preserve">È il cerchio che regge quasi tutto quello che facciamo qui. Una riga per dominio; i numeri e i disegni stanno ai punti d’uso.</w:t>
      </w:r>
    </w:p>
    <w:p>
      <w:pPr>
        <w:pStyle w:val="BodyText"/>
      </w:pPr>
      <w:r>
        <w:t xml:space="preserve">Sulla</w:t>
      </w:r>
      <w:r>
        <w:t xml:space="preserve"> </w:t>
      </w:r>
      <w:r>
        <w:rPr>
          <w:b/>
          <w:bCs/>
        </w:rPr>
        <w:t xml:space="preserve">posizione</w:t>
      </w:r>
      <w:r>
        <w:t xml:space="preserve">: la manipolazione normalizza i test posizionali senza spostare le ossa (Tullberg, 1998, PMID 9615363), e l’escursione del giunto sacroiliaco è uguale nei lati sintomatici e asintomatici (Sturesson, 1989, PMID 2922636).</w:t>
      </w:r>
      <w:r>
        <w:t xml:space="preserve"> </w:t>
      </w:r>
      <w:r>
        <w:rPr>
          <w:i/>
          <w:iCs/>
        </w:rPr>
        <w:t xml:space="preserve">Misurato su pazienti con disfunzione sacroiliaca sintomatica: il salto è di popolazione.</w:t>
      </w:r>
    </w:p>
    <w:p>
      <w:pPr>
        <w:pStyle w:val="BodyText"/>
      </w:pPr>
      <w:r>
        <w:t xml:space="preserve">Sul</w:t>
      </w:r>
      <w:r>
        <w:t xml:space="preserve"> </w:t>
      </w:r>
      <w:r>
        <w:rPr>
          <w:b/>
          <w:bCs/>
        </w:rPr>
        <w:t xml:space="preserve">dolore lombare in generale</w:t>
      </w:r>
      <w:r>
        <w:t xml:space="preserve">: il trattamento osteopatico riduce dolore e disabilità rispetto a controlli non-finti, con circa 13 punti su 100 sul dolore (Franke, 2014, PMID 25175885). Contro finto trattamento, su 400 persone, la differenza sulla limitazione d’attività è di</w:t>
      </w:r>
      <w:r>
        <w:t xml:space="preserve"> </w:t>
      </w:r>
      <w:r>
        <w:rPr>
          <w:b/>
          <w:bCs/>
        </w:rPr>
        <w:t xml:space="preserve">3,4 punti su 100</w:t>
      </w:r>
      <w:r>
        <w:t xml:space="preserve">, di rilevanza clinica dichiarata discutibile dagli autori (Nguyen, 2021, PMID 33720272).</w:t>
      </w:r>
      <w:r>
        <w:t xml:space="preserve"> </w:t>
      </w:r>
      <w:r>
        <w:rPr>
          <w:i/>
          <w:iCs/>
        </w:rPr>
        <w:t xml:space="preserve">Misurato su lombalgia aspecifica: il salto è di popolazione.</w:t>
      </w:r>
    </w:p>
    <w:p>
      <w:pPr>
        <w:pStyle w:val="BodyText"/>
      </w:pPr>
      <w:r>
        <w:t xml:space="preserve">Sull’</w:t>
      </w:r>
      <w:r>
        <w:rPr>
          <w:b/>
          <w:bCs/>
        </w:rPr>
        <w:t xml:space="preserve">escursione</w:t>
      </w:r>
      <w:r>
        <w:t xml:space="preserve">: i guadagni entro tre-otto settimane si spiegano soprattutto con una modifica della</w:t>
      </w:r>
      <w:r>
        <w:t xml:space="preserve"> </w:t>
      </w:r>
      <w:r>
        <w:rPr>
          <w:b/>
          <w:bCs/>
        </w:rPr>
        <w:t xml:space="preserve">tolleranza allo stiramento</w:t>
      </w:r>
      <w:r>
        <w:t xml:space="preserve">, non con un allungamento strutturale (Weppler, 2010, PMID 20075147). E quando il limite in estensione dipende da</w:t>
      </w:r>
      <w:r>
        <w:t xml:space="preserve"> </w:t>
      </w:r>
      <w:r>
        <w:rPr>
          <w:b/>
          <w:bCs/>
        </w:rPr>
        <w:t xml:space="preserve">inibizione artrogena del quadricipite</w:t>
      </w:r>
      <w:r>
        <w:t xml:space="preserve">, si sposta in settimane, non in una seduta (Rice e McNair, 2010, PMID 19954822).</w:t>
      </w:r>
    </w:p>
    <w:p>
      <w:pPr>
        <w:pStyle w:val="BodyText"/>
      </w:pPr>
      <w:r>
        <w:t xml:space="preserve">Sul</w:t>
      </w:r>
      <w:r>
        <w:t xml:space="preserve"> </w:t>
      </w:r>
      <w:r>
        <w:rPr>
          <w:b/>
          <w:bCs/>
        </w:rPr>
        <w:t xml:space="preserve">dolore</w:t>
      </w:r>
      <w:r>
        <w:t xml:space="preserve">: la soglia dolorosa a pressione sale sistemicamente dopo</w:t>
      </w:r>
      <w:r>
        <w:t xml:space="preserve"> </w:t>
      </w:r>
      <w:r>
        <w:rPr>
          <w:b/>
          <w:bCs/>
        </w:rPr>
        <w:t xml:space="preserve">manipolazione spinale</w:t>
      </w:r>
      <w:r>
        <w:t xml:space="preserve">, ma</w:t>
      </w:r>
      <w:r>
        <w:t xml:space="preserve"> </w:t>
      </w:r>
      <w:r>
        <w:rPr>
          <w:b/>
          <w:bCs/>
        </w:rPr>
        <w:t xml:space="preserve">contro finto trattamento la differenza non è significativa</w:t>
      </w:r>
      <w:r>
        <w:t xml:space="preserve"> </w:t>
      </w:r>
      <w:r>
        <w:t xml:space="preserve">(Aspinall, 2019, PMID 30719281).</w:t>
      </w:r>
    </w:p>
    <w:p>
      <w:pPr>
        <w:pStyle w:val="BodyText"/>
      </w:pPr>
      <w:r>
        <w:t xml:space="preserve">Sulla</w:t>
      </w:r>
      <w:r>
        <w:t xml:space="preserve"> </w:t>
      </w:r>
      <w:r>
        <w:rPr>
          <w:b/>
          <w:bCs/>
        </w:rPr>
        <w:t xml:space="preserve">stazione eretta</w:t>
      </w:r>
      <w:r>
        <w:t xml:space="preserve">: rompere il pattern di co-attivazione degli abduttori riduce il dolore da stazione eretta (Nelson-Wong, 2010, PMID 20116046).</w:t>
      </w:r>
      <w:r>
        <w:t xml:space="preserve"> </w:t>
      </w:r>
      <w:r>
        <w:rPr>
          <w:i/>
          <w:iCs/>
        </w:rPr>
        <w:t xml:space="preserve">Misurato su soggetti sani: il salto è di popolazione.</w:t>
      </w:r>
    </w:p>
    <w:p>
      <w:pPr>
        <w:pStyle w:val="BodyText"/>
      </w:pPr>
      <w:r>
        <w:t xml:space="preserve">Sulle</w:t>
      </w:r>
      <w:r>
        <w:t xml:space="preserve"> </w:t>
      </w:r>
      <w:r>
        <w:rPr>
          <w:b/>
          <w:bCs/>
        </w:rPr>
        <w:t xml:space="preserve">parole</w:t>
      </w:r>
      <w:r>
        <w:t xml:space="preserve">: le etichette diagnostiche cambiano gravità percepita e aspettative (O’Keeffe, 2022, PMID 35616226).</w:t>
      </w:r>
      <w:r>
        <w:t xml:space="preserve"> </w:t>
      </w:r>
      <w:r>
        <w:rPr>
          <w:i/>
          <w:iCs/>
        </w:rPr>
        <w:t xml:space="preserve">Misurato su un caso ipotetico, non su pazienti trattati: il salto è di intervento.</w:t>
      </w:r>
    </w:p>
    <w:p>
      <w:pPr>
        <w:pStyle w:val="BodyText"/>
      </w:pPr>
      <w:r>
        <w:rPr>
          <w:b/>
          <w:bCs/>
        </w:rPr>
        <w:t xml:space="preserve">La regola del ponte vale su tutte.</w:t>
      </w:r>
      <w:r>
        <w:t xml:space="preserve"> </w:t>
      </w:r>
      <w:r>
        <w:t xml:space="preserve">Queste fonti alzano l’etichetta del</w:t>
      </w:r>
      <w:r>
        <w:t xml:space="preserve"> </w:t>
      </w:r>
      <w:r>
        <w:rPr>
          <w:b/>
          <w:bCs/>
        </w:rPr>
        <w:t xml:space="preserve">meccanismo</w:t>
      </w:r>
      <w:r>
        <w:t xml:space="preserve">, mai quella della</w:t>
      </w:r>
      <w:r>
        <w:t xml:space="preserve"> </w:t>
      </w:r>
      <w:r>
        <w:rPr>
          <w:b/>
          <w:bCs/>
        </w:rPr>
        <w:t xml:space="preserve">leva</w:t>
      </w:r>
      <w:r>
        <w:t xml:space="preserve"> </w:t>
      </w:r>
      <w:r>
        <w:t xml:space="preserve">su questa condizione: nessuna ha misurato quello che facciamo, in chi lo riceve da noi.</w:t>
      </w:r>
    </w:p>
    <w:p>
      <w:pPr>
        <w:pStyle w:val="BodyText"/>
      </w:pPr>
      <w:r>
        <w:rPr>
          <w:b/>
          <w:bCs/>
        </w:rPr>
        <w:t xml:space="preserve">Cerchio 3 — la fisiologia di base.</w:t>
      </w:r>
      <w:r>
        <w:t xml:space="preserve"> </w:t>
      </w:r>
      <w:r>
        <w:t xml:space="preserve">Sono le misure che rendono anatomicamente sensato il ragionamento e non reggono nessuna efficacia. La relazione millimetrica fra dismetria, obliquità e rotazione, con R² da 0,08 a 0,29 secondo la domanda posta. Viene da una casistica ortopedica pediatrica di curve sotto i 15 gradi Cobb (Marsiolo, 2023). La variabilità di forma del bacino su cadavere (Preece, 2008). La prevalenza dell’asimmetria pelvica su tomografia (Badii, 2003). Il contributo dell’estensione del ginocchio, con R 0,167 (Fournier, 2023). La distribuzione del dolore riferito dalla sacroiliaca (Slipman, 2000).</w:t>
      </w:r>
    </w:p>
    <w:bookmarkEnd w:id="54"/>
    <w:bookmarkStart w:id="55" w:name="cosa-possiamo-dire-e-cosa-no"/>
    <w:p>
      <w:pPr>
        <w:pStyle w:val="Heading3"/>
      </w:pPr>
      <w:r>
        <w:t xml:space="preserve">Cosa possiamo dire e cosa no</w:t>
      </w:r>
    </w:p>
    <w:p>
      <w:pPr>
        <w:pStyle w:val="FirstParagraph"/>
      </w:pPr>
      <w:r>
        <w:rPr>
          <w:b/>
          <w:bCs/>
        </w:rPr>
        <w:t xml:space="preserve">Possiamo dire</w:t>
      </w:r>
      <w:r>
        <w:t xml:space="preserve"> </w:t>
      </w:r>
      <w:r>
        <w:t xml:space="preserve">questo. Che nove persone su dieci hanno una differenza fra le gambe, con media poco più di mezzo centimetro. Che sopra il centimetro esiste un’associazione con l’artrosi del ginocchio corto, su una coorte. Che il dolore lombare persistente scende da solo di circa 8 punti su 100 in sei settimane, con certezza molto bassa. Che la palpazione dell’altezza dei reperi pelvici non ha un’affidabilità utilizzabile. Che in dieci pazienti misurati con stereofotogrammetria la manipolazione non ha spostato le ossa del bacino. Che due prove randomizzate piccole mostrano un beneficio del rialzo, in particolare nel lavoratore in piedi. Che esercizio e cammino progressivo hanno prove più ampie di qualunque intervento manuale su questa famiglia di problemi. Che escursione e tempo di tolleranza sono i nostri esiti.</w:t>
      </w:r>
    </w:p>
    <w:p>
      <w:pPr>
        <w:pStyle w:val="BodyText"/>
      </w:pPr>
      <w:r>
        <w:rPr>
          <w:b/>
          <w:bCs/>
        </w:rPr>
        <w:t xml:space="preserve">Non possiamo dire</w:t>
      </w:r>
      <w:r>
        <w:t xml:space="preserve"> </w:t>
      </w:r>
      <w:r>
        <w:t xml:space="preserve">questo. Che il trattamento manuale riduca il dolore in persone con dismetria documentata, perché nessuno l’ha misurato. Che riequilibrare il bacino riallinei qualcosa. Che la dismetria causi l’artrosi. Che una differenza sotto il centimetro spieghi vent’anni di sintomi. Che il rialzo sia indicato in un paziente specifico, perché non esiste una soglia stabilita. Che i nostri test posizionali misurino una posizione. Che recuperare gradi di estensione riduca la differenza misurata, perché lo studio che lega le due cose è trasversale. Che le precauzioni sull’anca protesizzata riducano il rischio di lussazione, perché la revisione che dà il 2%</w:t>
      </w:r>
      <w:r>
        <w:t xml:space="preserve"> </w:t>
      </w:r>
      <w:r>
        <w:rPr>
          <w:b/>
          <w:bCs/>
        </w:rPr>
        <w:t xml:space="preserve">non trova differenza</w:t>
      </w:r>
      <w:r>
        <w:t xml:space="preserve"> </w:t>
      </w:r>
      <w:r>
        <w:t xml:space="preserve">fra chi le riceve e chi no (Crompton, 2020). Che il trattamento osteopatico riduca il</w:t>
      </w:r>
      <w:r>
        <w:t xml:space="preserve"> </w:t>
      </w:r>
      <w:r>
        <w:rPr>
          <w:b/>
          <w:bCs/>
        </w:rPr>
        <w:t xml:space="preserve">dolore</w:t>
      </w:r>
      <w:r>
        <w:t xml:space="preserve"> </w:t>
      </w:r>
      <w:r>
        <w:t xml:space="preserve">contro finto trattamento, perché su quel confronto la differenza non è significativa (−1,0; IC −5,5 a 3,5; p = 0,66) e il 3,4 riguarda la limitazione d’attività (Nguyen, 2021). Che l’esercizio sia superiore alla terapia manuale, perché nel confronto diretto la differenza è di</w:t>
      </w:r>
      <w:r>
        <w:t xml:space="preserve"> </w:t>
      </w:r>
      <w:r>
        <w:rPr>
          <w:b/>
          <w:bCs/>
        </w:rPr>
        <w:t xml:space="preserve">1,0 punti, IC da −3,1 a 5,1</w:t>
      </w:r>
      <w:r>
        <w:t xml:space="preserve"> </w:t>
      </w:r>
      <w:r>
        <w:t xml:space="preserve">(Hayden, 2021).</w:t>
      </w:r>
    </w:p>
    <w:bookmarkEnd w:id="55"/>
    <w:bookmarkStart w:id="56" w:name="quando-la-scienza-tace"/>
    <w:p>
      <w:pPr>
        <w:pStyle w:val="Heading3"/>
      </w:pPr>
      <w:r>
        <w:t xml:space="preserve">Quando la scienza tace</w:t>
      </w:r>
    </w:p>
    <w:p>
      <w:pPr>
        <w:pStyle w:val="FirstParagraph"/>
      </w:pPr>
      <w:r>
        <w:t xml:space="preserve">Sul rialzo la letteratura parla, poco e piano.</w:t>
      </w:r>
      <w:r>
        <w:t xml:space="preserve"> </w:t>
      </w:r>
      <w:r>
        <w:rPr>
          <w:b/>
          <w:bCs/>
        </w:rPr>
        <w:t xml:space="preserve">Sulle nostre mani in questa condizione non parla affatto.</w:t>
      </w:r>
    </w:p>
    <w:p>
      <w:pPr>
        <w:pStyle w:val="BodyText"/>
      </w:pPr>
      <w:r>
        <w:rPr>
          <w:b/>
          <w:bCs/>
        </w:rPr>
        <w:t xml:space="preserve">1. Assenza di prove non è prova di assenza.</w:t>
      </w:r>
      <w:r>
        <w:t xml:space="preserve"> </w:t>
      </w:r>
      <w:r>
        <w:t xml:space="preserve">Che nessuno abbia misurato l’effetto del trattamento manuale in persone con dismetria non dice niente sulla sua efficacia. Dice che nessuno l’ha misurata. Sono due affermazioni diverse, e confonderle è un errore di logica, non un eccesso di prudenza.</w:t>
      </w:r>
    </w:p>
    <w:p>
      <w:pPr>
        <w:pStyle w:val="BodyText"/>
      </w:pPr>
      <w:r>
        <w:rPr>
          <w:b/>
          <w:bCs/>
        </w:rPr>
        <w:t xml:space="preserve">2. Perché quella letteratura non esiste.</w:t>
      </w:r>
      <w:r>
        <w:t xml:space="preserve"> </w:t>
      </w:r>
      <w:r>
        <w:t xml:space="preserve">Non perché gli studi siano stati fatti e siano risultati negativi: quello sarebbe un dato. Non sono stati fatti. La dismetria non apre un finanziamento. Non esiste un esito standardizzato per questa popolazione. Non esiste un finto trattamento credibile per il tocco. E per arruolare servirebbe una radiografia sotto carico su ciascun candidato.</w:t>
      </w:r>
      <w:r>
        <w:t xml:space="preserve"> </w:t>
      </w:r>
      <w:r>
        <w:rPr>
          <w:b/>
          <w:bCs/>
        </w:rPr>
        <w:t xml:space="preserve">E qualcuno ci ha provato davvero.</w:t>
      </w:r>
      <w:r>
        <w:t xml:space="preserve"> </w:t>
      </w:r>
      <w:r>
        <w:t xml:space="preserve">Un pilota osteopatico esiste: dodici persone con lombalgia acuta e dismetria sopra i 3 millimetri, un rilascio miofasciale sulla fascia toracolombare, la dismetria misurata con un laser prima e dopo. I suoi autori concludono da soli che</w:t>
      </w:r>
      <w:r>
        <w:t xml:space="preserve"> </w:t>
      </w:r>
      <w:r>
        <w:rPr>
          <w:b/>
          <w:bCs/>
        </w:rPr>
        <w:t xml:space="preserve">la misura che hanno usato non è valida</w:t>
      </w:r>
      <w:r>
        <w:t xml:space="preserve"> </w:t>
      </w:r>
      <w:r>
        <w:t xml:space="preserve">per uno studio randomizzato (Brandl, 2022, PMID 36258943).</w:t>
      </w:r>
      <w:r>
        <w:t xml:space="preserve"> </w:t>
      </w:r>
      <w:r>
        <w:rPr>
          <w:i/>
          <w:iCs/>
        </w:rPr>
        <w:t xml:space="preserve">Dodici persone, nessun gruppo di controllo, lombalgia acuta e non cronica, e una misura che gli autori stessi dichiarano non valida: non dice che il trattamento funzioni, dice perché quello studio non è ancora stato fatto.</w:t>
      </w:r>
      <w:r>
        <w:t xml:space="preserve"> </w:t>
      </w:r>
      <w:r>
        <w:t xml:space="preserve">Non manca la voglia: manca lo strumento di misura.</w:t>
      </w:r>
    </w:p>
    <w:p>
      <w:pPr>
        <w:pStyle w:val="BodyText"/>
      </w:pPr>
      <w:r>
        <w:rPr>
          <w:b/>
          <w:bCs/>
        </w:rPr>
        <w:t xml:space="preserve">3. Su cosa ti basi allora.</w:t>
      </w:r>
      <w:r>
        <w:t xml:space="preserve"> </w:t>
      </w:r>
      <w:r>
        <w:t xml:space="preserve">Nell’ordine. Sul</w:t>
      </w:r>
      <w:r>
        <w:t xml:space="preserve"> </w:t>
      </w:r>
      <w:r>
        <w:rPr>
          <w:b/>
          <w:bCs/>
        </w:rPr>
        <w:t xml:space="preserve">meccanismo fisiologico</w:t>
      </w:r>
      <w:r>
        <w:t xml:space="preserve"> </w:t>
      </w:r>
      <w:r>
        <w:t xml:space="preserve">documentato dai cerchi 2 e 3. Sul</w:t>
      </w:r>
      <w:r>
        <w:t xml:space="preserve"> </w:t>
      </w:r>
      <w:r>
        <w:rPr>
          <w:b/>
          <w:bCs/>
        </w:rPr>
        <w:t xml:space="preserve">ragionamento clinico</w:t>
      </w:r>
      <w:r>
        <w:t xml:space="preserve">, dichiarato come ragionamento. E sulla</w:t>
      </w:r>
      <w:r>
        <w:t xml:space="preserve"> </w:t>
      </w:r>
      <w:r>
        <w:rPr>
          <w:b/>
          <w:bCs/>
        </w:rPr>
        <w:t xml:space="preserve">verifica nel singolo paziente</w:t>
      </w:r>
      <w:r>
        <w:t xml:space="preserve">: un marker scelto</w:t>
      </w:r>
      <w:r>
        <w:t xml:space="preserve"> </w:t>
      </w:r>
      <w:r>
        <w:rPr>
          <w:b/>
          <w:bCs/>
        </w:rPr>
        <w:t xml:space="preserve">prima</w:t>
      </w:r>
      <w:r>
        <w:t xml:space="preserve"> </w:t>
      </w:r>
      <w:r>
        <w:t xml:space="preserve">di trattare, misurato prima e dopo, con una soglia dichiarata.</w:t>
      </w:r>
    </w:p>
    <w:p>
      <w:pPr>
        <w:pStyle w:val="BodyText"/>
      </w:pPr>
      <w:r>
        <w:rPr>
          <w:b/>
          <w:bCs/>
        </w:rPr>
        <w:t xml:space="preserve">4. Cosa separa questo dal pensiero magico.</w:t>
      </w:r>
      <w:r>
        <w:t xml:space="preserve"> </w:t>
      </w:r>
      <w:r>
        <w:t xml:space="preserve">La verifica, e nient’altro. Scegliere il marker prima e accettarne il verdetto è scienza applicata a un caso singolo. Scegliere il marker dopo aver visto il paziente migliorare, no. È la stessa distinzione che in ricerca separa un protocollo registrato da un’analisi fatta a risultati noti.</w:t>
      </w:r>
    </w:p>
    <w:p>
      <w:pPr>
        <w:pStyle w:val="BodyText"/>
      </w:pPr>
      <w:r>
        <w:rPr>
          <w:b/>
          <w:bCs/>
        </w:rPr>
        <w:t xml:space="preserve">5. Cosa questo non autorizza.</w:t>
      </w:r>
      <w:r>
        <w:t xml:space="preserve"> </w:t>
      </w:r>
      <w:r>
        <w:t xml:space="preserve">Non autorizza a promettere un esito. Non autorizza a scrivere DIMOSTRATO dove c’è IPOTESI. Non autorizza a dire al paziente che gli studi confermano quello che stai facendo. La libertà che questo ragionamento dà è quella di</w:t>
      </w:r>
      <w:r>
        <w:t xml:space="preserve"> </w:t>
      </w:r>
      <w:r>
        <w:rPr>
          <w:b/>
          <w:bCs/>
        </w:rPr>
        <w:t xml:space="preserve">trattare e verificare</w:t>
      </w:r>
      <w:r>
        <w:t xml:space="preserve">, non quella di affermare.</w:t>
      </w:r>
    </w:p>
    <w:p>
      <w:pPr>
        <w:pStyle w:val="BodyText"/>
      </w:pPr>
      <w:r>
        <w:rPr>
          <w:b/>
          <w:bCs/>
        </w:rPr>
        <w:t xml:space="preserve">Le tre cose da ricordare, più una</w:t>
      </w:r>
    </w:p>
    <w:p>
      <w:pPr>
        <w:pStyle w:val="Compact"/>
        <w:numPr>
          <w:ilvl w:val="0"/>
          <w:numId w:val="1019"/>
        </w:numPr>
      </w:pPr>
      <w:r>
        <w:t xml:space="preserve">L’intervento con le prove migliori su questa condizione non è nostro: è un rialzo, e lo prescrive un altro.</w:t>
      </w:r>
    </w:p>
    <w:p>
      <w:pPr>
        <w:pStyle w:val="Compact"/>
        <w:numPr>
          <w:ilvl w:val="0"/>
          <w:numId w:val="1019"/>
        </w:numPr>
      </w:pPr>
      <w:r>
        <w:t xml:space="preserve">Ogni fonte che regge il nostro lavoro viene da un’altra popolazione, e questo si scrive accanto ogni volta.</w:t>
      </w:r>
    </w:p>
    <w:p>
      <w:pPr>
        <w:pStyle w:val="Compact"/>
        <w:numPr>
          <w:ilvl w:val="0"/>
          <w:numId w:val="1019"/>
        </w:numPr>
      </w:pPr>
      <w:r>
        <w:t xml:space="preserve">Il silenzio della letteratura non chiude la stanza: sposta il peso sulla verifica del singolo paziente.</w:t>
      </w:r>
    </w:p>
    <w:p>
      <w:pPr>
        <w:pStyle w:val="Compact"/>
        <w:numPr>
          <w:ilvl w:val="0"/>
          <w:numId w:val="1019"/>
        </w:numPr>
      </w:pPr>
      <w:r>
        <w:rPr>
          <w:b/>
          <w:bCs/>
        </w:rPr>
        <w:t xml:space="preserve">Perché ci sei tu.</w:t>
      </w:r>
      <w:r>
        <w:t xml:space="preserve"> </w:t>
      </w:r>
      <w:r>
        <w:t xml:space="preserve">La revisione sistematica delle misure ha stabilito due cose. Che la radiografia in piedi a lunghezza intera è il riferimento. E che fra i metodi clinici il test con i blocchi è il più utile (Alfuth, 2021, PMID 34928991).</w:t>
      </w:r>
      <w:r>
        <w:t xml:space="preserve"> </w:t>
      </w:r>
      <w:r>
        <w:rPr>
          <w:b/>
          <w:bCs/>
        </w:rPr>
        <w:t xml:space="preserve">Per te:</w:t>
      </w:r>
      <w:r>
        <w:t xml:space="preserve"> </w:t>
      </w:r>
      <w:r>
        <w:t xml:space="preserve">il paziente quasi mai ha l’esame che serve, e quasi sempre ha una stima fatta a mano da qualcuno. Questo ti autorizza a usare i blocchi come test di risposta e a scrivere al curante perché una misura sotto carico cambierebbe la lettura del caso. Non ti autorizza a produrre tu la misura.</w:t>
      </w:r>
    </w:p>
    <w:p>
      <w:r>
        <w:pict>
          <v:rect style="width:0;height:1.5pt" o:hralign="center" o:hrstd="t" o:hr="t"/>
        </w:pict>
      </w:r>
    </w:p>
    <w:bookmarkEnd w:id="56"/>
    <w:bookmarkEnd w:id="57"/>
    <w:bookmarkStart w:id="60"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la tua mano non allunga un osso e non riposiziona un bacino, e ha comunque quattro leve reali su questo paziente.</w:t>
      </w:r>
    </w:p>
    <w:p>
      <w:pPr>
        <w:pStyle w:val="FirstParagraph"/>
      </w:pPr>
      <w:r>
        <w:rPr>
          <w:b/>
          <w:bCs/>
        </w:rPr>
        <w:t xml:space="preserve">Sulla base inclinata.</w:t>
      </w:r>
      <w:r>
        <w:t xml:space="preserve"> </w:t>
      </w:r>
      <w:r>
        <w:t xml:space="preserve">Su cosa agisce la mano: sui segmenti lombari inferiori che pagano la curva di compenso, e sulla tolleranza al carico del lato che regge di più. Effetto atteso: più minuti in piedi, non una base più dritta. Tempo: sul dolore dentro la seduta, sulla tolleranza in due o tre settimane.</w:t>
      </w:r>
      <w:r>
        <w:t xml:space="preserve"> </w:t>
      </w:r>
      <w:r>
        <w:rPr>
          <w:b/>
          <w:bCs/>
        </w:rPr>
        <w:t xml:space="preserve">La leva sulla causa qui non è tua</w:t>
      </w:r>
      <w:r>
        <w:t xml:space="preserve">: è il rialzo, e lo valuta il medico. Tuo è mettergli in mano il motivo per cui varrebbe la pena misurare, e intanto lavorare su ciò che paga.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sull’effetto in questa popolazione. Il razionale poggia sulla modulazione del dolore lombare da terapia manuale, misurata su lombalgia aspecifica.</w:t>
      </w:r>
    </w:p>
    <w:p>
      <w:pPr>
        <w:pStyle w:val="FirstParagraph"/>
      </w:pPr>
      <w:r>
        <w:rPr>
          <w:b/>
          <w:bCs/>
        </w:rPr>
        <w:t xml:space="preserve">Sulla dose asimmetrica accumulata.</w:t>
      </w:r>
      <w:r>
        <w:t xml:space="preserve"> </w:t>
      </w:r>
      <w:r>
        <w:t xml:space="preserve">Su cosa agisce la mano: sull’escursione dell’anca, sull’estensione del ginocchio e sulla dorsiflessione della caviglia del lato coinvolto. Effetto atteso: una parte della differenza percepita si riduce, perché la corsa articolare torna disponibile e il carico si ridistribuisce.</w:t>
      </w:r>
    </w:p>
    <w:p>
      <w:pPr>
        <w:pStyle w:val="BodyText"/>
      </w:pPr>
      <w:r>
        <w:rPr>
          <w:b/>
          <w:bCs/>
        </w:rPr>
        <w:t xml:space="preserve">Tempo, e qui la riga si spezza perché i due fenomeni sono diversi.</w:t>
      </w:r>
      <w:r>
        <w:t xml:space="preserve"> </w:t>
      </w:r>
      <w:r>
        <w:t xml:space="preserve">I gradi cambiano dentro la seduta, ed è</w:t>
      </w:r>
      <w:r>
        <w:t xml:space="preserve"> </w:t>
      </w:r>
      <w:r>
        <w:rPr>
          <w:b/>
          <w:bCs/>
        </w:rPr>
        <w:t xml:space="preserve">tolleranza allo stiramento</w:t>
      </w:r>
      <w:r>
        <w:t xml:space="preserve">, non un osso più lungo: torna indietro se non viene usato. La parte di deficit che dipende dall’</w:t>
      </w:r>
      <w:r>
        <w:rPr>
          <w:b/>
          <w:bCs/>
        </w:rPr>
        <w:t xml:space="preserve">inibizione del quadricipite</w:t>
      </w:r>
      <w:r>
        <w:t xml:space="preserve"> </w:t>
      </w:r>
      <w:r>
        <w:t xml:space="preserve">si sposta in settimane, e con il carico, non con il lettino (Weppler, 2010, PMID 20075147; Rice e McNair, 2010, PMID 19954822 —</w:t>
      </w:r>
      <w:r>
        <w:t xml:space="preserve"> </w:t>
      </w:r>
      <w:r>
        <w:rPr>
          <w:i/>
          <w:iCs/>
        </w:rPr>
        <w:t xml:space="preserve">misurati su tessuto sano e su ginocchio artrosico o post-traumatico, non su persone con dismetria</w:t>
      </w:r>
      <w:r>
        <w:t xml:space="preserve">). È il punto in cui questo capitolo aggancia «Cosa può fare il paziente da solo»: il tuo guadagno è l’apertura, il suo carico è quello che la tiene.</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il deficit di estensione del ginocchio è associato alla differenza di lunghezza misurata (Fournier, 2023, PMID 37209935),</w:t>
      </w:r>
      <w:r>
        <w:t xml:space="preserve"> </w:t>
      </w:r>
      <w:r>
        <w:rPr>
          <w:i/>
          <w:iCs/>
        </w:rPr>
        <w:t xml:space="preserve">misurato in persone con artrosi di ginocchio o a rischio: il salto è di popolazione</w:t>
      </w:r>
      <w:r>
        <w:t xml:space="preserve">.</w:t>
      </w:r>
      <w:r>
        <w:t xml:space="preserve"> </w:t>
      </w:r>
      <w:r>
        <w:rPr>
          <w:b/>
          <w:bCs/>
        </w:rPr>
        <w:t xml:space="preserve">PROBABILE</w:t>
      </w:r>
      <w:r>
        <w:t xml:space="preserve"> </w:t>
      </w:r>
      <w:r>
        <w:rPr>
          <w:i/>
          <w:iCs/>
        </w:rPr>
        <w:t xml:space="preserve">(razionale forte, prove parziali)</w:t>
      </w:r>
      <w:r>
        <w:t xml:space="preserve"> </w:t>
      </w:r>
      <w:r>
        <w:t xml:space="preserve">che quei gradi si recuperino: +9,1 gradi di estensione di ginocchio (IC 3,4–14,8), con certezza delle prove moderata (Campbell, 2023, PMID 36691685) —</w:t>
      </w:r>
      <w:r>
        <w:t xml:space="preserve"> </w:t>
      </w:r>
      <w:r>
        <w:rPr>
          <w:i/>
          <w:iCs/>
        </w:rPr>
        <w:t xml:space="preserve">misurato su ginocchia artrosiche non operate: il salto è di popolazione; e misurato su programmi di settimane, non su una seduta, perché quel guadagno è della ripetizione e il capitolo che lo possiede è «Cosa può fare il paziente da solo»</w:t>
      </w:r>
      <w:r>
        <w:t xml:space="preserve">.</w:t>
      </w:r>
      <w:r>
        <w:t xml:space="preserve"> </w:t>
      </w:r>
      <w:r>
        <w:rPr>
          <w:b/>
          <w:bCs/>
        </w:rPr>
        <w:t xml:space="preserve">IPOTESI</w:t>
      </w:r>
      <w:r>
        <w:t xml:space="preserve"> </w:t>
      </w:r>
      <w:r>
        <w:rPr>
          <w:i/>
          <w:iCs/>
        </w:rPr>
        <w:t xml:space="preserve">(meccanismo coerente, nessuno studio)</w:t>
      </w:r>
      <w:r>
        <w:t xml:space="preserve"> </w:t>
      </w:r>
      <w:r>
        <w:t xml:space="preserve">che il guadagno di escursione riduca la differenza misurata e il sintomo: nessuno l’ha rimisurato</w:t>
      </w:r>
      <w:r>
        <w:t xml:space="preserve"> </w:t>
      </w:r>
      <w:r>
        <w:rPr>
          <w:b/>
          <w:bCs/>
        </w:rPr>
        <w:t xml:space="preserve">con una misura che regga</w:t>
      </w:r>
      <w:r>
        <w:t xml:space="preserve">. Un solo studio riporta una riduzione della dismetria dopo allenamento (Huang, 2024, PMID 39424858). L’ha misurata con un metodo clinico che questa Bibbia dichiara inaffidabile, e per quella ragione il dato non entra fra i suoi esiti utilizzabili. E un guadagno passivo non implica che il gesto lo usi.</w:t>
      </w:r>
    </w:p>
    <w:p>
      <w:pPr>
        <w:pStyle w:val="FirstParagraph"/>
      </w:pPr>
      <w:r>
        <w:rPr>
          <w:b/>
          <w:bCs/>
        </w:rPr>
        <w:t xml:space="preserve">Sul riferimento sbagliato.</w:t>
      </w:r>
      <w:r>
        <w:t xml:space="preserve"> </w:t>
      </w:r>
      <w:r>
        <w:t xml:space="preserve">Su cosa agisce la mano: sui tessuti molli e sulla risposta dolorosa della regione sacroiliaca e glutea. Effetto atteso: meno test di provocazione positivi e meno dolore,</w:t>
      </w:r>
      <w:r>
        <w:t xml:space="preserve"> </w:t>
      </w:r>
      <w:r>
        <w:rPr>
          <w:b/>
          <w:bCs/>
        </w:rPr>
        <w:t xml:space="preserve">mai una posizione diversa</w:t>
      </w:r>
      <w:r>
        <w:t xml:space="preserve">. Tempo: i test cambiano dentro la seduta</w:t>
      </w:r>
      <w:r>
        <w:t xml:space="preserve"> </w:t>
      </w:r>
      <w:r>
        <w:rPr>
          <w:b/>
          <w:bCs/>
        </w:rPr>
        <w:t xml:space="preserve">e possono tornare come prima in poche ore. Quello che conta è se sono ancora cambiati alla seduta successiva</w:t>
      </w:r>
      <w:r>
        <w:t xml:space="preserve">, prima che tu tocchi il paziente.</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la manipolazione</w:t>
      </w:r>
      <w:r>
        <w:t xml:space="preserve"> </w:t>
      </w:r>
      <w:r>
        <w:rPr>
          <w:b/>
          <w:bCs/>
        </w:rPr>
        <w:t xml:space="preserve">non</w:t>
      </w:r>
      <w:r>
        <w:t xml:space="preserve"> </w:t>
      </w:r>
      <w:r>
        <w:t xml:space="preserve">cambi la posizione fra sacro e ileo mentre normalizza i test posizionali: un’assenza dimostrata su dieci pazienti pre-post, senza controllo, non è un DIMOSTRATO (Tullberg, 1998, PMID 9615363). Il razionale è rinforzato in modo indipendente dall’escursione totale del giunto, 2,5 gradi e 0,7 millimetri (Sturesson, 1989, PMID 2922636): due vie diverse portano alla stessa conclusione.</w:t>
      </w:r>
      <w:r>
        <w:t xml:space="preserve"> </w:t>
      </w:r>
      <w:r>
        <w:rPr>
          <w:b/>
          <w:bCs/>
        </w:rPr>
        <w:t xml:space="preserve">PROBABILE</w:t>
      </w:r>
      <w:r>
        <w:t xml:space="preserve"> </w:t>
      </w:r>
      <w:r>
        <w:rPr>
          <w:i/>
          <w:iCs/>
        </w:rPr>
        <w:t xml:space="preserve">(razionale forte, prove parziali)</w:t>
      </w:r>
      <w:r>
        <w:t xml:space="preserve"> </w:t>
      </w:r>
      <w:r>
        <w:t xml:space="preserve">l’effetto sul dolore, per estensione dalla lombalgia aspecifica. Lì la differenza contro finto trattamento è di 3,4 punti su 100, e la sua rilevanza clinica è dichiarata discutibile dagli autori (Nguyen, 2021, PMID 33720272).</w:t>
      </w:r>
    </w:p>
    <w:p>
      <w:pPr>
        <w:pStyle w:val="FirstParagraph"/>
      </w:pPr>
      <w:r>
        <w:rPr>
          <w:b/>
          <w:bCs/>
        </w:rPr>
        <w:t xml:space="preserve">Sulla parola che è diventata un sintomo.</w:t>
      </w:r>
      <w:r>
        <w:t xml:space="preserve"> </w:t>
      </w:r>
      <w:r>
        <w:t xml:space="preserve">Qui la mano è il contesto, e la leva è quello che dici mentre la usi. Effetto atteso:</w:t>
      </w:r>
      <w:r>
        <w:t xml:space="preserve"> </w:t>
      </w:r>
      <w:r>
        <w:rPr>
          <w:i/>
          <w:iCs/>
        </w:rPr>
        <w:t xml:space="preserve">dismetria</w:t>
      </w:r>
      <w:r>
        <w:t xml:space="preserve"> </w:t>
      </w:r>
      <w:r>
        <w:t xml:space="preserve">smette di significare</w:t>
      </w:r>
      <w:r>
        <w:t xml:space="preserve"> </w:t>
      </w:r>
      <w:r>
        <w:rPr>
          <w:i/>
          <w:iCs/>
        </w:rPr>
        <w:t xml:space="preserve">sono rotto</w:t>
      </w:r>
      <w:r>
        <w:t xml:space="preserve"> </w:t>
      </w:r>
      <w:r>
        <w:t xml:space="preserve">e comincia a significare</w:t>
      </w:r>
      <w:r>
        <w:t xml:space="preserve"> </w:t>
      </w:r>
      <w:r>
        <w:rPr>
          <w:i/>
          <w:iCs/>
        </w:rPr>
        <w:t xml:space="preserve">sono uno dei nove su dieci</w:t>
      </w:r>
      <w:r>
        <w:t xml:space="preserve">. Tempo: dentro la prima seduta, e si mantiene solo se le tue misure lo confermano.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le etichette cambiano gravità percepita e aspettativa di guarigione (O’Keeffe, 2022, PMID 35616226).</w:t>
      </w:r>
      <w:r>
        <w:t xml:space="preserve"> </w:t>
      </w:r>
      <w:r>
        <w:rPr>
          <w:i/>
          <w:iCs/>
        </w:rPr>
        <w:t xml:space="preserve">Misurato con etichette somministrate per iscritto su un caso ipotetico, non con una spiegazione data da un osteopata in stanza: il salto è di intervento ed erogatore.</w:t>
      </w:r>
    </w:p>
    <w:p>
      <w:pPr>
        <w:pStyle w:val="FirstParagraph"/>
      </w:pPr>
      <w:r>
        <w:rPr>
          <w:b/>
          <w:bCs/>
        </w:rPr>
        <w:t xml:space="preserve">Sul muscolo che non stacca mai. Qui le leve sono due, con etichette diverse.</w:t>
      </w:r>
    </w:p>
    <w:p>
      <w:pPr>
        <w:pStyle w:val="BodyText"/>
      </w:pPr>
      <w:r>
        <w:rPr>
          <w:i/>
          <w:iCs/>
        </w:rPr>
        <w:t xml:space="preserve">La prima: rompere il pattern di appoggio.</w:t>
      </w:r>
      <w:r>
        <w:t xml:space="preserve"> </w:t>
      </w:r>
      <w:r>
        <w:t xml:space="preserve">Qui la prova regge il meccanismo, non la leva. Non è una manovra: è un cambiamento di come il paziente sta in piedi, e appartiene per metà a te e per metà a lui. Il dato e il suo rovescio stanno in «Cosa può fare il paziente da solo», che è il capitolo che li possiede.</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la co-attivazione bilaterale del gluteo medio preceda il dolore (Nelson-Wong, 2010, PMID 19467607).</w:t>
      </w:r>
      <w:r>
        <w:t xml:space="preserve"> </w:t>
      </w:r>
      <w:r>
        <w:rPr>
          <w:b/>
          <w:bCs/>
        </w:rPr>
        <w:t xml:space="preserve">IPOTESI</w:t>
      </w:r>
      <w:r>
        <w:t xml:space="preserve"> </w:t>
      </w:r>
      <w:r>
        <w:rPr>
          <w:i/>
          <w:iCs/>
        </w:rPr>
        <w:t xml:space="preserve">(meccanismo coerente, nessuno studio)</w:t>
      </w:r>
      <w:r>
        <w:t xml:space="preserve"> </w:t>
      </w:r>
      <w:r>
        <w:t xml:space="preserve">che romperla riduca il dolore</w:t>
      </w:r>
      <w:r>
        <w:t xml:space="preserve"> </w:t>
      </w:r>
      <w:r>
        <w:rPr>
          <w:b/>
          <w:bCs/>
        </w:rPr>
        <w:t xml:space="preserve">in questa condizione</w:t>
      </w:r>
      <w:r>
        <w:t xml:space="preserve">: il 59,4% viene da un solo studio di laboratorio su soggetti sani (PMID 20116046).</w:t>
      </w:r>
      <w:r>
        <w:t xml:space="preserve"> </w:t>
      </w:r>
      <w:r>
        <w:rPr>
          <w:i/>
          <w:iCs/>
        </w:rPr>
        <w:t xml:space="preserve">Il salto è di popolazione, e la prova regge il meccanismo, non la leva.</w:t>
      </w:r>
    </w:p>
    <w:p>
      <w:pPr>
        <w:pStyle w:val="FirstParagraph"/>
      </w:pPr>
      <w:r>
        <w:rPr>
          <w:i/>
          <w:iCs/>
        </w:rPr>
        <w:t xml:space="preserve">La seconda: abbassare il livello di attivazione.</w:t>
      </w:r>
      <w:r>
        <w:t xml:space="preserve"> </w:t>
      </w:r>
      <w:r>
        <w:t xml:space="preserve">Contatto lento, ritmo del respiro, tempo dedicato: è lavoro manuale a tutti gli effetti, mirato altrove. Effetto atteso: un paziente che tollera più minuti fermo in piedi, e una soglia dolorosa che alla seduta successiva è ancora sopra il basale. Tempo: effetto di stato dentro la seduta, spostamento della soglia in settimane.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sullo</w:t>
      </w:r>
      <w:r>
        <w:t xml:space="preserve"> </w:t>
      </w:r>
      <w:r>
        <w:rPr>
          <w:b/>
          <w:bCs/>
        </w:rPr>
        <w:t xml:space="preserve">stato tonico</w:t>
      </w:r>
      <w:r>
        <w:t xml:space="preserve"> </w:t>
      </w:r>
      <w:r>
        <w:t xml:space="preserve">di attivazione dopo trattamento manuale nessuno ha misurato niente. La conduttanza cutanea, che circola come prova contraria, misura la risposta a uno stimolo e non il livello di fondo: non è la stessa grandezza. E la verifica va spostata nel tempo, perché la soglia dolorosa sale dopo</w:t>
      </w:r>
      <w:r>
        <w:t xml:space="preserve"> </w:t>
      </w:r>
      <w:r>
        <w:rPr>
          <w:b/>
          <w:bCs/>
        </w:rPr>
        <w:t xml:space="preserve">manipolazione spinale</w:t>
      </w:r>
      <w:r>
        <w:t xml:space="preserve"> </w:t>
      </w:r>
      <w:r>
        <w:t xml:space="preserve">e contro finto trattamento non si distingue (Aspinall, 2019, PMID 30719281): sul contatto lento nessuno l’ha misurata, la cautela si applica per analogia, e conta il valore della seduta dopo.</w:t>
      </w:r>
    </w:p>
    <w:bookmarkStart w:id="58" w:name="X313a9305afc17cefd332a43187892ca69ddea55"/>
    <w:p>
      <w:pPr>
        <w:pStyle w:val="Heading3"/>
      </w:pPr>
      <w:r>
        <w:t xml:space="preserve">Cosa fa l’osteopata che il resto del percorso non fa</w:t>
      </w:r>
    </w:p>
    <w:p>
      <w:pPr>
        <w:pStyle w:val="FirstParagraph"/>
      </w:pPr>
      <w:r>
        <w:rPr>
          <w:b/>
          <w:bCs/>
        </w:rPr>
        <w:t xml:space="preserve">Misura l’escursione dei due lati e la scrive.</w:t>
      </w:r>
      <w:r>
        <w:t xml:space="preserve"> </w:t>
      </w:r>
      <w:r>
        <w:t xml:space="preserve">Nessuno confronta le due anche, i due ginocchi e le due caviglie nella stessa visita.</w:t>
      </w:r>
    </w:p>
    <w:p>
      <w:pPr>
        <w:pStyle w:val="BodyText"/>
      </w:pPr>
      <w:r>
        <w:rPr>
          <w:b/>
          <w:bCs/>
        </w:rPr>
        <w:t xml:space="preserve">Collega la dose al sintomo.</w:t>
      </w:r>
      <w:r>
        <w:t xml:space="preserve"> </w:t>
      </w:r>
      <w:r>
        <w:t xml:space="preserve">Ore in piedi, ricambio dei turni, mansione: spiegano perché il dolore arriva la sera, e nessuno le raccoglie.</w:t>
      </w:r>
    </w:p>
    <w:p>
      <w:pPr>
        <w:pStyle w:val="BodyText"/>
      </w:pPr>
      <w:r>
        <w:rPr>
          <w:b/>
          <w:bCs/>
        </w:rPr>
        <w:t xml:space="preserve">Restituisce alla parola il suo peso reale.</w:t>
      </w:r>
      <w:r>
        <w:t xml:space="preserve"> </w:t>
      </w:r>
      <w:r>
        <w:t xml:space="preserve">Con i numeri di popolazione in mano è un intervento sul meccanismo, non una cortesia.</w:t>
      </w:r>
    </w:p>
    <w:bookmarkEnd w:id="58"/>
    <w:bookmarkStart w:id="59" w:name="X35d55babe8955eede7a07e8a3f3d9f86afabaf5"/>
    <w:p>
      <w:pPr>
        <w:pStyle w:val="Heading3"/>
      </w:pPr>
      <w:r>
        <w:t xml:space="preserve">Cosa non possono fare le mani, su questa condizione</w:t>
      </w:r>
    </w:p>
    <w:p>
      <w:pPr>
        <w:pStyle w:val="FirstParagraph"/>
      </w:pPr>
      <w:r>
        <w:t xml:space="preserve">Va detto per primo, perché qui il limite è grande.</w:t>
      </w:r>
      <w:r>
        <w:t xml:space="preserve"> </w:t>
      </w:r>
      <w:r>
        <w:rPr>
          <w:b/>
          <w:bCs/>
        </w:rPr>
        <w:t xml:space="preserve">Non allungano un osso.</w:t>
      </w:r>
      <w:r>
        <w:t xml:space="preserve"> </w:t>
      </w:r>
      <w:r>
        <w:rPr>
          <w:b/>
          <w:bCs/>
        </w:rPr>
        <w:t xml:space="preserve">Non riposizionano il bacino:</w:t>
      </w:r>
      <w:r>
        <w:t xml:space="preserve"> </w:t>
      </w:r>
      <w:r>
        <w:t xml:space="preserve">nei dieci pazienti in cui è stato misurato, non lo hanno fatto.</w:t>
      </w:r>
      <w:r>
        <w:t xml:space="preserve"> </w:t>
      </w:r>
      <w:r>
        <w:rPr>
          <w:b/>
          <w:bCs/>
        </w:rPr>
        <w:t xml:space="preserve">Non producono la misura</w:t>
      </w:r>
      <w:r>
        <w:t xml:space="preserve"> </w:t>
      </w:r>
      <w:r>
        <w:t xml:space="preserve">che deciderebbe il caso.</w:t>
      </w:r>
      <w:r>
        <w:t xml:space="preserve"> </w:t>
      </w:r>
      <w:r>
        <w:rPr>
          <w:b/>
          <w:bCs/>
        </w:rPr>
        <w:t xml:space="preserve">Non correggono l’asimmetria visibile</w:t>
      </w:r>
      <w:r>
        <w:t xml:space="preserve">, e se un ciclo viene venduto su quella promessa fallisce anche quando il paziente sta meglio. Il</w:t>
      </w:r>
      <w:r>
        <w:t xml:space="preserve"> </w:t>
      </w:r>
      <w:r>
        <w:rPr>
          <w:b/>
          <w:bCs/>
        </w:rPr>
        <w:t xml:space="preserve">come si fa</w:t>
      </w:r>
      <w:r>
        <w:t xml:space="preserve"> </w:t>
      </w:r>
      <w:r>
        <w:t xml:space="preserve">non è qui. Sta nella Procedura della Dismetria: due pagine, tecniche, dosi e piano delle sedute.</w:t>
      </w:r>
    </w:p>
    <w:p>
      <w:pPr>
        <w:pStyle w:val="BodyText"/>
      </w:pPr>
      <w:r>
        <w:rPr>
          <w:b/>
          <w:bCs/>
        </w:rPr>
        <w:t xml:space="preserve">Le tre cose da ricordare, più una</w:t>
      </w:r>
    </w:p>
    <w:p>
      <w:pPr>
        <w:pStyle w:val="Compact"/>
        <w:numPr>
          <w:ilvl w:val="0"/>
          <w:numId w:val="1020"/>
        </w:numPr>
      </w:pPr>
      <w:r>
        <w:t xml:space="preserve">Le tue quattro leve reali sono escursione, dolore, livello di attivazione e la parola che gli restituisci: nessuna delle quattro è l’allineamento.</w:t>
      </w:r>
    </w:p>
    <w:p>
      <w:pPr>
        <w:pStyle w:val="Compact"/>
        <w:numPr>
          <w:ilvl w:val="0"/>
          <w:numId w:val="1020"/>
        </w:numPr>
      </w:pPr>
      <w:r>
        <w:t xml:space="preserve">I gradi che guadagni in seduta sono tolleranza allo stiramento; la corsa vera si recupera in settimane, e con il carico.</w:t>
      </w:r>
    </w:p>
    <w:p>
      <w:pPr>
        <w:pStyle w:val="Compact"/>
        <w:numPr>
          <w:ilvl w:val="0"/>
          <w:numId w:val="1020"/>
        </w:numPr>
      </w:pPr>
      <w:r>
        <w:t xml:space="preserve">Il paziente in cui comanda l’attivazione è quello in cui hai più da fare, non meno.</w:t>
      </w:r>
    </w:p>
    <w:p>
      <w:pPr>
        <w:pStyle w:val="Compact"/>
        <w:numPr>
          <w:ilvl w:val="0"/>
          <w:numId w:val="1020"/>
        </w:numPr>
      </w:pPr>
      <w:r>
        <w:rPr>
          <w:b/>
          <w:bCs/>
        </w:rPr>
        <w:t xml:space="preserve">Perché ci sei tu.</w:t>
      </w:r>
      <w:r>
        <w:t xml:space="preserve"> </w:t>
      </w:r>
      <w:r>
        <w:t xml:space="preserve">Contro un finto trattamento, in lombalgia aspecifica, il trattamento osteopatico ha prodotto</w:t>
      </w:r>
      <w:r>
        <w:t xml:space="preserve"> </w:t>
      </w:r>
      <w:r>
        <w:rPr>
          <w:b/>
          <w:bCs/>
        </w:rPr>
        <w:t xml:space="preserve">3,4 punti di differenza su 100</w:t>
      </w:r>
      <w:r>
        <w:t xml:space="preserve">, con rilevanza clinica dichiarata discutibile dagli autori (Nguyen, 2021, PMID 33720272); nello stesso periodo il decorso spontaneo nel dolore</w:t>
      </w:r>
      <w:r>
        <w:t xml:space="preserve"> </w:t>
      </w:r>
      <w:r>
        <w:rPr>
          <w:b/>
          <w:bCs/>
        </w:rPr>
        <w:t xml:space="preserve">persistente</w:t>
      </w:r>
      <w:r>
        <w:t xml:space="preserve"> </w:t>
      </w:r>
      <w:r>
        <w:t xml:space="preserve">vale circa 8 punti su 100, con certezza dichiarata molto bassa (Wallwork, 2024, PMID 38253366).</w:t>
      </w:r>
      <w:r>
        <w:t xml:space="preserve"> </w:t>
      </w:r>
      <w:r>
        <w:rPr>
          <w:b/>
          <w:bCs/>
        </w:rPr>
        <w:t xml:space="preserve">Per te:</w:t>
      </w:r>
      <w:r>
        <w:t xml:space="preserve"> </w:t>
      </w:r>
      <w:r>
        <w:t xml:space="preserve">i due numeri non si dividono l’uno per l’altro. Il 3,4 è limitazione d’attività in una prova randomizzata; l’8 sono punti di dolore su una traiettoria di coorte. Sono due scale e due costrutti diversi. Quello che dicono insieme è che</w:t>
      </w:r>
      <w:r>
        <w:t xml:space="preserve"> </w:t>
      </w:r>
      <w:r>
        <w:rPr>
          <w:b/>
          <w:bCs/>
        </w:rPr>
        <w:t xml:space="preserve">l’effetto specifico misurato è piccolo</w:t>
      </w:r>
      <w:r>
        <w:t xml:space="preserve"> </w:t>
      </w:r>
      <w:r>
        <w:t xml:space="preserve">e che</w:t>
      </w:r>
      <w:r>
        <w:t xml:space="preserve"> </w:t>
      </w:r>
      <w:r>
        <w:rPr>
          <w:b/>
          <w:bCs/>
        </w:rPr>
        <w:t xml:space="preserve">il decorso spontaneo del tuo paziente è modesto e stimato male</w:t>
      </w:r>
      <w:r>
        <w:t xml:space="preserve">: nessuno dei due ti dà un margine da cui dedurre il tuo risultato. È esattamente per questo che il marker scelto prima conta. Questo ti autorizza a dichiarare un effetto misurato e modesto. Non ti autorizza a concludere che il ciclo non serva: quei numeri non misurano il tempo di tolleranza in piedi, che è il tuo.</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Capitolo 12 — Cosa può fare il paziente da solo</w:t>
            </w:r>
          </w:p>
        </w:tc>
      </w:tr>
      <w:tr>
        <w:tc>
          <w:tcPr/>
          <w:p>
            <w:pPr>
              <w:pStyle w:val="Compact"/>
            </w:pPr>
            <w:r>
              <w:t xml:space="preserve">&gt;</w:t>
            </w:r>
            <w:r>
              <w:t xml:space="preserve"> </w:t>
            </w:r>
            <w:r>
              <w:rPr>
                <w:b/>
                <w:bCs/>
              </w:rPr>
              <w:t xml:space="preserve">In una riga:</w:t>
            </w:r>
            <w:r>
              <w:t xml:space="preserve"> </w:t>
            </w:r>
            <w:r>
              <w:t xml:space="preserve">su questo quadro la leva attiva ha una base di prove molto più ampia della tua mano; e una di quelle prove è stata presa proprio in persone con dismetria funzionale misurata.</w:t>
            </w:r>
          </w:p>
        </w:tc>
      </w:tr>
      <w:tr>
        <w:tc>
          <w:tcPr/>
          <w:p>
            <w:pPr>
              <w:pStyle w:val="Compact"/>
            </w:pPr>
            <w:r>
              <w:t xml:space="preserve">Il capitolo esiste perché due strumenti attivi reggono un PROBABILE con più studi controllati.</w:t>
            </w:r>
            <w:r>
              <w:t xml:space="preserve"> </w:t>
            </w:r>
            <w:r>
              <w:rPr>
                <w:b/>
                <w:bCs/>
              </w:rPr>
              <w:t xml:space="preserve">Uno solo di quegli studi è stato condotto in persone con dismetria misurata, ed è piccolo.</w:t>
            </w:r>
            <w:r>
              <w:t xml:space="preserve"> </w:t>
            </w:r>
            <w:r>
              <w:t xml:space="preserve">Per gli altri l’estrapolazione è dichiarata in ogni box, e l’etichetta non sale mai sopra PROBABILE.</w:t>
            </w:r>
          </w:p>
        </w:tc>
      </w:tr>
      <w:tr>
        <w:tc>
          <w:tcPr/>
          <w:p>
            <w:pPr>
              <w:pStyle w:val="Compact"/>
            </w:pPr>
            <w:r>
              <w:t xml:space="preserve">### Strumento 1 — Il cammino progressivo</w:t>
            </w:r>
          </w:p>
        </w:tc>
      </w:tr>
      <w:tr>
        <w:tc>
          <w:tcPr/>
          <w:p>
            <w:pPr>
              <w:pStyle w:val="Compact"/>
            </w:pPr>
            <w:r>
              <w:rPr>
                <w:b/>
                <w:bCs/>
              </w:rPr>
              <w:t xml:space="preserve">Cos’è.</w:t>
            </w:r>
            <w:r>
              <w:t xml:space="preserve"> </w:t>
            </w:r>
            <w:r>
              <w:t xml:space="preserve">È camminare in quantità crescente, dentro un percorso in cui qualcuno spiega perché. La prova che lo sostiene ha testato un</w:t>
            </w:r>
            <w:r>
              <w:t xml:space="preserve"> </w:t>
            </w:r>
            <w:r>
              <w:rPr>
                <w:b/>
                <w:bCs/>
              </w:rPr>
              <w:t xml:space="preserve">pacchetto di cammino ed educazione</w:t>
            </w:r>
            <w:r>
              <w:t xml:space="preserve">, non il cammino da solo, e i due ingredienti non sono separabili.</w:t>
            </w:r>
          </w:p>
        </w:tc>
      </w:tr>
      <w:tr>
        <w:tc>
          <w:tcPr/>
          <w:p>
            <w:pPr>
              <w:pStyle w:val="Compact"/>
            </w:pPr>
            <w:r>
              <w:rPr>
                <w:b/>
                <w:bCs/>
              </w:rPr>
              <w:t xml:space="preserve">Su quale meccanismo agisce.</w:t>
            </w:r>
            <w:r>
              <w:t xml:space="preserve"> </w:t>
            </w:r>
            <w:r>
              <w:t xml:space="preserve">Su «la dose asimmetrica accumulata» e su «il muscolo che non stacca mai». È l’unica attività quotidiana in cui i turni di carico si alternano continuamente: l’opposto della stazione eretta ferma su una gamba.</w:t>
            </w:r>
          </w:p>
        </w:tc>
      </w:tr>
      <w:tr>
        <w:tc>
          <w:tcPr/>
          <w:p>
            <w:pPr>
              <w:pStyle w:val="Compact"/>
            </w:pPr>
            <w:r>
              <w:rPr>
                <w:b/>
                <w:bCs/>
              </w:rPr>
              <w:t xml:space="preserve">Cosa hanno misurato gli studi.</w:t>
            </w:r>
            <w:r>
              <w:t xml:space="preserve"> </w:t>
            </w:r>
            <w:r>
              <w:t xml:space="preserve">Una prova randomizzata su 701 adulti australiani da poco guariti da un episodio di lombalgia aspecifica. Il programma era individualizzato e progressivo, di cammino ed educazione: sei incontri di fisioterapia in sei mesi, contro</w:t>
            </w:r>
            <w:r>
              <w:t xml:space="preserve"> </w:t>
            </w:r>
            <w:r>
              <w:rPr>
                <w:b/>
                <w:bCs/>
              </w:rPr>
              <w:t xml:space="preserve">nessun trattamento</w:t>
            </w:r>
            <w:r>
              <w:t xml:space="preserve">. Ha ritardato la ricaduta:</w:t>
            </w:r>
            <w:r>
              <w:t xml:space="preserve"> </w:t>
            </w:r>
            <w:r>
              <w:rPr>
                <w:b/>
                <w:bCs/>
              </w:rPr>
              <w:t xml:space="preserve">mediana di 208 giorni contro 112</w:t>
            </w:r>
            <w:r>
              <w:t xml:space="preserve">, con rischio ridotto del</w:t>
            </w:r>
            <w:r>
              <w:t xml:space="preserve"> </w:t>
            </w:r>
            <w:r>
              <w:rPr>
                <w:b/>
                <w:bCs/>
              </w:rPr>
              <w:t xml:space="preserve">28%</w:t>
            </w:r>
            <w:r>
              <w:t xml:space="preserve"> </w:t>
            </w:r>
            <w:r>
              <w:t xml:space="preserve">(hazard ratio 0,72; IC 0,60–0,85).</w:t>
            </w:r>
          </w:p>
        </w:tc>
      </w:tr>
      <w:tr>
        <w:tc>
          <w:tcPr/>
          <w:p>
            <w:pPr>
              <w:pStyle w:val="Compact"/>
            </w:pPr>
            <w:r>
              <w:rPr>
                <w:b/>
                <w:bCs/>
              </w:rPr>
              <w:t xml:space="preserve">Per te:</w:t>
            </w:r>
            <w:r>
              <w:t xml:space="preserve"> </w:t>
            </w:r>
            <w:r>
              <w:t xml:space="preserve">ti autorizza a mettere il cammino al centro invece che in coda, e a dirlo con un numero. La parte più importante del ciclo non succede sul lettino, e il paziente deve saperlo dalla prima seduta. (Pocovi,</w:t>
            </w:r>
            <w:r>
              <w:t xml:space="preserve"> </w:t>
            </w:r>
            <w:r>
              <w:rPr>
                <w:i/>
                <w:iCs/>
              </w:rPr>
              <w:t xml:space="preserve">Lancet</w:t>
            </w:r>
            <w:r>
              <w:t xml:space="preserve"> </w:t>
            </w:r>
            <w:r>
              <w:t xml:space="preserve">2024 — PMID 38908392)</w:t>
            </w:r>
          </w:p>
        </w:tc>
      </w:tr>
      <w:tr>
        <w:tc>
          <w:tcPr/>
          <w:p>
            <w:pPr>
              <w:pStyle w:val="Compact"/>
            </w:pPr>
            <w:r>
              <w:rPr>
                <w:b/>
                <w:bCs/>
              </w:rPr>
              <w:t xml:space="preserve">Cosa NON fa.</w:t>
            </w:r>
            <w:r>
              <w:t xml:space="preserve"> </w:t>
            </w:r>
            <w:r>
              <w:t xml:space="preserve">Non cambia la lunghezza dell’osso, non riduce l’asimmetria visibile, non raddrizza il bacino. Il beneficio è misurato</w:t>
            </w:r>
            <w:r>
              <w:t xml:space="preserve"> </w:t>
            </w:r>
            <w:r>
              <w:rPr>
                <w:b/>
                <w:bCs/>
              </w:rPr>
              <w:t xml:space="preserve">su chi era appena guarito da un episodio</w:t>
            </w:r>
            <w:r>
              <w:t xml:space="preserve">, non su chi ha dolore continuo da anni. E non è a costo zero: gli eventi avversi complessivi erano sovrapponibili, ma quelli</w:t>
            </w:r>
            <w:r>
              <w:t xml:space="preserve"> </w:t>
            </w:r>
            <w:r>
              <w:rPr>
                <w:b/>
                <w:bCs/>
              </w:rPr>
              <w:t xml:space="preserve">agli arti inferiori sono stati 100 in chi camminava contro 54 nel controllo</w:t>
            </w:r>
            <w:r>
              <w:t xml:space="preserve">, cioè quasi il doppio. È la ragione in più per tenere d’occhio il ginocchio del lato corto.</w:t>
            </w:r>
          </w:p>
        </w:tc>
      </w:tr>
      <w:tr>
        <w:tc>
          <w:tcPr/>
          <w:p>
            <w:pPr>
              <w:pStyle w:val="Compact"/>
            </w:pPr>
            <w:r>
              <w:t xml:space="preserve">&gt;</w:t>
            </w:r>
            <w:r>
              <w:t xml:space="preserve"> </w:t>
            </w: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una prova randomizzata ampia con esito clinico e follow-up lungo.</w:t>
            </w:r>
            <w:r>
              <w:t xml:space="preserve"> </w:t>
            </w:r>
            <w:r>
              <w:rPr>
                <w:i/>
                <w:iCs/>
              </w:rPr>
              <w:t xml:space="preserve">Misurato su adulti guariti da un episodio di lombalgia aspecifica, e su un pacchetto in cui il cammino non è isolabile dall’educazione: il salto è di popolazione e di intervento, e per questo l’etichetta scende di un grado.</w:t>
            </w:r>
          </w:p>
        </w:tc>
      </w:tr>
      <w:tr>
        <w:tc>
          <w:tcPr/>
          <w:p>
            <w:pPr>
              <w:pStyle w:val="Compact"/>
            </w:pPr>
            <w:r>
              <w:rPr>
                <w:b/>
                <w:bCs/>
              </w:rPr>
              <w:t xml:space="preserve">Il ricambio dei turni, che il cammino non copre.</w:t>
            </w:r>
            <w:r>
              <w:t xml:space="preserve"> </w:t>
            </w:r>
            <w:r>
              <w:t xml:space="preserve">La variabile decisiva è che il carico ruoti fra le strutture, ma il paziente che descriviamo sta</w:t>
            </w:r>
            <w:r>
              <w:t xml:space="preserve"> </w:t>
            </w:r>
            <w:r>
              <w:rPr>
                <w:b/>
                <w:bCs/>
              </w:rPr>
              <w:t xml:space="preserve">fermo</w:t>
            </w:r>
            <w:r>
              <w:t xml:space="preserve"> </w:t>
            </w:r>
            <w:r>
              <w:t xml:space="preserve">in piedi otto ore. Il dato disponibile riguarda esattamente lui: una superficie inclinata che costringe i due lati ad alternarsi riduce il dolore da stazione eretta del</w:t>
            </w:r>
            <w:r>
              <w:t xml:space="preserve"> </w:t>
            </w:r>
            <w:r>
              <w:rPr>
                <w:b/>
                <w:bCs/>
              </w:rPr>
              <w:t xml:space="preserve">59,4%</w:t>
            </w:r>
            <w:r>
              <w:t xml:space="preserve">. E</w:t>
            </w:r>
            <w:r>
              <w:t xml:space="preserve"> </w:t>
            </w:r>
            <w:r>
              <w:rPr>
                <w:b/>
                <w:bCs/>
              </w:rPr>
              <w:t xml:space="preserve">l’87,5% dei partecipanti ha dichiarato che la userebbe al lavoro</w:t>
            </w:r>
            <w:r>
              <w:t xml:space="preserve"> </w:t>
            </w:r>
            <w:r>
              <w:t xml:space="preserve">(Nelson-Wong, 2010, PMID 20116046).</w:t>
            </w:r>
            <w:r>
              <w:t xml:space="preserve"> </w:t>
            </w:r>
            <w:r>
              <w:rPr>
                <w:b/>
                <w:bCs/>
              </w:rPr>
              <w:t xml:space="preserve">Non è però una superficie che aiuta tutti:</w:t>
            </w:r>
            <w:r>
              <w:t xml:space="preserve"> </w:t>
            </w:r>
            <w:r>
              <w:t xml:space="preserve">nello stesso studio i soggetti che</w:t>
            </w:r>
            <w:r>
              <w:t xml:space="preserve"> </w:t>
            </w:r>
            <w:r>
              <w:rPr>
                <w:i/>
                <w:iCs/>
              </w:rPr>
              <w:t xml:space="preserve">non</w:t>
            </w:r>
            <w:r>
              <w:t xml:space="preserve"> </w:t>
            </w:r>
            <w:r>
              <w:t xml:space="preserve">sviluppano dolore in stazione eretta sono andati nella direzione opposta, con un</w:t>
            </w:r>
            <w:r>
              <w:t xml:space="preserve"> </w:t>
            </w:r>
            <w:r>
              <w:rPr>
                <w:b/>
                <w:bCs/>
              </w:rPr>
              <w:t xml:space="preserve">aumento</w:t>
            </w:r>
            <w:r>
              <w:t xml:space="preserve"> </w:t>
            </w:r>
            <w:r>
              <w:t xml:space="preserve">della co-attivazione. È IPOTESI</w:t>
            </w:r>
            <w:r>
              <w:t xml:space="preserve"> </w:t>
            </w:r>
            <w:r>
              <w:rPr>
                <w:i/>
                <w:iCs/>
              </w:rPr>
              <w:t xml:space="preserve">(meccanismo coerente, nessuno studio)</w:t>
            </w:r>
            <w:r>
              <w:t xml:space="preserve"> </w:t>
            </w:r>
            <w:r>
              <w:t xml:space="preserve">su questa condizione — un solo studio di laboratorio su soggetti sani — e regge il meccanismo, non la leva.</w:t>
            </w:r>
          </w:p>
        </w:tc>
      </w:tr>
      <w:tr>
        <w:tc>
          <w:tcPr/>
          <w:p>
            <w:pPr>
              <w:pStyle w:val="Compact"/>
            </w:pPr>
            <w:r>
              <w:t xml:space="preserve">### Strumento 2 — L’esercizio con carico progressivo</w:t>
            </w:r>
          </w:p>
        </w:tc>
      </w:tr>
      <w:tr>
        <w:tc>
          <w:tcPr/>
          <w:p>
            <w:pPr>
              <w:pStyle w:val="Compact"/>
            </w:pPr>
            <w:r>
              <w:rPr>
                <w:b/>
                <w:bCs/>
              </w:rPr>
              <w:t xml:space="preserve">Cos’è.</w:t>
            </w:r>
            <w:r>
              <w:t xml:space="preserve"> </w:t>
            </w:r>
            <w:r>
              <w:t xml:space="preserve">È controllo e rinforzo degli abduttori d’anca, più lavoro sull’estensione del ginocchio del lato coinvolto, con carico che cresce nel tempo. È il carico che sblocca l’inibizione del quadricipite: per questo tiene, dove lo stiramento da solo torna indietro.</w:t>
            </w:r>
          </w:p>
        </w:tc>
      </w:tr>
      <w:tr>
        <w:tc>
          <w:tcPr/>
          <w:p>
            <w:pPr>
              <w:pStyle w:val="Compact"/>
            </w:pPr>
            <w:r>
              <w:rPr>
                <w:b/>
                <w:bCs/>
              </w:rPr>
              <w:t xml:space="preserve">Su quale meccanismo agisce.</w:t>
            </w:r>
            <w:r>
              <w:t xml:space="preserve"> </w:t>
            </w:r>
            <w:r>
              <w:t xml:space="preserve">Su «la dose asimmetrica accumulata» e sulla parte modificabile del «riferimento sbagliato». Gli abduttori sono l’unico attore attivo del piano frontale, e l’estensione mancante del ginocchio è la corsa che accorcia davvero la gamba.</w:t>
            </w:r>
          </w:p>
        </w:tc>
      </w:tr>
      <w:tr>
        <w:tc>
          <w:tcPr/>
          <w:p>
            <w:pPr>
              <w:pStyle w:val="Compact"/>
            </w:pPr>
            <w:r>
              <w:rPr>
                <w:b/>
                <w:bCs/>
              </w:rPr>
              <w:t xml:space="preserve">Cosa hanno misurato gli studi.</w:t>
            </w:r>
            <w:r>
              <w:t xml:space="preserve"> </w:t>
            </w:r>
            <w:r>
              <w:t xml:space="preserve">Due prove testano quello che questo strumento dice di essere, e una terza fa da sfondo.</w:t>
            </w:r>
          </w:p>
        </w:tc>
      </w:tr>
      <w:tr>
        <w:tc>
          <w:tcPr/>
          <w:p>
            <w:pPr>
              <w:pStyle w:val="Compact"/>
            </w:pPr>
            <w:r>
              <w:t xml:space="preserve">-</w:t>
            </w:r>
            <w:r>
              <w:t xml:space="preserve"> </w:t>
            </w:r>
            <w:r>
              <w:rPr>
                <w:b/>
                <w:bCs/>
              </w:rPr>
              <w:t xml:space="preserve">Sugli abduttori, nella popolazione esatta di questo capitolo.</w:t>
            </w:r>
            <w:r>
              <w:t xml:space="preserve"> </w:t>
            </w:r>
            <w:r>
              <w:t xml:space="preserve">La prova è randomizzata e in doppio cieco, su 48 lombalgici cronici</w:t>
            </w:r>
            <w:r>
              <w:t xml:space="preserve"> </w:t>
            </w:r>
            <w:r>
              <w:rPr>
                <w:b/>
                <w:bCs/>
              </w:rPr>
              <w:t xml:space="preserve">con dismetria funzionale misurata</w:t>
            </w:r>
            <w:r>
              <w:t xml:space="preserve">. Sei settimane di allenamento del controllo gluteo contro allenamento generico hanno dato dolore</w:t>
            </w:r>
            <w:r>
              <w:t xml:space="preserve"> </w:t>
            </w:r>
            <w:r>
              <w:rPr>
                <w:b/>
                <w:bCs/>
              </w:rPr>
              <w:t xml:space="preserve">1,41 su 10 contro 3,38</w:t>
            </w:r>
            <w:r>
              <w:t xml:space="preserve">. Migliori anche controllo d’anca, forza e flessibilità (Huang,</w:t>
            </w:r>
            <w:r>
              <w:t xml:space="preserve"> </w:t>
            </w:r>
            <w:r>
              <w:rPr>
                <w:i/>
                <w:iCs/>
              </w:rPr>
              <w:t xml:space="preserve">Sci Rep</w:t>
            </w:r>
            <w:r>
              <w:t xml:space="preserve"> </w:t>
            </w:r>
            <w:r>
              <w:t xml:space="preserve">2024, PMID 39424858).</w:t>
            </w:r>
            <w:r>
              <w:t xml:space="preserve"> </w:t>
            </w:r>
            <w:r>
              <w:rPr>
                <w:i/>
                <w:iCs/>
              </w:rPr>
              <w:t xml:space="preserve">Cautela: fra i suoi esiti ci sono anche misure di posizione — inclinazione pelvica, tilt dell’ileo — che questa Bibbia dichiara inaffidabili altrove. Vanno letti dolore, controllo d’anca, forza e flessibilità.</w:t>
            </w:r>
            <w:r>
              <w:t xml:space="preserve"> </w:t>
            </w:r>
            <w:r>
              <w:t xml:space="preserve">-</w:t>
            </w:r>
            <w:r>
              <w:t xml:space="preserve"> </w:t>
            </w:r>
            <w:r>
              <w:rPr>
                <w:b/>
                <w:bCs/>
              </w:rPr>
              <w:t xml:space="preserve">Sul recupero dei gradi.</w:t>
            </w:r>
            <w:r>
              <w:t xml:space="preserve"> </w:t>
            </w:r>
            <w:r>
              <w:t xml:space="preserve">Nove studi randomizzati sulle contratture da artrosi di ginocchio: l’estensione migliora di</w:t>
            </w:r>
            <w:r>
              <w:t xml:space="preserve"> </w:t>
            </w:r>
            <w:r>
              <w:rPr>
                <w:b/>
                <w:bCs/>
              </w:rPr>
              <w:t xml:space="preserve">9,1 gradi (IC 3,4–14,8)</w:t>
            </w:r>
            <w:r>
              <w:t xml:space="preserve"> </w:t>
            </w:r>
            <w:r>
              <w:t xml:space="preserve">contro controllo, con certezza delle prove moderata, e il dolore si riduce (Campbell, 2023, PMID 36691685).</w:t>
            </w:r>
            <w:r>
              <w:t xml:space="preserve"> </w:t>
            </w:r>
            <w:r>
              <w:rPr>
                <w:i/>
                <w:iCs/>
              </w:rPr>
              <w:t xml:space="preserve">Misurato su ginocchia artrosiche non operate: il salto è di popolazione.</w:t>
            </w:r>
            <w:r>
              <w:t xml:space="preserve"> </w:t>
            </w:r>
            <w:r>
              <w:t xml:space="preserve">-</w:t>
            </w:r>
            <w:r>
              <w:t xml:space="preserve"> </w:t>
            </w:r>
            <w:r>
              <w:rPr>
                <w:b/>
                <w:bCs/>
              </w:rPr>
              <w:t xml:space="preserve">Lo sfondo.</w:t>
            </w:r>
            <w:r>
              <w:t xml:space="preserve"> </w:t>
            </w:r>
            <w:r>
              <w:t xml:space="preserve">Nella lombalgia cronica l’esercizio riduce il dolore di</w:t>
            </w:r>
            <w:r>
              <w:t xml:space="preserve"> </w:t>
            </w:r>
            <w:r>
              <w:rPr>
                <w:b/>
                <w:bCs/>
              </w:rPr>
              <w:t xml:space="preserve">15,2 punti su 100 (IC −18,3 a −12,2)</w:t>
            </w:r>
            <w:r>
              <w:t xml:space="preserve"> </w:t>
            </w:r>
            <w:r>
              <w:t xml:space="preserve">contro nessun trattamento, con certezza moderata. Sulla funzione dà</w:t>
            </w:r>
            <w:r>
              <w:t xml:space="preserve"> </w:t>
            </w:r>
            <w:r>
              <w:rPr>
                <w:b/>
                <w:bCs/>
              </w:rPr>
              <w:t xml:space="preserve">6,8 punti (IC −8,3 a −5,3)</w:t>
            </w:r>
            <w:r>
              <w:t xml:space="preserve">, che gli autori dichiarano</w:t>
            </w:r>
            <w:r>
              <w:t xml:space="preserve"> </w:t>
            </w:r>
            <w:r>
              <w:rPr>
                <w:b/>
                <w:bCs/>
              </w:rPr>
              <w:t xml:space="preserve">sotto la loro soglia di rilevanza clinica</w:t>
            </w:r>
            <w:r>
              <w:t xml:space="preserve">. E nel confronto diretto</w:t>
            </w:r>
            <w:r>
              <w:t xml:space="preserve"> </w:t>
            </w:r>
            <w:r>
              <w:rPr>
                <w:b/>
                <w:bCs/>
              </w:rPr>
              <w:t xml:space="preserve">con la terapia manuale la differenza è di 1,0 punti, IC da −3,1 a 5,1</w:t>
            </w:r>
            <w:r>
              <w:t xml:space="preserve"> </w:t>
            </w:r>
            <w:r>
              <w:t xml:space="preserve">(Hayden, 2021, PMID 34580864).</w:t>
            </w:r>
            <w:r>
              <w:t xml:space="preserve"> </w:t>
            </w:r>
            <w:r>
              <w:rPr>
                <w:i/>
                <w:iCs/>
              </w:rPr>
              <w:t xml:space="preserve">Misurato su lombalgia cronica aspecifica, non su persone con dismetria: e il confronto diretto fra esercizio e terapia manuale non trova differenza —</w:t>
            </w:r>
            <w:r>
              <w:rPr>
                <w:i/>
                <w:iCs/>
              </w:rPr>
              <w:t xml:space="preserve"> </w:t>
            </w:r>
            <w:r>
              <w:rPr>
                <w:i/>
                <w:iCs/>
              </w:rPr>
              <w:t xml:space="preserve">“più prove”</w:t>
            </w:r>
            <w:r>
              <w:rPr>
                <w:i/>
                <w:iCs/>
              </w:rPr>
              <w:t xml:space="preserve"> </w:t>
            </w:r>
            <w:r>
              <w:rPr>
                <w:i/>
                <w:iCs/>
              </w:rPr>
              <w:t xml:space="preserve">non vuol dire</w:t>
            </w:r>
            <w:r>
              <w:rPr>
                <w:i/>
                <w:iCs/>
              </w:rPr>
              <w:t xml:space="preserve"> </w:t>
            </w:r>
            <w:r>
              <w:rPr>
                <w:i/>
                <w:iCs/>
              </w:rPr>
              <w:t xml:space="preserve">“più efficace”</w:t>
            </w:r>
            <w:r>
              <w:rPr>
                <w:i/>
                <w:iCs/>
              </w:rPr>
              <w:t xml:space="preserve">.</w:t>
            </w:r>
          </w:p>
        </w:tc>
      </w:tr>
      <w:tr>
        <w:tc>
          <w:tcPr/>
          <w:p>
            <w:pPr>
              <w:pStyle w:val="Compact"/>
            </w:pPr>
            <w:r>
              <w:rPr>
                <w:b/>
                <w:bCs/>
              </w:rPr>
              <w:t xml:space="preserve">Per te:</w:t>
            </w:r>
            <w:r>
              <w:t xml:space="preserve"> </w:t>
            </w:r>
            <w:r>
              <w:t xml:space="preserve">quello che ti autorizza a insegnare è</w:t>
            </w:r>
            <w:r>
              <w:t xml:space="preserve"> </w:t>
            </w:r>
            <w:r>
              <w:rPr>
                <w:b/>
                <w:bCs/>
              </w:rPr>
              <w:t xml:space="preserve">un carico che cresce</w:t>
            </w:r>
            <w:r>
              <w:t xml:space="preserve">, non un esercizio da difendere. E la scelta fra due esercizi equivalenti si fa su quale dei due il paziente farà davvero.</w:t>
            </w:r>
          </w:p>
        </w:tc>
      </w:tr>
      <w:tr>
        <w:tc>
          <w:tcPr/>
          <w:p>
            <w:pPr>
              <w:pStyle w:val="Compact"/>
            </w:pPr>
            <w:r>
              <w:rPr>
                <w:b/>
                <w:bCs/>
              </w:rPr>
              <w:t xml:space="preserve">Cosa NON fa.</w:t>
            </w:r>
            <w:r>
              <w:t xml:space="preserve"> </w:t>
            </w:r>
            <w:r>
              <w:t xml:space="preserve">Non corregge l’asimmetria, e prometterlo è il modo più rapido per far concludere al paziente che l’esercizio non funziona. Il guadagno appartiene alla ripetizione. Una parte dell’effetto si mantiene da due a sei mesi dopo la fine del programma, ed è circa 6 punti su 100 sul dolore. Poi si consuma (Fransen, 2015, PMID 25569281). È l’abbronzatura di agosto: a novembre ce n’è ancora un po’, a marzo non più.</w:t>
            </w:r>
          </w:p>
        </w:tc>
      </w:tr>
      <w:tr>
        <w:tc>
          <w:tcPr/>
          <w:p>
            <w:pPr>
              <w:pStyle w:val="Compact"/>
            </w:pPr>
            <w:r>
              <w:rPr>
                <w:b/>
                <w:bCs/>
              </w:rPr>
              <w:t xml:space="preserve">L’aderenza non è però un difetto dell’esercizio.</w:t>
            </w:r>
            <w:r>
              <w:t xml:space="preserve"> </w:t>
            </w:r>
            <w:r>
              <w:t xml:space="preserve">Nella stessa revisione i ritiri sono il</w:t>
            </w:r>
            <w:r>
              <w:t xml:space="preserve"> </w:t>
            </w:r>
            <w:r>
              <w:rPr>
                <w:b/>
                <w:bCs/>
              </w:rPr>
              <w:t xml:space="preserve">14% con l’esercizio e il 15% nel controllo</w:t>
            </w:r>
            <w:r>
              <w:t xml:space="preserve">, OR 0,93 (IC 0,75–1,15): una differenza non significativa. Il fattore limitante è</w:t>
            </w:r>
            <w:r>
              <w:t xml:space="preserve"> </w:t>
            </w:r>
            <w:r>
              <w:rPr>
                <w:b/>
                <w:bCs/>
              </w:rPr>
              <w:t xml:space="preserve">cosa fai tu per sostenerla</w:t>
            </w:r>
            <w:r>
              <w:t xml:space="preserve">, e su quello esiste una misura. Le</w:t>
            </w:r>
            <w:r>
              <w:t xml:space="preserve"> </w:t>
            </w:r>
            <w:r>
              <w:rPr>
                <w:b/>
                <w:bCs/>
              </w:rPr>
              <w:t xml:space="preserve">sedute di richiamo programmate</w:t>
            </w:r>
            <w:r>
              <w:t xml:space="preserve"> </w:t>
            </w:r>
            <w:r>
              <w:t xml:space="preserve">migliorano l’aderenza con certezza moderata (SMD 0,39; IC 0,05–0,72), insieme al carico graduato e alle strategie motivazionali (d = 0,26–1,23). Counselling comportamentale, piani d’azione scritti e stimoli audio-video invece no (Nicolson, 2017, PMID 28087567).</w:t>
            </w:r>
            <w:r>
              <w:t xml:space="preserve"> </w:t>
            </w:r>
            <w:r>
              <w:rPr>
                <w:i/>
                <w:iCs/>
              </w:rPr>
              <w:t xml:space="preserve">Misurato in over-45 con lombalgia cronica o artrosi di anca e ginocchio, non in persone con dismetria, e l’esito misurato è quanto esercizio fanno, non quanto male hanno.</w:t>
            </w:r>
            <w:r>
              <w:t xml:space="preserve"> </w:t>
            </w:r>
            <w:r>
              <w:t xml:space="preserve">Un programma che il paziente non fa non è un programma debole: è un programma che non esiste.</w:t>
            </w:r>
          </w:p>
        </w:tc>
      </w:tr>
      <w:tr>
        <w:tc>
          <w:tcPr/>
          <w:p>
            <w:pPr>
              <w:pStyle w:val="Compact"/>
            </w:pPr>
            <w:r>
              <w:t xml:space="preserve">&gt;</w:t>
            </w:r>
            <w:r>
              <w:t xml:space="preserve"> </w:t>
            </w: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con una particolarità:</w:t>
            </w:r>
            <w:r>
              <w:t xml:space="preserve"> </w:t>
            </w:r>
            <w:r>
              <w:rPr>
                <w:b/>
                <w:bCs/>
              </w:rPr>
              <w:t xml:space="preserve">è l’unico punto di questa Bibbia in cui una prova è stata condotta sulla popolazione giusta.</w:t>
            </w:r>
            <w:r>
              <w:t xml:space="preserve"> </w:t>
            </w:r>
            <w:r>
              <w:t xml:space="preserve">Huang è piccolo (48 persone) e va confermato, e per questo l’etichetta non sale. Campbell e la Cochrane sono</w:t>
            </w:r>
            <w:r>
              <w:t xml:space="preserve"> </w:t>
            </w:r>
            <w:r>
              <w:rPr>
                <w:i/>
                <w:iCs/>
              </w:rPr>
              <w:t xml:space="preserve">misurati su artrosi di ginocchio e su lombalgia cronica aspecifica: il salto è di popolazione, e l’etichetta scende di un grado.</w:t>
            </w:r>
          </w:p>
        </w:tc>
      </w:tr>
      <w:tr>
        <w:tc>
          <w:tcPr/>
          <w:p>
            <w:pPr>
              <w:pStyle w:val="Compact"/>
            </w:pPr>
            <w:r>
              <w:t xml:space="preserve">### Una cosa che non entra in questo capitolo, e perché</w:t>
            </w:r>
          </w:p>
        </w:tc>
      </w:tr>
      <w:tr>
        <w:tc>
          <w:tcPr/>
          <w:p>
            <w:pPr>
              <w:pStyle w:val="Compact"/>
            </w:pPr>
            <w:r>
              <w:rPr>
                <w:b/>
                <w:bCs/>
              </w:rPr>
              <w:t xml:space="preserve">Il rialzo non è uno strumento attivo:</w:t>
            </w:r>
            <w:r>
              <w:t xml:space="preserve"> </w:t>
            </w:r>
            <w:r>
              <w:t xml:space="preserve">lo valuta il medico, e le prove che lo riguardano stanno in «Cosa dice la scienza».</w:t>
            </w:r>
          </w:p>
        </w:tc>
      </w:tr>
      <w:tr>
        <w:tc>
          <w:tcPr/>
          <w:p>
            <w:pPr>
              <w:pStyle w:val="Compact"/>
            </w:pPr>
            <w:r>
              <w:rPr>
                <w:b/>
                <w:bCs/>
              </w:rPr>
              <w:t xml:space="preserve">L’educazione non ha un capitolo suo perché non è isolabile, non perché la prova sia negativa.</w:t>
            </w:r>
            <w:r>
              <w:t xml:space="preserve"> </w:t>
            </w:r>
            <w:r>
              <w:t xml:space="preserve">Da sola, in lombalgia</w:t>
            </w:r>
            <w:r>
              <w:t xml:space="preserve"> </w:t>
            </w:r>
            <w:r>
              <w:rPr>
                <w:b/>
                <w:bCs/>
              </w:rPr>
              <w:t xml:space="preserve">acuta</w:t>
            </w:r>
            <w:r>
              <w:t xml:space="preserve"> </w:t>
            </w:r>
            <w:r>
              <w:t xml:space="preserve">ad alto rischio, due ore di educazione intensiva non hanno battuto due ore di ascolto sul dolore: l’effetto sulla disabilità era piccolo a una settimana e a tre mesi (Traeger, 2019, PMID 30398542). Dentro un pacchetto con il cammino ha invece funzionato. La leva resta, in «Perché le mani possono cambiare qualcosa» e in «Cosa dire al paziente».</w:t>
            </w:r>
          </w:p>
        </w:tc>
      </w:tr>
      <w:tr>
        <w:tc>
          <w:tcPr/>
          <w:p>
            <w:pPr>
              <w:pStyle w:val="Compact"/>
            </w:pPr>
            <w:r>
              <w:rPr>
                <w:b/>
                <w:bCs/>
              </w:rPr>
              <w:t xml:space="preserve">I due cancelli valgono anche qui.</w:t>
            </w:r>
            <w:r>
              <w:t xml:space="preserve"> </w:t>
            </w:r>
            <w:r>
              <w:t xml:space="preserve">Nel soggetto in crescita con zoppia il carico progressivo si</w:t>
            </w:r>
            <w:r>
              <w:t xml:space="preserve"> </w:t>
            </w:r>
            <w:r>
              <w:rPr>
                <w:b/>
                <w:bCs/>
              </w:rPr>
              <w:t xml:space="preserve">sospende</w:t>
            </w:r>
            <w:r>
              <w:t xml:space="preserve"> </w:t>
            </w:r>
            <w:r>
              <w:t xml:space="preserve">fino all’esclusione dell’epifisiolisi. Nel post-chirurgico recente ogni carico si concorda con chi ha operato. Il ROSSO non consegna lavoro attivo.</w:t>
            </w:r>
          </w:p>
        </w:tc>
      </w:tr>
      <w:tr>
        <w:tc>
          <w:tcPr/>
          <w:p>
            <w:pPr>
              <w:pStyle w:val="Compact"/>
            </w:pPr>
            <w:r>
              <w:rPr>
                <w:b/>
                <w:bCs/>
              </w:rPr>
              <w:t xml:space="preserve">Le tre cose da ricordare, più una</w:t>
            </w:r>
          </w:p>
        </w:tc>
      </w:tr>
      <w:tr>
        <w:tc>
          <w:tcPr/>
          <w:p>
            <w:pPr>
              <w:pStyle w:val="Compact"/>
            </w:pPr>
            <w:r>
              <w:t xml:space="preserve">- Su questo quadro le prove migliori riguardano quello che il paziente fa, e una sola è stata presa nella popolazione giusta.</w:t>
            </w:r>
            <w:r>
              <w:t xml:space="preserve"> </w:t>
            </w:r>
            <w:r>
              <w:t xml:space="preserve">- Il cammino e il carico progressivo agiscono sui turni, non sulla forma: promettere la simmetria li fa dichiarare inutili.</w:t>
            </w:r>
            <w:r>
              <w:t xml:space="preserve"> </w:t>
            </w:r>
            <w:r>
              <w:t xml:space="preserve">- L’aderenza non è un difetto dell’esercizio ma il tuo lavoro: le sedute di richiamo programmate la migliorano, i piani scritti no.</w:t>
            </w:r>
            <w:r>
              <w:t xml:space="preserve"> </w:t>
            </w:r>
            <w:r>
              <w:t xml:space="preserve">-</w:t>
            </w:r>
            <w:r>
              <w:t xml:space="preserve"> </w:t>
            </w:r>
            <w:r>
              <w:rPr>
                <w:b/>
                <w:bCs/>
              </w:rPr>
              <w:t xml:space="preserve">Perché ci sei tu.</w:t>
            </w:r>
            <w:r>
              <w:t xml:space="preserve"> </w:t>
            </w:r>
            <w:r>
              <w:t xml:space="preserve">Un programma di cammino ed educazione ha portato la mediana del tempo prima della ricaduta a</w:t>
            </w:r>
            <w:r>
              <w:t xml:space="preserve"> </w:t>
            </w:r>
            <w:r>
              <w:rPr>
                <w:b/>
                <w:bCs/>
              </w:rPr>
              <w:t xml:space="preserve">208 giorni contro 112</w:t>
            </w:r>
            <w:r>
              <w:t xml:space="preserve"> </w:t>
            </w:r>
            <w:r>
              <w:t xml:space="preserve">(Pocovi, 2024, PMID 38908392). Il controllo gluteo in lombalgici</w:t>
            </w:r>
            <w:r>
              <w:t xml:space="preserve"> </w:t>
            </w:r>
            <w:r>
              <w:rPr>
                <w:b/>
                <w:bCs/>
              </w:rPr>
              <w:t xml:space="preserve">con dismetria funzionale</w:t>
            </w:r>
            <w:r>
              <w:t xml:space="preserve"> </w:t>
            </w:r>
            <w:r>
              <w:t xml:space="preserve">ha portato il dolore da 3,38 a 1,41 su 10 (Huang, 2024, PMID 39424858).</w:t>
            </w:r>
            <w:r>
              <w:t xml:space="preserve"> </w:t>
            </w:r>
            <w:r>
              <w:rPr>
                <w:b/>
                <w:bCs/>
              </w:rPr>
              <w:t xml:space="preserve">Per te:</w:t>
            </w:r>
            <w:r>
              <w:t xml:space="preserve"> </w:t>
            </w:r>
            <w:r>
              <w:t xml:space="preserve">hai in mano due leve che nessuno gli ha mai insegnato, e la seconda è stata provata su gente come lui. Questo ti autorizza a mettere il lavoro attivo al centro del ciclo dalla prima seduta e a dirlo con un numero. Non ti autorizza a presentarle come una correzione dell’asimmetria: quei numeri misurano il tempo prima della ricaduta e il dolore, non la simmetria.</w:t>
            </w:r>
          </w:p>
        </w:tc>
      </w:tr>
    </w:tbl>
    <w:bookmarkEnd w:id="59"/>
    <w:bookmarkEnd w:id="60"/>
    <w:bookmarkStart w:id="66"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cosa più utile che dirai a questo paziente è che il suo numero è normale, e che il suo dolore ha comunque una spiegazione.</w:t>
      </w:r>
    </w:p>
    <w:bookmarkStart w:id="61" w:name="lo-script"/>
    <w:p>
      <w:pPr>
        <w:pStyle w:val="Heading3"/>
      </w:pPr>
      <w:r>
        <w:t xml:space="preserve">Lo script</w:t>
      </w:r>
    </w:p>
    <w:p>
      <w:pPr>
        <w:pStyle w:val="FirstParagraph"/>
      </w:pPr>
      <w:r>
        <w:rPr>
          <w:i/>
          <w:iCs/>
        </w:rPr>
        <w:t xml:space="preserve">«Nove persone su dieci hanno una gamba un pochino più lunga dell’altra: è la regola, non l’eccezione. La domanda giusta non è se lei ce l’ha, ma se nel suo caso quel pochino le sta costando qualcosa. Quello che ho trovato oggi è questo: la sua anca destra si muove meno della sinistra, e sta in piedi otto minuti prima che il fastidio salga. Quelli sono due numeri, e li rimisuriamo insieme. Se si muovono, siamo sulla strada giusta. Se una differenza vera di lunghezza c’è, si vede con una radiografia in piedi, e quella la chiede il suo medico.»</w:t>
      </w:r>
    </w:p>
    <w:bookmarkEnd w:id="61"/>
    <w:bookmarkStart w:id="62" w:name="X3f792ee28424118fb568f29750bdab2f9568f05"/>
    <w:p>
      <w:pPr>
        <w:pStyle w:val="Heading3"/>
      </w:pPr>
      <w:r>
        <w:t xml:space="preserve">La frase che consegni sempre, prima di salutarlo</w:t>
      </w:r>
    </w:p>
    <w:p>
      <w:pPr>
        <w:pStyle w:val="FirstParagraph"/>
      </w:pPr>
      <w:r>
        <w:rPr>
          <w:i/>
          <w:iCs/>
        </w:rPr>
        <w:t xml:space="preserve">«Dopo la seduta può sentirsi indolenzito per un giorno, ed è normale. Se invece perde il controllo di urine o feci, se le si addormenta la zona a contatto con la sella, o se una gamba le cede, non mi chiami: vada in pronto soccorso.»</w:t>
      </w:r>
    </w:p>
    <w:bookmarkEnd w:id="62"/>
    <w:bookmarkStart w:id="63" w:name="le-obiezioni-e-le-risposte-oneste"/>
    <w:p>
      <w:pPr>
        <w:pStyle w:val="Heading3"/>
      </w:pPr>
      <w:r>
        <w:t xml:space="preserve">Le obiezioni, e le risposte oneste</w:t>
      </w:r>
    </w:p>
    <w:p>
      <w:pPr>
        <w:pStyle w:val="FirstParagraph"/>
      </w:pPr>
      <w:r>
        <w:rPr>
          <w:b/>
          <w:bCs/>
        </w:rPr>
        <w:t xml:space="preserve">«Ho una gamba più corta, è così e basta.»</w:t>
      </w:r>
      <w:r>
        <w:t xml:space="preserve"> </w:t>
      </w:r>
      <w:r>
        <w:rPr>
          <w:i/>
          <w:iCs/>
        </w:rPr>
        <w:t xml:space="preserve">«Può darsi. Quasi tutti hanno una piccola differenza — nove su dieci, mezzo centimetro in media — e stabilire se nel suo caso è nell’osso non lo posso fare io: serve una radiografia in piedi, e la chiede il suo medico. Quello che posso misurare io oggi è quanto si muovono la sua anca e il suo ginocchio e quanto regge in piedi. Su quello lavoro, e su quello le mostro i numeri.»</w:t>
      </w:r>
    </w:p>
    <w:p>
      <w:pPr>
        <w:pStyle w:val="BodyText"/>
      </w:pPr>
      <w:r>
        <w:rPr>
          <w:b/>
          <w:bCs/>
        </w:rPr>
        <w:t xml:space="preserve">«Mi hanno già dato il rialzo.»</w:t>
      </w:r>
      <w:r>
        <w:t xml:space="preserve"> </w:t>
      </w:r>
      <w:r>
        <w:rPr>
          <w:i/>
          <w:iCs/>
        </w:rPr>
        <w:t xml:space="preserve">«Bene, e lo tenga: non sono io a doverlo togliere o cambiare. Le chiedo solo in base a quale misura gliel’hanno dato, perché se la misura c’è la usiamo, e se non c’è vale la pena parlarne con il suo medico.»</w:t>
      </w:r>
    </w:p>
    <w:p>
      <w:pPr>
        <w:pStyle w:val="BodyText"/>
      </w:pPr>
      <w:r>
        <w:rPr>
          <w:b/>
          <w:bCs/>
        </w:rPr>
        <w:t xml:space="preserve">«Da quando porto il rialzo sto peggio.»</w:t>
      </w:r>
      <w:r>
        <w:t xml:space="preserve"> </w:t>
      </w:r>
      <w:r>
        <w:rPr>
          <w:i/>
          <w:iCs/>
        </w:rPr>
        <w:t xml:space="preserve">«È una cosa che succede e che va detta al suo medico. Un corpo che si è organizzato in un certo modo per vent’anni ha bisogno di tempo per accettare un cambiamento, e negli studi la correzione non è mai stata piena. Io il rialzo non lo tocco. Quello che posso fare è misurare quanto regge in piedi e quanto si muove l’anca con e senza, scrivere i numeri e mandarli a chi gliel’ha prescritto: così la decisione la prende con un dato in mano invece che a sensazione.»</w:t>
      </w:r>
    </w:p>
    <w:p>
      <w:pPr>
        <w:pStyle w:val="BodyText"/>
      </w:pPr>
      <w:r>
        <w:rPr>
          <w:b/>
          <w:bCs/>
        </w:rPr>
        <w:t xml:space="preserve">«Siamo tutti un po’ asimmetrici.»</w:t>
      </w:r>
      <w:r>
        <w:t xml:space="preserve"> </w:t>
      </w:r>
      <w:r>
        <w:rPr>
          <w:i/>
          <w:iCs/>
        </w:rPr>
        <w:t xml:space="preserve">«Vero, ed è proprio quello che le dicevo. Solo che un’asimmetria che le fa male sempre dallo stesso lato e le consuma una scarpa sola ha smesso di essere solo statistica. Non guardiamo l’asimmetria: guardiamo il conto che sta pagando.»</w:t>
      </w:r>
    </w:p>
    <w:p>
      <w:pPr>
        <w:pStyle w:val="BodyText"/>
      </w:pPr>
      <w:r>
        <w:rPr>
          <w:b/>
          <w:bCs/>
        </w:rPr>
        <w:t xml:space="preserve">«Mi rimettete il bacino a posto in una seduta?»</w:t>
      </w:r>
      <w:r>
        <w:t xml:space="preserve"> </w:t>
      </w:r>
      <w:r>
        <w:rPr>
          <w:i/>
          <w:iCs/>
        </w:rPr>
        <w:t xml:space="preserve">«No. E le dico una cosa che di solito non si dice: quello che facciamo non sposta le ossa del bacino, e in dieci pazienti misurati con una radiografia molto precisa prima e dopo non si è spostato niente. Quello che cambia è quanto si muove, quanto le fa male e quanto tempo regge in piedi.»</w:t>
      </w:r>
    </w:p>
    <w:p>
      <w:pPr>
        <w:pStyle w:val="BodyText"/>
      </w:pPr>
      <w:r>
        <w:rPr>
          <w:b/>
          <w:bCs/>
        </w:rPr>
        <w:t xml:space="preserve">«Quindi devo fare tutto io?»</w:t>
      </w:r>
      <w:r>
        <w:t xml:space="preserve"> </w:t>
      </w:r>
      <w:r>
        <w:rPr>
          <w:i/>
          <w:iCs/>
        </w:rPr>
        <w:t xml:space="preserve">«In parte sì, e non è un modo per scaricarle il lavoro: è dove stanno i risultati migliori. Quello che faccio io apre lo spazio; quello che fa lei lo tiene aperto. Negli studi il pezzo che il paziente fa da solo è quello con i numeri più grandi, e quando si smette il guadagno si consuma nel giro di qualche mese. Per questo scegliamo insieme una cosa che lei farà davvero.»</w:t>
      </w:r>
    </w:p>
    <w:bookmarkEnd w:id="63"/>
    <w:bookmarkStart w:id="64" w:name="Xee41b48c223caefaebf266d42285504e2ffe73b"/>
    <w:p>
      <w:pPr>
        <w:pStyle w:val="Heading3"/>
      </w:pPr>
      <w:r>
        <w:t xml:space="preserve">Le due cose che convivono, e vanno dette come conviventi</w:t>
      </w:r>
    </w:p>
    <w:p>
      <w:pPr>
        <w:pStyle w:val="FirstParagraph"/>
      </w:pPr>
      <w:r>
        <w:rPr>
          <w:i/>
          <w:iCs/>
        </w:rPr>
        <w:t xml:space="preserve">«Io ho trovato qualcosa da trattare. Non vuol dire che io sappia cosa ha lei. Le due cose stanno insieme: io lavoro sulla parte meccanica che ho misurato, e il suo medico resta quello che inquadra il quadro. Nel frattempo io non aspetto.»</w:t>
      </w:r>
    </w:p>
    <w:bookmarkEnd w:id="64"/>
    <w:bookmarkStart w:id="65" w:name="cosa-non-promettere-mai"/>
    <w:p>
      <w:pPr>
        <w:pStyle w:val="Heading3"/>
      </w:pPr>
      <w:r>
        <w:t xml:space="preserve">Cosa non promettere mai</w:t>
      </w:r>
    </w:p>
    <w:p>
      <w:pPr>
        <w:pStyle w:val="FirstParagraph"/>
      </w:pPr>
      <w:r>
        <w:t xml:space="preserve">Non promettere la simmetria: non la ottieni e non è l’obiettivo. Non promettere che il rialzo servirà o non servirà: non è una tua decisione. Non promettere che il dolore sparirà: prometti che misurerete insieme due numeri e che vedrete se si muovono.</w:t>
      </w:r>
      <w:r>
        <w:t xml:space="preserve"> </w:t>
      </w:r>
      <w:r>
        <w:rPr>
          <w:b/>
          <w:bCs/>
        </w:rPr>
        <w:t xml:space="preserve">E prometti una data</w:t>
      </w:r>
      <w:r>
        <w:t xml:space="preserve">, non un numero di sedute:</w:t>
      </w:r>
      <w:r>
        <w:t xml:space="preserve"> </w:t>
      </w:r>
      <w:r>
        <w:rPr>
          <w:i/>
          <w:iCs/>
        </w:rPr>
        <w:t xml:space="preserve">«Ci diamo sei settimane, e il giorno in cui li riguardiamo lo fissiamo adesso; se non si sono mossi glielo dico e cambiamo strada.»</w:t>
      </w:r>
      <w:r>
        <w:t xml:space="preserve"> </w:t>
      </w:r>
      <w:r>
        <w:t xml:space="preserve">È la quarta condizione del GIALLO, detta a lui.</w:t>
      </w:r>
    </w:p>
    <w:p>
      <w:pPr>
        <w:pStyle w:val="BodyText"/>
      </w:pPr>
      <w:r>
        <w:rPr>
          <w:b/>
          <w:bCs/>
        </w:rPr>
        <w:t xml:space="preserve">Le tre cose da ricordare, più una</w:t>
      </w:r>
    </w:p>
    <w:p>
      <w:pPr>
        <w:pStyle w:val="Compact"/>
        <w:numPr>
          <w:ilvl w:val="0"/>
          <w:numId w:val="1021"/>
        </w:numPr>
      </w:pPr>
      <w:r>
        <w:t xml:space="preserve">La prima informazione utile è il dato di popolazione: nove su dieci, media mezzo centimetro.</w:t>
      </w:r>
    </w:p>
    <w:p>
      <w:pPr>
        <w:pStyle w:val="Compact"/>
        <w:numPr>
          <w:ilvl w:val="0"/>
          <w:numId w:val="1021"/>
        </w:numPr>
      </w:pPr>
      <w:r>
        <w:t xml:space="preserve">Non si tocca il rialzo che il paziente porta, e non si commenta chi gliel’ha dato: si misura e si scrive.</w:t>
      </w:r>
    </w:p>
    <w:p>
      <w:pPr>
        <w:pStyle w:val="Compact"/>
        <w:numPr>
          <w:ilvl w:val="0"/>
          <w:numId w:val="1021"/>
        </w:numPr>
      </w:pPr>
      <w:r>
        <w:t xml:space="preserve">Prima che esca dalla porta ha sentito da te cosa deve riconoscere dopo, e dove andare se lo riconosce.</w:t>
      </w:r>
    </w:p>
    <w:p>
      <w:pPr>
        <w:pStyle w:val="Compact"/>
        <w:numPr>
          <w:ilvl w:val="0"/>
          <w:numId w:val="1021"/>
        </w:numPr>
      </w:pPr>
      <w:r>
        <w:rPr>
          <w:b/>
          <w:bCs/>
        </w:rPr>
        <w:t xml:space="preserve">Perché ci sei tu.</w:t>
      </w:r>
      <w:r>
        <w:t xml:space="preserve"> </w:t>
      </w:r>
      <w:r>
        <w:t xml:space="preserve">In un esperimento randomizzato su 1.375 persone, le etichette che evocano danno strutturale hanno aumentato la gravità percepita e il bisogno percepito di esami e di chirurgia (O’Keeffe, 2022, PMID 35616226). Nello stesso esperimento, però,</w:t>
      </w:r>
      <w:r>
        <w:t xml:space="preserve"> </w:t>
      </w:r>
      <w:r>
        <w:rPr>
          <w:b/>
          <w:bCs/>
        </w:rPr>
        <w:t xml:space="preserve">fra le sei etichette non è emersa nessuna differenza</w:t>
      </w:r>
      <w:r>
        <w:t xml:space="preserve"> </w:t>
      </w:r>
      <w:r>
        <w:t xml:space="preserve">sulle credenze riguardo ad attività fisica e lavoro.</w:t>
      </w:r>
      <w:r>
        <w:t xml:space="preserve"> </w:t>
      </w:r>
      <w:r>
        <w:rPr>
          <w:b/>
          <w:bCs/>
        </w:rPr>
        <w:t xml:space="preserve">Per te:</w:t>
      </w:r>
      <w:r>
        <w:t xml:space="preserve"> </w:t>
      </w:r>
      <w:r>
        <w:t xml:space="preserve">questo paziente porta addosso da anni una parola scelta male da qualcun altro, e cambiarla è un atto clinico. Questo ti autorizza a scegliere con cura come nomini quello che ha. Non ti autorizza a nascondergli un dato che gli servirebbe: la parola si sceglie, l’informazione non si toglie.</w:t>
      </w:r>
    </w:p>
    <w:p>
      <w:r>
        <w:pict>
          <v:rect style="width:0;height:1.5pt" o:hralign="center" o:hrstd="t" o:hr="t"/>
        </w:pict>
      </w:r>
    </w:p>
    <w:bookmarkEnd w:id="65"/>
    <w:bookmarkEnd w:id="66"/>
    <w:bookmarkStart w:id="67" w:name="capitolo-14-cosa-fare-adesso"/>
    <w:p>
      <w:pPr>
        <w:pStyle w:val="Heading2"/>
      </w:pPr>
      <w:r>
        <w:t xml:space="preserve">Capitolo 14 — Cosa fare adesso</w:t>
      </w:r>
    </w:p>
    <w:p>
      <w:pPr>
        <w:pStyle w:val="BlockText"/>
      </w:pPr>
      <w:r>
        <w:rPr>
          <w:b/>
          <w:bCs/>
        </w:rPr>
        <w:t xml:space="preserve">In una riga:</w:t>
      </w:r>
      <w:r>
        <w:t xml:space="preserve"> </w:t>
      </w:r>
      <w:r>
        <w:t xml:space="preserve">smetti di guardare se è dritto e comincia a misurare quanto regge.</w:t>
      </w:r>
    </w:p>
    <w:p>
      <w:pPr>
        <w:pStyle w:val="FirstParagraph"/>
      </w:pPr>
      <w:r>
        <w:t xml:space="preserve">Il paziente arriva con una frase che gli hanno detto vent’anni fa e un dolore che sceglie sempre lo stesso lato. Quella frase quasi sempre descrive una condizione normale: nove persone su dieci hanno una gamba un po’ più lunga. Non è normale il conto — un lato che regge per due, per anni, senza mai un turno di riposo. E il conto si legge in tre punti: l’escursione che anca, ginocchio e caviglia non fanno più, il tempo che regge in piedi, il numero di test che gli provocano dolore. I millimetri, se ci sono, li misura una radiografia che chiede il medico. Le ossa del bacino tu non le sposti. Tutto il resto è tuo.</w:t>
      </w:r>
    </w:p>
    <w:p>
      <w:pPr>
        <w:pStyle w:val="BodyText"/>
      </w:pPr>
      <w:r>
        <w:rPr>
          <w:b/>
          <w:bCs/>
        </w:rPr>
        <w:t xml:space="preserve">Le tre cose che cambi da lunedì.</w:t>
      </w:r>
    </w:p>
    <w:p>
      <w:pPr>
        <w:pStyle w:val="BodyText"/>
      </w:pPr>
      <w:r>
        <w:rPr>
          <w:b/>
          <w:bCs/>
        </w:rPr>
        <w:t xml:space="preserve">Misura l’estensione dei due ginocchi</w:t>
      </w:r>
      <w:r>
        <w:t xml:space="preserve">, prima di parlare di gambe corte. Una parte dei millimetri sta nella corsa che un ginocchio non fa più, ed è la parte su cui esiste una prova che si recupera.</w:t>
      </w:r>
    </w:p>
    <w:p>
      <w:pPr>
        <w:pStyle w:val="BodyText"/>
      </w:pPr>
      <w:r>
        <w:rPr>
          <w:b/>
          <w:bCs/>
        </w:rPr>
        <w:t xml:space="preserve">Di’ il numero di popolazione nella prima seduta.</w:t>
      </w:r>
      <w:r>
        <w:t xml:space="preserve"> </w:t>
      </w:r>
      <w:r>
        <w:rPr>
          <w:i/>
          <w:iCs/>
        </w:rPr>
        <w:t xml:space="preserve">«Nove su dieci ce l’hanno, media mezzo centimetro.»</w:t>
      </w:r>
      <w:r>
        <w:t xml:space="preserve"> </w:t>
      </w:r>
      <w:r>
        <w:t xml:space="preserve">È l’informazione che il paziente aspetta da vent’anni.</w:t>
      </w:r>
    </w:p>
    <w:p>
      <w:pPr>
        <w:pStyle w:val="BodyText"/>
      </w:pPr>
      <w:r>
        <w:rPr>
          <w:b/>
          <w:bCs/>
        </w:rPr>
        <w:t xml:space="preserve">Smetti di usare l’altezza delle creste come prova.</w:t>
      </w:r>
      <w:r>
        <w:t xml:space="preserve"> </w:t>
      </w:r>
      <w:r>
        <w:t xml:space="preserve">Palpa, se ti orienta. Ma non scriverla come reperto di mandato, e non mostrarla al paziente come la ragione del suo dolore.</w:t>
      </w:r>
    </w:p>
    <w:p>
      <w:pPr>
        <w:pStyle w:val="BodyText"/>
      </w:pPr>
      <w:r>
        <w:t xml:space="preserve">Quando le fai tutte e tre senza rileggere, torna al passo 3 di «Come si usa questa Bibbia»: chiudi il documento e parla.</w:t>
      </w:r>
    </w:p>
    <w:p>
      <w:pPr>
        <w:pStyle w:val="BodyText"/>
      </w:pPr>
      <w:r>
        <w:rPr>
          <w:i/>
          <w:iCs/>
        </w:rPr>
        <w:t xml:space="preserve">Questa è una condizione in cui il pezzo con le prove migliori non è nelle tue mani, e la parte che nessuno ha mai fatto lo è. Nessuno ha messo insieme i suoi tre distretti, nessuno ha contato le sue ore in piedi, nessuno gli ha spiegato la parola che porta addosso. Non è un premio di consolazione: è esattamente il lavoro che serviva, ed è vuoto da vent’anni.</w:t>
      </w:r>
    </w:p>
    <w:p>
      <w:pPr>
        <w:pStyle w:val="BodyText"/>
      </w:pPr>
      <w:r>
        <w:rPr>
          <w:b/>
          <w:bCs/>
        </w:rPr>
        <w:t xml:space="preserve">Le tre cose da ricordare, più una</w:t>
      </w:r>
    </w:p>
    <w:p>
      <w:pPr>
        <w:pStyle w:val="Compact"/>
        <w:numPr>
          <w:ilvl w:val="0"/>
          <w:numId w:val="1022"/>
        </w:numPr>
      </w:pPr>
      <w:r>
        <w:t xml:space="preserve">Misura l’estensione dei due ginocchi prima di parlare di lunghezza.</w:t>
      </w:r>
    </w:p>
    <w:p>
      <w:pPr>
        <w:pStyle w:val="Compact"/>
        <w:numPr>
          <w:ilvl w:val="0"/>
          <w:numId w:val="1022"/>
        </w:numPr>
      </w:pPr>
      <w:r>
        <w:t xml:space="preserve">Di’ il numero di popolazione nella prima seduta.</w:t>
      </w:r>
    </w:p>
    <w:p>
      <w:pPr>
        <w:pStyle w:val="Compact"/>
        <w:numPr>
          <w:ilvl w:val="0"/>
          <w:numId w:val="1022"/>
        </w:numPr>
      </w:pPr>
      <w:r>
        <w:t xml:space="preserve">Smetti di usare l’altezza delle creste come prova di qualcosa.</w:t>
      </w:r>
    </w:p>
    <w:p>
      <w:pPr>
        <w:pStyle w:val="Compact"/>
        <w:numPr>
          <w:ilvl w:val="0"/>
          <w:numId w:val="1022"/>
        </w:numPr>
      </w:pPr>
      <w:r>
        <w:rPr>
          <w:b/>
          <w:bCs/>
        </w:rPr>
        <w:t xml:space="preserve">Perché ci sei tu.</w:t>
      </w:r>
      <w:r>
        <w:t xml:space="preserve"> </w:t>
      </w:r>
      <w:r>
        <w:t xml:space="preserve">La prova randomizzata è su 42 lavoratori con mansione in piedi e differenza di almeno 5 millimetri. La correzione con solette ha ridotto l’intensità del dolore lombare di</w:t>
      </w:r>
      <w:r>
        <w:t xml:space="preserve"> </w:t>
      </w:r>
      <w:r>
        <w:rPr>
          <w:b/>
          <w:bCs/>
        </w:rPr>
        <w:t xml:space="preserve">2,6 punti su 10</w:t>
      </w:r>
      <w:r>
        <w:t xml:space="preserve"> </w:t>
      </w:r>
      <w:r>
        <w:t xml:space="preserve">rispetto al controllo, con meno assenze dal lavoro (Rannisto, 2019, PMID 30871549).</w:t>
      </w:r>
      <w:r>
        <w:t xml:space="preserve"> </w:t>
      </w:r>
      <w:r>
        <w:rPr>
          <w:b/>
          <w:bCs/>
        </w:rPr>
        <w:t xml:space="preserve">Per te:</w:t>
      </w:r>
      <w:r>
        <w:t xml:space="preserve"> </w:t>
      </w:r>
      <w:r>
        <w:t xml:space="preserve">la mansione in piedi è l’informazione che rende utile la tua segnalazione, perché è la popolazione in cui l’effetto è stato misurato. Ed è un dato che il curante quasi mai ha. Questo ti autorizza a scrivergli che questo paziente lavora otto ore in piedi e ha una differenza sospetta. Non ti autorizza a fabbricare, consegnare o dimensionare tu la soletta.</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Appendice A — Glossario</w:t>
            </w:r>
          </w:p>
        </w:tc>
      </w:tr>
      <w:tr>
        <w:tc>
          <w:tcPr/>
          <w:p>
            <w:pPr>
              <w:pStyle w:val="Compact"/>
            </w:pPr>
            <w:r>
              <w:rPr>
                <w:b/>
                <w:bCs/>
              </w:rPr>
              <w:t xml:space="preserve">Abduttori d’anca</w:t>
            </w:r>
            <w:r>
              <w:t xml:space="preserve"> </w:t>
            </w:r>
            <w:r>
              <w:t xml:space="preserve">— i muscoli, gluteo medio in testa, che tengono il bacino a livello quando il peso sta su una gamba sola.</w:t>
            </w:r>
          </w:p>
        </w:tc>
      </w:tr>
      <w:tr>
        <w:tc>
          <w:tcPr/>
          <w:p>
            <w:pPr>
              <w:pStyle w:val="Compact"/>
            </w:pPr>
            <w:r>
              <w:rPr>
                <w:b/>
                <w:bCs/>
              </w:rPr>
              <w:t xml:space="preserve">Algometria (soglia dolorosa a pressione)</w:t>
            </w:r>
            <w:r>
              <w:t xml:space="preserve"> </w:t>
            </w:r>
            <w:r>
              <w:t xml:space="preserve">— misura quanta pressione serve perché un punto diventi doloroso; si esprime in chilogrammi.</w:t>
            </w:r>
          </w:p>
        </w:tc>
      </w:tr>
      <w:tr>
        <w:tc>
          <w:tcPr/>
          <w:p>
            <w:pPr>
              <w:pStyle w:val="Compact"/>
            </w:pPr>
            <w:r>
              <w:rPr>
                <w:b/>
                <w:bCs/>
              </w:rPr>
              <w:t xml:space="preserve">Alleanza terapeutica</w:t>
            </w:r>
            <w:r>
              <w:t xml:space="preserve"> </w:t>
            </w:r>
            <w:r>
              <w:t xml:space="preserve">— la qualità dell’accordo fra te e il paziente su obiettivi, compiti e legame. Si misura con questionari validati e predice l’esito nella lombalgia; è un predittore reale e piccolo.</w:t>
            </w:r>
          </w:p>
        </w:tc>
      </w:tr>
      <w:tr>
        <w:tc>
          <w:tcPr/>
          <w:p>
            <w:pPr>
              <w:pStyle w:val="Compact"/>
            </w:pPr>
            <w:r>
              <w:rPr>
                <w:b/>
                <w:bCs/>
              </w:rPr>
              <w:t xml:space="preserve">Appoggio monopodalico</w:t>
            </w:r>
            <w:r>
              <w:t xml:space="preserve"> </w:t>
            </w:r>
            <w:r>
              <w:t xml:space="preserve">— la fase in cui tutto il peso sta su una gamba sola.</w:t>
            </w:r>
          </w:p>
        </w:tc>
      </w:tr>
      <w:tr>
        <w:tc>
          <w:tcPr/>
          <w:p>
            <w:pPr>
              <w:pStyle w:val="Compact"/>
            </w:pPr>
            <w:r>
              <w:rPr>
                <w:b/>
                <w:bCs/>
              </w:rPr>
              <w:t xml:space="preserve">Artrosi radiografica (Kellgren-Lawrence)</w:t>
            </w:r>
            <w:r>
              <w:t xml:space="preserve"> </w:t>
            </w:r>
            <w:r>
              <w:t xml:space="preserve">— degenerazione articolare classificata sulla lastra da 0 a 4; da 2 in su si parla di artrosi radiografica.</w:t>
            </w:r>
          </w:p>
        </w:tc>
      </w:tr>
      <w:tr>
        <w:tc>
          <w:tcPr/>
          <w:p>
            <w:pPr>
              <w:pStyle w:val="Compact"/>
            </w:pPr>
            <w:r>
              <w:rPr>
                <w:b/>
                <w:bCs/>
              </w:rPr>
              <w:t xml:space="preserve">Cancello (di condotta)</w:t>
            </w:r>
            <w:r>
              <w:t xml:space="preserve"> </w:t>
            </w:r>
            <w:r>
              <w:t xml:space="preserve">— una situazione che cambia l’uscita del triage o il mandato. Non è una variante di presentazione della condizione.</w:t>
            </w:r>
          </w:p>
        </w:tc>
      </w:tr>
      <w:tr>
        <w:tc>
          <w:tcPr/>
          <w:p>
            <w:pPr>
              <w:pStyle w:val="Compact"/>
            </w:pPr>
            <w:r>
              <w:rPr>
                <w:b/>
                <w:bCs/>
              </w:rPr>
              <w:t xml:space="preserve">Catena</w:t>
            </w:r>
            <w:r>
              <w:t xml:space="preserve"> </w:t>
            </w:r>
            <w:r>
              <w:t xml:space="preserve">— un insieme di strutture collegate che si influenzano a distanza, per continuità meccanica o per via nervosa.</w:t>
            </w:r>
          </w:p>
        </w:tc>
      </w:tr>
      <w:tr>
        <w:tc>
          <w:tcPr/>
          <w:p>
            <w:pPr>
              <w:pStyle w:val="Compact"/>
            </w:pPr>
            <w:r>
              <w:rPr>
                <w:b/>
                <w:bCs/>
              </w:rPr>
              <w:t xml:space="preserve">Cauda equina (sindrome della)</w:t>
            </w:r>
            <w:r>
              <w:t xml:space="preserve"> </w:t>
            </w:r>
            <w:r>
              <w:t xml:space="preserve">— compressione delle radici nervose terminali, con perdita di controllo di urine o feci, insensibilità della zona a contatto con la sella e deficit alle gambe. È un’emergenza.</w:t>
            </w:r>
          </w:p>
        </w:tc>
      </w:tr>
      <w:tr>
        <w:tc>
          <w:tcPr/>
          <w:p>
            <w:pPr>
              <w:pStyle w:val="Compact"/>
            </w:pPr>
            <w:r>
              <w:rPr>
                <w:b/>
                <w:bCs/>
              </w:rPr>
              <w:t xml:space="preserve">Certezza delle prove</w:t>
            </w:r>
            <w:r>
              <w:t xml:space="preserve"> </w:t>
            </w:r>
            <w:r>
              <w:t xml:space="preserve">— giudizio su quanto ci si può fidare del risultato di una revisione, da molto bassa ad alta. Non è la dimensione dell’effetto.</w:t>
            </w:r>
          </w:p>
        </w:tc>
      </w:tr>
      <w:tr>
        <w:tc>
          <w:tcPr/>
          <w:p>
            <w:pPr>
              <w:pStyle w:val="Compact"/>
            </w:pPr>
            <w:r>
              <w:rPr>
                <w:b/>
                <w:bCs/>
              </w:rPr>
              <w:t xml:space="preserve">Chiave di volta (prova della)</w:t>
            </w:r>
            <w:r>
              <w:t xml:space="preserve"> </w:t>
            </w:r>
            <w:r>
              <w:t xml:space="preserve">— trattare il piano che si sospetta dominante e poi rimisurare un marker che appartiene a un altro piano. Se cede anche quello, l’ipotesi regge.</w:t>
            </w:r>
          </w:p>
        </w:tc>
      </w:tr>
      <w:tr>
        <w:tc>
          <w:tcPr/>
          <w:p>
            <w:pPr>
              <w:pStyle w:val="Compact"/>
            </w:pPr>
            <w:r>
              <w:rPr>
                <w:b/>
                <w:bCs/>
              </w:rPr>
              <w:t xml:space="preserve">Cobb (gradi)</w:t>
            </w:r>
            <w:r>
              <w:t xml:space="preserve"> </w:t>
            </w:r>
            <w:r>
              <w:t xml:space="preserve">— l’angolo con cui si misura una curva della colonna sulla lastra. Sopra 10 gradi si parla di scoliosi.</w:t>
            </w:r>
          </w:p>
        </w:tc>
      </w:tr>
      <w:tr>
        <w:tc>
          <w:tcPr/>
          <w:p>
            <w:pPr>
              <w:pStyle w:val="Compact"/>
            </w:pPr>
            <w:r>
              <w:rPr>
                <w:b/>
                <w:bCs/>
              </w:rPr>
              <w:t xml:space="preserve">Co-attivazione</w:t>
            </w:r>
            <w:r>
              <w:t xml:space="preserve"> </w:t>
            </w:r>
            <w:r>
              <w:t xml:space="preserve">— contrazione simultanea di muscoli che agiscono in direzioni opposte, o dei due lati insieme quando dovrebbero alternarsi.</w:t>
            </w:r>
          </w:p>
        </w:tc>
      </w:tr>
      <w:tr>
        <w:tc>
          <w:tcPr/>
          <w:p>
            <w:pPr>
              <w:pStyle w:val="Compact"/>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tc>
      </w:tr>
      <w:tr>
        <w:tc>
          <w:tcPr/>
          <w:p>
            <w:pPr>
              <w:pStyle w:val="Compact"/>
            </w:pPr>
            <w:r>
              <w:rPr>
                <w:b/>
                <w:bCs/>
              </w:rPr>
              <w:t xml:space="preserve">Conduttanza cutanea</w:t>
            </w:r>
            <w:r>
              <w:t xml:space="preserve"> </w:t>
            </w:r>
            <w:r>
              <w:t xml:space="preserve">— quanto la pelle conduce elettricità, che cambia con la sudorazione. Misura una reazione istantanea a uno stimolo, non il livello di fondo del sistema.</w:t>
            </w:r>
          </w:p>
        </w:tc>
      </w:tr>
      <w:tr>
        <w:tc>
          <w:tcPr/>
          <w:p>
            <w:pPr>
              <w:pStyle w:val="Compact"/>
            </w:pPr>
            <w:r>
              <w:rPr>
                <w:b/>
                <w:bCs/>
              </w:rPr>
              <w:t xml:space="preserve">DIMOSTRATO</w:t>
            </w:r>
            <w:r>
              <w:t xml:space="preserve"> </w:t>
            </w:r>
            <w:r>
              <w:t xml:space="preserve">— etichetta di solidità: studi sull’uomo, solidi.</w:t>
            </w:r>
          </w:p>
        </w:tc>
      </w:tr>
      <w:tr>
        <w:tc>
          <w:tcPr/>
          <w:p>
            <w:pPr>
              <w:pStyle w:val="Compact"/>
            </w:pPr>
            <w:r>
              <w:rPr>
                <w:b/>
                <w:bCs/>
              </w:rPr>
              <w:t xml:space="preserve">Deviazione standard</w:t>
            </w:r>
            <w:r>
              <w:t xml:space="preserve"> </w:t>
            </w:r>
            <w:r>
              <w:t xml:space="preserve">— misura di quanto i valori si disperdono attorno alla media: circa due terzi delle persone stanno entro una deviazione standard.</w:t>
            </w:r>
          </w:p>
        </w:tc>
      </w:tr>
      <w:tr>
        <w:tc>
          <w:tcPr/>
          <w:p>
            <w:pPr>
              <w:pStyle w:val="Compact"/>
            </w:pPr>
            <w:r>
              <w:rPr>
                <w:b/>
                <w:bCs/>
              </w:rPr>
              <w:t xml:space="preserve">Dattilite</w:t>
            </w:r>
            <w:r>
              <w:t xml:space="preserve"> </w:t>
            </w:r>
            <w:r>
              <w:t xml:space="preserve">— gonfiore diffuso di un intero dito, «a salsicciotto». È una manifestazione periferica di spondiloartrite, e in un dolore lombare cronico giovane è un motivo di invio.</w:t>
            </w:r>
          </w:p>
        </w:tc>
      </w:tr>
      <w:tr>
        <w:tc>
          <w:tcPr/>
          <w:p>
            <w:pPr>
              <w:pStyle w:val="Compact"/>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tc>
      </w:tr>
      <w:tr>
        <w:tc>
          <w:tcPr/>
          <w:p>
            <w:pPr>
              <w:pStyle w:val="Compact"/>
            </w:pPr>
            <w:r>
              <w:rPr>
                <w:b/>
                <w:bCs/>
              </w:rPr>
              <w:t xml:space="preserve">Dismetria anatomica</w:t>
            </w:r>
            <w:r>
              <w:t xml:space="preserve"> </w:t>
            </w:r>
            <w:r>
              <w:t xml:space="preserve">— differenza reale di lunghezza dell’osso fra i due arti, misurabile solo con l’imaging.</w:t>
            </w:r>
          </w:p>
        </w:tc>
      </w:tr>
      <w:tr>
        <w:tc>
          <w:tcPr/>
          <w:p>
            <w:pPr>
              <w:pStyle w:val="Compact"/>
            </w:pPr>
            <w:r>
              <w:rPr>
                <w:b/>
                <w:bCs/>
              </w:rPr>
              <w:t xml:space="preserve">Dismetria funzionale</w:t>
            </w:r>
            <w:r>
              <w:t xml:space="preserve"> </w:t>
            </w:r>
            <w:r>
              <w:t xml:space="preserve">— differenza di posizione fra i due arti senza differenza di lunghezza dell’osso.</w:t>
            </w:r>
          </w:p>
        </w:tc>
      </w:tr>
      <w:tr>
        <w:tc>
          <w:tcPr/>
          <w:p>
            <w:pPr>
              <w:pStyle w:val="Compact"/>
            </w:pPr>
            <w:r>
              <w:rPr>
                <w:b/>
                <w:bCs/>
              </w:rPr>
              <w:t xml:space="preserve">Dolore infiammatorio</w:t>
            </w:r>
            <w:r>
              <w:t xml:space="preserve"> </w:t>
            </w:r>
            <w:r>
              <w:t xml:space="preserve">— dolore con rigidità mattutina prolungata, risveglio notturno, miglioramento con il movimento e non con il riposo, esordio prima dei 45 anni. Va al reumatologo, non a noi.</w:t>
            </w:r>
          </w:p>
        </w:tc>
      </w:tr>
      <w:tr>
        <w:tc>
          <w:tcPr/>
          <w:p>
            <w:pPr>
              <w:pStyle w:val="Compact"/>
            </w:pPr>
            <w:r>
              <w:rPr>
                <w:b/>
                <w:bCs/>
              </w:rPr>
              <w:t xml:space="preserve">Dolore riferito somatico</w:t>
            </w:r>
            <w:r>
              <w:t xml:space="preserve"> </w:t>
            </w:r>
            <w:r>
              <w:t xml:space="preserve">— dolore percepito lontano dalla struttura che lo genera, perché le afferenze convergono sugli stessi neuroni midollari. È profondo e mal localizzato; non è una radice.</w:t>
            </w:r>
          </w:p>
        </w:tc>
      </w:tr>
      <w:tr>
        <w:tc>
          <w:tcPr/>
          <w:p>
            <w:pPr>
              <w:pStyle w:val="Compact"/>
            </w:pPr>
            <w:r>
              <w:rPr>
                <w:b/>
                <w:bCs/>
              </w:rPr>
              <w:t xml:space="preserve">Entesite</w:t>
            </w:r>
            <w:r>
              <w:t xml:space="preserve"> </w:t>
            </w:r>
            <w:r>
              <w:t xml:space="preserve">— infiammazione del punto in cui un tendine o un legamento si inserisce sull’osso, tipicamente l’Achille o la fascia plantare. È una manifestazione periferica di spondiloartrite.</w:t>
            </w:r>
          </w:p>
        </w:tc>
      </w:tr>
      <w:tr>
        <w:tc>
          <w:tcPr/>
          <w:p>
            <w:pPr>
              <w:pStyle w:val="Compact"/>
            </w:pPr>
            <w:r>
              <w:rPr>
                <w:b/>
                <w:bCs/>
              </w:rPr>
              <w:t xml:space="preserve">Epifisiolisi della testa femorale</w:t>
            </w:r>
            <w:r>
              <w:t xml:space="preserve"> </w:t>
            </w:r>
            <w:r>
              <w:t xml:space="preserve">— scivolamento della testa del femore sulla cartilagine di accrescimento, tipico dell’adolescenza; dà zoppia e dolore all’anca, alla coscia o al ginocchio.</w:t>
            </w:r>
          </w:p>
        </w:tc>
      </w:tr>
      <w:tr>
        <w:tc>
          <w:tcPr/>
          <w:p>
            <w:pPr>
              <w:pStyle w:val="Compact"/>
            </w:pPr>
            <w:r>
              <w:rPr>
                <w:b/>
                <w:bCs/>
              </w:rPr>
              <w:t xml:space="preserve">Escursione regionale</w:t>
            </w:r>
            <w:r>
              <w:t xml:space="preserve"> </w:t>
            </w:r>
            <w:r>
              <w:t xml:space="preserve">— l’ampiezza di movimento di una regione articolare misurata con uno strumento; è più affidabile della stima segmentale.</w:t>
            </w:r>
          </w:p>
        </w:tc>
      </w:tr>
      <w:tr>
        <w:tc>
          <w:tcPr/>
          <w:p>
            <w:pPr>
              <w:pStyle w:val="Compact"/>
            </w:pPr>
            <w:r>
              <w:rPr>
                <w:b/>
                <w:bCs/>
              </w:rPr>
              <w:t xml:space="preserve">IPOTESI</w:t>
            </w:r>
            <w:r>
              <w:t xml:space="preserve"> </w:t>
            </w:r>
            <w:r>
              <w:t xml:space="preserve">— etichetta di solidità: meccanismo coerente, nessuno studio.</w:t>
            </w:r>
          </w:p>
        </w:tc>
      </w:tr>
      <w:tr>
        <w:tc>
          <w:tcPr/>
          <w:p>
            <w:pPr>
              <w:pStyle w:val="Compact"/>
            </w:pPr>
            <w:r>
              <w:rPr>
                <w:b/>
                <w:bCs/>
              </w:rPr>
              <w:t xml:space="preserve">Inibizione artrogena</w:t>
            </w:r>
            <w:r>
              <w:t xml:space="preserve"> </w:t>
            </w:r>
            <w:r>
              <w:t xml:space="preserve">— riduzione riflessa dell’attivazione di un muscolo, tipicamente il quadricipite, provocata da versamento, infiammazione o alterazione delle afferenze articolari. Si sposta con il carico, in settimane.</w:t>
            </w:r>
          </w:p>
        </w:tc>
      </w:tr>
      <w:tr>
        <w:tc>
          <w:tcPr/>
          <w:p>
            <w:pPr>
              <w:pStyle w:val="Compact"/>
            </w:pPr>
            <w:r>
              <w:rPr>
                <w:b/>
                <w:bCs/>
              </w:rPr>
              <w:t xml:space="preserve">Kappa</w:t>
            </w:r>
            <w:r>
              <w:t xml:space="preserve"> </w:t>
            </w:r>
            <w:r>
              <w:t xml:space="preserve">— indice di accordo fra esaminatori corretto per il caso; sotto 0,4 l’accordo è considerato scarso.</w:t>
            </w:r>
          </w:p>
        </w:tc>
      </w:tr>
      <w:tr>
        <w:tc>
          <w:tcPr/>
          <w:p>
            <w:pPr>
              <w:pStyle w:val="Compact"/>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p>
        </w:tc>
      </w:tr>
      <w:tr>
        <w:tc>
          <w:tcPr/>
          <w:p>
            <w:pPr>
              <w:pStyle w:val="Compact"/>
            </w:pPr>
            <w:r>
              <w:rPr>
                <w:b/>
                <w:bCs/>
              </w:rPr>
              <w:t xml:space="preserve">Livello tonico (di attivazione)</w:t>
            </w:r>
            <w:r>
              <w:t xml:space="preserve"> </w:t>
            </w:r>
            <w:r>
              <w:t xml:space="preserve">— il livello di fondo a cui il sistema nervoso tiene il corpo, indipendentemente da uno stimolo specifico. Non si misura con la palpazione.</w:t>
            </w:r>
          </w:p>
        </w:tc>
      </w:tr>
      <w:tr>
        <w:tc>
          <w:tcPr/>
          <w:p>
            <w:pPr>
              <w:pStyle w:val="Compact"/>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tc>
      </w:tr>
      <w:tr>
        <w:tc>
          <w:tcPr/>
          <w:p>
            <w:pPr>
              <w:pStyle w:val="Compact"/>
            </w:pPr>
            <w:r>
              <w:rPr>
                <w:b/>
                <w:bCs/>
              </w:rPr>
              <w:t xml:space="preserve">Nociplastico (dolore)</w:t>
            </w:r>
            <w:r>
              <w:t xml:space="preserve"> </w:t>
            </w:r>
            <w:r>
              <w:t xml:space="preserve">— dolore che nasce da un’alterazione del modo in cui il sistema nervoso elabora il segnale, senza danno tissutale o lesione nervosa che lo giustifichi. Ha criteri clinici formalizzati.</w:t>
            </w:r>
          </w:p>
        </w:tc>
      </w:tr>
      <w:tr>
        <w:tc>
          <w:tcPr/>
          <w:p>
            <w:pPr>
              <w:pStyle w:val="Compact"/>
            </w:pPr>
            <w:r>
              <w:rPr>
                <w:b/>
                <w:bCs/>
              </w:rPr>
              <w:t xml:space="preserve">Obliquità del piano sacrale</w:t>
            </w:r>
            <w:r>
              <w:t xml:space="preserve"> </w:t>
            </w:r>
            <w:r>
              <w:t xml:space="preserve">— inclinazione laterale della superficie superiore del sacro, misurata in millimetri sulla radiografia in piedi.</w:t>
            </w:r>
          </w:p>
        </w:tc>
      </w:tr>
      <w:tr>
        <w:tc>
          <w:tcPr/>
          <w:p>
            <w:pPr>
              <w:pStyle w:val="Compact"/>
            </w:pPr>
            <w:r>
              <w:rPr>
                <w:b/>
                <w:bCs/>
              </w:rPr>
              <w:t xml:space="preserve">Odds ratio e hazard ratio</w:t>
            </w:r>
            <w:r>
              <w:t xml:space="preserve"> </w:t>
            </w:r>
            <w:r>
              <w:t xml:space="preserve">— misure di quanto un evento è più frequente in un gruppo rispetto a un altro; l’hazard ratio tiene conto anche del tempo.</w:t>
            </w:r>
          </w:p>
        </w:tc>
      </w:tr>
      <w:tr>
        <w:tc>
          <w:tcPr/>
          <w:p>
            <w:pPr>
              <w:pStyle w:val="Compact"/>
            </w:pPr>
            <w:r>
              <w:rPr>
                <w:b/>
                <w:bCs/>
              </w:rPr>
              <w:t xml:space="preserve">PROBABILE</w:t>
            </w:r>
            <w:r>
              <w:t xml:space="preserve"> </w:t>
            </w:r>
            <w:r>
              <w:t xml:space="preserve">— etichetta di solidità: razionale forte, prove parziali.</w:t>
            </w:r>
          </w:p>
        </w:tc>
      </w:tr>
      <w:tr>
        <w:tc>
          <w:tcPr/>
          <w:p>
            <w:pPr>
              <w:pStyle w:val="Compact"/>
            </w:pPr>
            <w:r>
              <w:rPr>
                <w:b/>
                <w:bCs/>
              </w:rPr>
              <w:t xml:space="preserve">Piano</w:t>
            </w:r>
            <w:r>
              <w:t xml:space="preserve"> </w:t>
            </w:r>
            <w:r>
              <w:t xml:space="preserve">— in questo documento, uno dei livelli su cui il sistema può cedere: geometria, escursione, nocicezione locale, attivazione, credenze. Non è il piano sacrale né il piano frontale.</w:t>
            </w:r>
          </w:p>
        </w:tc>
      </w:tr>
      <w:tr>
        <w:tc>
          <w:tcPr/>
          <w:p>
            <w:pPr>
              <w:pStyle w:val="Compact"/>
            </w:pPr>
            <w:r>
              <w:rPr>
                <w:b/>
                <w:bCs/>
              </w:rPr>
              <w:t xml:space="preserve">Piano sacrale</w:t>
            </w:r>
            <w:r>
              <w:t xml:space="preserve"> </w:t>
            </w:r>
            <w:r>
              <w:t xml:space="preserve">— la superficie superiore del sacro, su cui poggia L5 e con lei tutta la colonna.</w:t>
            </w:r>
          </w:p>
        </w:tc>
      </w:tr>
      <w:tr>
        <w:tc>
          <w:tcPr/>
          <w:p>
            <w:pPr>
              <w:pStyle w:val="Compact"/>
            </w:pPr>
            <w:r>
              <w:rPr>
                <w:b/>
                <w:bCs/>
              </w:rPr>
              <w:t xml:space="preserve">Punti su 100</w:t>
            </w:r>
            <w:r>
              <w:t xml:space="preserve"> </w:t>
            </w:r>
            <w:r>
              <w:t xml:space="preserve">— quasi tutte le scale citate qui esprimono dolore o limitazione su 0–100, dove 0 è nessun sintomo. Quando la scala originale è 0–10, il numero è riportato come tale.</w:t>
            </w:r>
          </w:p>
        </w:tc>
      </w:tr>
      <w:tr>
        <w:tc>
          <w:tcPr/>
          <w:p>
            <w:pPr>
              <w:pStyle w:val="Compact"/>
            </w:pPr>
            <w:r>
              <w:rPr>
                <w:b/>
                <w:bCs/>
              </w:rPr>
              <w:t xml:space="preserve">RAGIONAMENTO</w:t>
            </w:r>
            <w:r>
              <w:t xml:space="preserve"> </w:t>
            </w:r>
            <w:r>
              <w:t xml:space="preserve">— etichetta di solidità: cornice clinica, non una prova.</w:t>
            </w:r>
          </w:p>
        </w:tc>
      </w:tr>
      <w:tr>
        <w:tc>
          <w:tcPr/>
          <w:p>
            <w:pPr>
              <w:pStyle w:val="Compact"/>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tc>
      </w:tr>
      <w:tr>
        <w:tc>
          <w:tcPr/>
          <w:p>
            <w:pPr>
              <w:pStyle w:val="Compact"/>
            </w:pPr>
            <w:r>
              <w:rPr>
                <w:b/>
                <w:bCs/>
              </w:rPr>
              <w:t xml:space="preserve">Rialzo</w:t>
            </w:r>
            <w:r>
              <w:t xml:space="preserve"> </w:t>
            </w:r>
            <w:r>
              <w:t xml:space="preserve">— spessore applicato alla scarpa o inserito in essa per compensare una differenza di lunghezza; lo prescrive il medico o il tecnico ortopedico.</w:t>
            </w:r>
          </w:p>
        </w:tc>
      </w:tr>
      <w:tr>
        <w:tc>
          <w:tcPr/>
          <w:p>
            <w:pPr>
              <w:pStyle w:val="Compact"/>
            </w:pPr>
            <w:r>
              <w:rPr>
                <w:b/>
                <w:bCs/>
              </w:rPr>
              <w:t xml:space="preserve">Rotazione vertebrale</w:t>
            </w:r>
            <w:r>
              <w:t xml:space="preserve"> </w:t>
            </w:r>
            <w:r>
              <w:t xml:space="preserve">— torsione della vertebra sul proprio asse, misurabile in radiografia.</w:t>
            </w:r>
          </w:p>
        </w:tc>
      </w:tr>
      <w:tr>
        <w:tc>
          <w:tcPr/>
          <w:p>
            <w:pPr>
              <w:pStyle w:val="Compact"/>
            </w:pPr>
            <w:r>
              <w:rPr>
                <w:b/>
                <w:bCs/>
              </w:rPr>
              <w:t xml:space="preserve">Sacroiliaca (articolazione)</w:t>
            </w:r>
            <w:r>
              <w:t xml:space="preserve"> </w:t>
            </w:r>
            <w:r>
              <w:t xml:space="preserve">— il giunto fra sacro e osso iliaco, con escursione di pochi gradi, che trasmette il carico del tronco alla gamba.</w:t>
            </w:r>
          </w:p>
        </w:tc>
      </w:tr>
      <w:tr>
        <w:tc>
          <w:tcPr/>
          <w:p>
            <w:pPr>
              <w:pStyle w:val="Compact"/>
            </w:pPr>
            <w:r>
              <w:rPr>
                <w:b/>
                <w:bCs/>
              </w:rPr>
              <w:t xml:space="preserve">Sensibilizzazione</w:t>
            </w:r>
            <w:r>
              <w:t xml:space="preserve"> </w:t>
            </w:r>
            <w:r>
              <w:t xml:space="preserve">— abbassamento della soglia a cui uno stimolo diventa doloroso; può essere periferica (nel tessuto) o centrale (nel midollo e sopra).</w:t>
            </w:r>
          </w:p>
        </w:tc>
      </w:tr>
      <w:tr>
        <w:tc>
          <w:tcPr/>
          <w:p>
            <w:pPr>
              <w:pStyle w:val="Compact"/>
            </w:pPr>
            <w:r>
              <w:rPr>
                <w:b/>
                <w:bCs/>
              </w:rPr>
              <w:t xml:space="preserve">Sham (finto trattamento)</w:t>
            </w:r>
            <w:r>
              <w:t xml:space="preserve"> </w:t>
            </w:r>
            <w:r>
              <w:t xml:space="preserve">— procedura che imita il trattamento senza il suo ingrediente attivo, usata come confronto negli studi.</w:t>
            </w:r>
            <w:r>
              <w:t xml:space="preserve"> </w:t>
            </w:r>
            <w:r>
              <w:rPr>
                <w:i/>
                <w:iCs/>
              </w:rPr>
              <w:t xml:space="preserve">Controlli non-sham</w:t>
            </w:r>
            <w:r>
              <w:t xml:space="preserve"> </w:t>
            </w:r>
            <w:r>
              <w:t xml:space="preserve">significa quindi confronti con nessun trattamento o con cure abituali, che stimano un effetto più grande.</w:t>
            </w:r>
          </w:p>
        </w:tc>
      </w:tr>
      <w:tr>
        <w:tc>
          <w:tcPr/>
          <w:p>
            <w:pPr>
              <w:pStyle w:val="Compact"/>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tc>
      </w:tr>
      <w:tr>
        <w:tc>
          <w:tcPr/>
          <w:p>
            <w:pPr>
              <w:pStyle w:val="Compact"/>
            </w:pPr>
            <w:r>
              <w:rPr>
                <w:b/>
                <w:bCs/>
              </w:rPr>
              <w:t xml:space="preserve">Spina iliaca postero-superiore</w:t>
            </w:r>
            <w:r>
              <w:t xml:space="preserve"> </w:t>
            </w:r>
            <w:r>
              <w:t xml:space="preserve">— la sporgenza posteriore della cresta iliaca, punto di repere classico per stimare la posizione del bacino.</w:t>
            </w:r>
          </w:p>
        </w:tc>
      </w:tr>
      <w:tr>
        <w:tc>
          <w:tcPr/>
          <w:p>
            <w:pPr>
              <w:pStyle w:val="Compact"/>
            </w:pPr>
            <w:r>
              <w:rPr>
                <w:b/>
                <w:bCs/>
              </w:rPr>
              <w:t xml:space="preserve">Stereofotogrammetria radiografica</w:t>
            </w:r>
            <w:r>
              <w:t xml:space="preserve"> </w:t>
            </w:r>
            <w:r>
              <w:t xml:space="preserve">— tecnica che misura lo spostamento fra due ossa con marcatori metallici e radiografie da due angolazioni; ha precisione inferiore al millimetro.</w:t>
            </w:r>
          </w:p>
        </w:tc>
      </w:tr>
      <w:tr>
        <w:tc>
          <w:tcPr/>
          <w:p>
            <w:pPr>
              <w:pStyle w:val="Compact"/>
            </w:pPr>
            <w:r>
              <w:rPr>
                <w:b/>
                <w:bCs/>
              </w:rPr>
              <w:t xml:space="preserve">Superficie inclinata</w:t>
            </w:r>
            <w:r>
              <w:t xml:space="preserve"> </w:t>
            </w:r>
            <w:r>
              <w:t xml:space="preserve">— piano d’appoggio con una pendenza laterale, usato negli studi per costringere i due lati ad alternarsi durante la stazione eretta.</w:t>
            </w:r>
          </w:p>
        </w:tc>
      </w:tr>
      <w:tr>
        <w:tc>
          <w:tcPr/>
          <w:p>
            <w:pPr>
              <w:pStyle w:val="Compact"/>
            </w:pPr>
            <w:r>
              <w:rPr>
                <w:b/>
                <w:bCs/>
              </w:rPr>
              <w:t xml:space="preserve">Teleradiografia sotto carico</w:t>
            </w:r>
            <w:r>
              <w:t xml:space="preserve"> </w:t>
            </w:r>
            <w:r>
              <w:t xml:space="preserve">— radiografia degli arti inferiori a lunghezza intera, eseguita in piedi; è il riferimento per misurare la differenza anatomica.</w:t>
            </w:r>
          </w:p>
        </w:tc>
      </w:tr>
      <w:tr>
        <w:tc>
          <w:tcPr/>
          <w:p>
            <w:pPr>
              <w:pStyle w:val="Compact"/>
            </w:pPr>
            <w:r>
              <w:rPr>
                <w:b/>
                <w:bCs/>
              </w:rPr>
              <w:t xml:space="preserve">Test di provocazione sacroiliaca</w:t>
            </w:r>
            <w:r>
              <w:t xml:space="preserve"> </w:t>
            </w:r>
            <w:r>
              <w:t xml:space="preserve">— manovre che caricano l’articolazione per riprodurre il dolore del paziente; si contano i positivi, non si valuta una posizione. I sei validati sono distraction, thigh thrust, compression, sacral thrust e i due Gaenslen.</w:t>
            </w:r>
          </w:p>
        </w:tc>
      </w:tr>
      <w:tr>
        <w:tc>
          <w:tcPr/>
          <w:p>
            <w:pPr>
              <w:pStyle w:val="Compact"/>
            </w:pPr>
            <w:r>
              <w:rPr>
                <w:b/>
                <w:bCs/>
              </w:rPr>
              <w:t xml:space="preserve">Test posizionali</w:t>
            </w:r>
            <w:r>
              <w:t xml:space="preserve"> </w:t>
            </w:r>
            <w:r>
              <w:t xml:space="preserve">— manovre che valutano la posizione reciproca di due ossa con la palpazione dei reperi. Cambiano dopo il trattamento senza che la posizione cambi: non sono validi come misura.</w:t>
            </w:r>
          </w:p>
        </w:tc>
      </w:tr>
      <w:tr>
        <w:tc>
          <w:tcPr/>
          <w:p>
            <w:pPr>
              <w:pStyle w:val="Compact"/>
            </w:pPr>
            <w:r>
              <w:rPr>
                <w:b/>
                <w:bCs/>
              </w:rPr>
              <w:t xml:space="preserve">Tolleranza allo stiramento</w:t>
            </w:r>
            <w:r>
              <w:t xml:space="preserve"> </w:t>
            </w:r>
            <w:r>
              <w:t xml:space="preserve">— l’aumento di escursione che si ottiene in tempi brevi perché cambia la sensazione, non la lunghezza del tessuto.</w:t>
            </w:r>
          </w:p>
        </w:tc>
      </w:tr>
      <w:tr>
        <w:tc>
          <w:tcPr/>
          <w:p>
            <w:pPr>
              <w:pStyle w:val="Compact"/>
            </w:pPr>
            <w:r>
              <w:rPr>
                <w:b/>
                <w:bCs/>
              </w:rPr>
              <w:t xml:space="preserve">Trombosi venosa profonda</w:t>
            </w:r>
            <w:r>
              <w:t xml:space="preserve"> </w:t>
            </w:r>
            <w:r>
              <w:t xml:space="preserve">— coagulo in una vena profonda della gamba; si sospetta davanti a gonfiore nuovo di un solo arto, con calore o dolore al polpaccio.</w:t>
            </w:r>
          </w:p>
        </w:tc>
      </w:tr>
    </w:tbl>
    <w:bookmarkEnd w:id="67"/>
    <w:bookmarkStart w:id="112" w:name="appendice-b-le-fonti"/>
    <w:p>
      <w:pPr>
        <w:pStyle w:val="Heading2"/>
      </w:pPr>
      <w:r>
        <w:t xml:space="preserve">Appendice B — Le fonti</w:t>
      </w:r>
    </w:p>
    <w:p>
      <w:pPr>
        <w:pStyle w:val="FirstParagraph"/>
      </w:pPr>
      <w:r>
        <w:t xml:space="preserve">Nell’ordine in cui compaiono nel testo.</w:t>
      </w:r>
    </w:p>
    <w:p>
      <w:pPr>
        <w:pStyle w:val="Compact"/>
        <w:numPr>
          <w:ilvl w:val="0"/>
          <w:numId w:val="1023"/>
        </w:numPr>
      </w:pPr>
      <w:r>
        <w:t xml:space="preserve">Campbell TM, Ghaedi BB, Tanjong Ghogomu E, Welch V.</w:t>
      </w:r>
      <w:r>
        <w:t xml:space="preserve"> </w:t>
      </w:r>
      <w:r>
        <w:rPr>
          <w:i/>
          <w:iCs/>
        </w:rPr>
        <w:t xml:space="preserve">Shoe Lifts for Leg Length Discrepancy in Adults With Common Painful Musculoskeletal Conditions: A Systematic Review.</w:t>
      </w:r>
      <w:r>
        <w:t xml:space="preserve"> </w:t>
      </w:r>
      <w:r>
        <w:t xml:space="preserve">Arch Phys Med Rehabil 2018;99(5):981-993. —</w:t>
      </w:r>
      <w:r>
        <w:t xml:space="preserve"> </w:t>
      </w:r>
      <w:hyperlink r:id="rId46">
        <w:r>
          <w:rPr>
            <w:rStyle w:val="Hyperlink"/>
          </w:rPr>
          <w:t xml:space="preserve">PMID 29229292</w:t>
        </w:r>
      </w:hyperlink>
    </w:p>
    <w:p>
      <w:pPr>
        <w:pStyle w:val="Compact"/>
        <w:numPr>
          <w:ilvl w:val="0"/>
          <w:numId w:val="1023"/>
        </w:numPr>
      </w:pPr>
      <w:r>
        <w:t xml:space="preserve">Knutson GA.</w:t>
      </w:r>
      <w:r>
        <w:t xml:space="preserve"> </w:t>
      </w:r>
      <w:r>
        <w:rPr>
          <w:i/>
          <w:iCs/>
        </w:rPr>
        <w:t xml:space="preserve">Anatomic and functional leg-length inequality… Part I.</w:t>
      </w:r>
      <w:r>
        <w:t xml:space="preserve"> </w:t>
      </w:r>
      <w:r>
        <w:t xml:space="preserve">Chiropr Osteopat 2005;13:11. —</w:t>
      </w:r>
      <w:r>
        <w:t xml:space="preserve"> </w:t>
      </w:r>
      <w:hyperlink r:id="rId42">
        <w:r>
          <w:rPr>
            <w:rStyle w:val="Hyperlink"/>
          </w:rPr>
          <w:t xml:space="preserve">PMID 16026625</w:t>
        </w:r>
      </w:hyperlink>
    </w:p>
    <w:p>
      <w:pPr>
        <w:pStyle w:val="Compact"/>
        <w:numPr>
          <w:ilvl w:val="0"/>
          <w:numId w:val="1023"/>
        </w:numPr>
      </w:pPr>
      <w:r>
        <w:t xml:space="preserve">Knutson GA.</w:t>
      </w:r>
      <w:r>
        <w:t xml:space="preserve"> </w:t>
      </w:r>
      <w:r>
        <w:rPr>
          <w:i/>
          <w:iCs/>
        </w:rPr>
        <w:t xml:space="preserve">…Part II. The functional or unloaded leg-length asymmetry.</w:t>
      </w:r>
      <w:r>
        <w:t xml:space="preserve"> </w:t>
      </w:r>
      <w:r>
        <w:t xml:space="preserve">Chiropr Osteopat 2005;13:12. —</w:t>
      </w:r>
      <w:r>
        <w:t xml:space="preserve"> </w:t>
      </w:r>
      <w:hyperlink r:id="rId68">
        <w:r>
          <w:rPr>
            <w:rStyle w:val="Hyperlink"/>
          </w:rPr>
          <w:t xml:space="preserve">PMID 16080787</w:t>
        </w:r>
      </w:hyperlink>
    </w:p>
    <w:p>
      <w:pPr>
        <w:pStyle w:val="Compact"/>
        <w:numPr>
          <w:ilvl w:val="0"/>
          <w:numId w:val="1023"/>
        </w:numPr>
      </w:pPr>
      <w:r>
        <w:t xml:space="preserve">Alfuth M, Fichter P, Knicker A.</w:t>
      </w:r>
      <w:r>
        <w:t xml:space="preserve"> </w:t>
      </w:r>
      <w:r>
        <w:rPr>
          <w:i/>
          <w:iCs/>
        </w:rPr>
        <w:t xml:space="preserve">Leg length discrepancy: A systematic review on validity and reliability of clinical assessments and imaging diagnostics.</w:t>
      </w:r>
      <w:r>
        <w:t xml:space="preserve"> </w:t>
      </w:r>
      <w:r>
        <w:t xml:space="preserve">PLoS One 2021;16(12):e0261457. —</w:t>
      </w:r>
      <w:r>
        <w:t xml:space="preserve"> </w:t>
      </w:r>
      <w:hyperlink r:id="rId69">
        <w:r>
          <w:rPr>
            <w:rStyle w:val="Hyperlink"/>
          </w:rPr>
          <w:t xml:space="preserve">PMID 34928991</w:t>
        </w:r>
      </w:hyperlink>
    </w:p>
    <w:p>
      <w:pPr>
        <w:pStyle w:val="Compact"/>
        <w:numPr>
          <w:ilvl w:val="0"/>
          <w:numId w:val="1023"/>
        </w:numPr>
      </w:pPr>
      <w:r>
        <w:t xml:space="preserve">Badii M, Shin S, Torreggiani WC, et al. </w:t>
      </w:r>
      <w:r>
        <w:rPr>
          <w:i/>
          <w:iCs/>
        </w:rPr>
        <w:t xml:space="preserve">Pelvic bone asymmetry in 323 study participants receiving abdominal CT scans.</w:t>
      </w:r>
      <w:r>
        <w:t xml:space="preserve"> </w:t>
      </w:r>
      <w:r>
        <w:t xml:space="preserve">Spine 2003;28(12):1335-9. —</w:t>
      </w:r>
      <w:r>
        <w:t xml:space="preserve"> </w:t>
      </w:r>
      <w:hyperlink r:id="rId70">
        <w:r>
          <w:rPr>
            <w:rStyle w:val="Hyperlink"/>
          </w:rPr>
          <w:t xml:space="preserve">PMID 12811280</w:t>
        </w:r>
      </w:hyperlink>
    </w:p>
    <w:p>
      <w:pPr>
        <w:pStyle w:val="Compact"/>
        <w:numPr>
          <w:ilvl w:val="0"/>
          <w:numId w:val="1023"/>
        </w:numPr>
      </w:pPr>
      <w:r>
        <w:t xml:space="preserve">Wallwork SB, Braithwaite FA, O’Keeffe M, et al. </w:t>
      </w:r>
      <w:r>
        <w:rPr>
          <w:i/>
          <w:iCs/>
        </w:rPr>
        <w:t xml:space="preserve">The clinical course of acute, subacute and persistent low back pain: a systematic review and meta-analysis.</w:t>
      </w:r>
      <w:r>
        <w:t xml:space="preserve"> </w:t>
      </w:r>
      <w:r>
        <w:t xml:space="preserve">CMAJ 2024;196(2):E29-E46. —</w:t>
      </w:r>
      <w:r>
        <w:t xml:space="preserve"> </w:t>
      </w:r>
      <w:hyperlink r:id="rId45">
        <w:r>
          <w:rPr>
            <w:rStyle w:val="Hyperlink"/>
          </w:rPr>
          <w:t xml:space="preserve">PMID 38253366</w:t>
        </w:r>
      </w:hyperlink>
    </w:p>
    <w:p>
      <w:pPr>
        <w:pStyle w:val="Compact"/>
        <w:numPr>
          <w:ilvl w:val="0"/>
          <w:numId w:val="1023"/>
        </w:numPr>
      </w:pPr>
      <w:r>
        <w:t xml:space="preserve">Menezes Costa L da C, Maher CG, Hancock MJ, et al. </w:t>
      </w:r>
      <w:r>
        <w:rPr>
          <w:i/>
          <w:iCs/>
        </w:rPr>
        <w:t xml:space="preserve">The prognosis of acute and persistent low-back pain: a meta-analysis.</w:t>
      </w:r>
      <w:r>
        <w:t xml:space="preserve"> </w:t>
      </w:r>
      <w:r>
        <w:t xml:space="preserve">CMAJ 2012;184(11):E613-24. —</w:t>
      </w:r>
      <w:r>
        <w:t xml:space="preserve"> </w:t>
      </w:r>
      <w:hyperlink r:id="rId71">
        <w:r>
          <w:rPr>
            <w:rStyle w:val="Hyperlink"/>
          </w:rPr>
          <w:t xml:space="preserve">PMID 22586331</w:t>
        </w:r>
      </w:hyperlink>
      <w:r>
        <w:t xml:space="preserve"> </w:t>
      </w:r>
      <w:r>
        <w:rPr>
          <w:i/>
          <w:iCs/>
        </w:rPr>
        <w:t xml:space="preserve">(versione precedente, aggiornata dalla voce 6)</w:t>
      </w:r>
    </w:p>
    <w:p>
      <w:pPr>
        <w:pStyle w:val="Compact"/>
        <w:numPr>
          <w:ilvl w:val="0"/>
          <w:numId w:val="1023"/>
        </w:numPr>
      </w:pPr>
      <w:r>
        <w:t xml:space="preserve">Harvey WF, Yang M, Cooke TD, et al. </w:t>
      </w:r>
      <w:r>
        <w:rPr>
          <w:i/>
          <w:iCs/>
        </w:rPr>
        <w:t xml:space="preserve">Association of leg-length inequality with knee osteoarthritis: a cohort study.</w:t>
      </w:r>
      <w:r>
        <w:t xml:space="preserve"> </w:t>
      </w:r>
      <w:r>
        <w:t xml:space="preserve">Ann Intern Med 2010;152(5):287-95. —</w:t>
      </w:r>
      <w:r>
        <w:t xml:space="preserve"> </w:t>
      </w:r>
      <w:hyperlink r:id="rId43">
        <w:r>
          <w:rPr>
            <w:rStyle w:val="Hyperlink"/>
          </w:rPr>
          <w:t xml:space="preserve">PMID 20194234</w:t>
        </w:r>
      </w:hyperlink>
    </w:p>
    <w:p>
      <w:pPr>
        <w:pStyle w:val="Compact"/>
        <w:numPr>
          <w:ilvl w:val="0"/>
          <w:numId w:val="1023"/>
        </w:numPr>
      </w:pPr>
      <w:r>
        <w:t xml:space="preserve">Golightly YM, Allen KD, Helmick CG, et al. </w:t>
      </w:r>
      <w:r>
        <w:rPr>
          <w:i/>
          <w:iCs/>
        </w:rPr>
        <w:t xml:space="preserve">Hazard of incident and progressive knee and hip radiographic osteoarthritis… with and without limb length inequality.</w:t>
      </w:r>
      <w:r>
        <w:t xml:space="preserve"> </w:t>
      </w:r>
      <w:r>
        <w:t xml:space="preserve">J Rheumatol 2010;37(10):2133-40. —</w:t>
      </w:r>
      <w:r>
        <w:t xml:space="preserve"> </w:t>
      </w:r>
      <w:hyperlink r:id="rId72">
        <w:r>
          <w:rPr>
            <w:rStyle w:val="Hyperlink"/>
          </w:rPr>
          <w:t xml:space="preserve">PMID 20634243</w:t>
        </w:r>
      </w:hyperlink>
    </w:p>
    <w:p>
      <w:pPr>
        <w:pStyle w:val="Compact"/>
        <w:numPr>
          <w:ilvl w:val="0"/>
          <w:numId w:val="1023"/>
        </w:numPr>
      </w:pPr>
      <w:r>
        <w:t xml:space="preserve">Golightly YM, Allen KD, Renner JB, et al. </w:t>
      </w:r>
      <w:r>
        <w:rPr>
          <w:i/>
          <w:iCs/>
        </w:rPr>
        <w:t xml:space="preserve">Relationship of limb length inequality with radiographic knee and hip osteoarthritis.</w:t>
      </w:r>
      <w:r>
        <w:t xml:space="preserve"> </w:t>
      </w:r>
      <w:r>
        <w:t xml:space="preserve">Osteoarthritis Cartilage 2007;15(7):824-9. —</w:t>
      </w:r>
      <w:r>
        <w:t xml:space="preserve"> </w:t>
      </w:r>
      <w:hyperlink r:id="rId73">
        <w:r>
          <w:rPr>
            <w:rStyle w:val="Hyperlink"/>
          </w:rPr>
          <w:t xml:space="preserve">PMID 17321169</w:t>
        </w:r>
      </w:hyperlink>
    </w:p>
    <w:p>
      <w:pPr>
        <w:pStyle w:val="Compact"/>
        <w:numPr>
          <w:ilvl w:val="0"/>
          <w:numId w:val="1023"/>
        </w:numPr>
      </w:pPr>
      <w:r>
        <w:t xml:space="preserve">Liu RW, Streit JJ, Weinberg DS, et al. </w:t>
      </w:r>
      <w:r>
        <w:rPr>
          <w:i/>
          <w:iCs/>
        </w:rPr>
        <w:t xml:space="preserve">No relationship between mild limb length discrepancy and spine, hip or knee degenerative disease in a large cadaveric collection.</w:t>
      </w:r>
      <w:r>
        <w:t xml:space="preserve"> </w:t>
      </w:r>
      <w:r>
        <w:t xml:space="preserve">Orthop Traumatol Surg Res 2018;104(5):603-607. —</w:t>
      </w:r>
      <w:r>
        <w:t xml:space="preserve"> </w:t>
      </w:r>
      <w:hyperlink r:id="rId44">
        <w:r>
          <w:rPr>
            <w:rStyle w:val="Hyperlink"/>
          </w:rPr>
          <w:t xml:space="preserve">PMID 29705080</w:t>
        </w:r>
      </w:hyperlink>
    </w:p>
    <w:p>
      <w:pPr>
        <w:pStyle w:val="Compact"/>
        <w:numPr>
          <w:ilvl w:val="0"/>
          <w:numId w:val="1023"/>
        </w:numPr>
      </w:pPr>
      <w:r>
        <w:t xml:space="preserve">Poddubnyy D, van Tubergen A, Landewé R, et al. </w:t>
      </w:r>
      <w:r>
        <w:rPr>
          <w:i/>
          <w:iCs/>
        </w:rPr>
        <w:t xml:space="preserve">Development of an ASAS-endorsed recommendation for the early referral of patients with a suspicion of axial spondyloarthritis.</w:t>
      </w:r>
      <w:r>
        <w:t xml:space="preserve"> </w:t>
      </w:r>
      <w:r>
        <w:t xml:space="preserve">Ann Rheum Dis 2015;74(8):1483-7. —</w:t>
      </w:r>
      <w:r>
        <w:t xml:space="preserve"> </w:t>
      </w:r>
      <w:hyperlink r:id="rId74">
        <w:r>
          <w:rPr>
            <w:rStyle w:val="Hyperlink"/>
          </w:rPr>
          <w:t xml:space="preserve">PMID 25990288</w:t>
        </w:r>
      </w:hyperlink>
    </w:p>
    <w:p>
      <w:pPr>
        <w:pStyle w:val="Compact"/>
        <w:numPr>
          <w:ilvl w:val="0"/>
          <w:numId w:val="1023"/>
        </w:numPr>
      </w:pPr>
      <w:r>
        <w:t xml:space="preserve">Marsiolo M, Careri S, Bandinelli D, Toniolo RM, Aulisa AG.</w:t>
      </w:r>
      <w:r>
        <w:t xml:space="preserve"> </w:t>
      </w:r>
      <w:r>
        <w:rPr>
          <w:i/>
          <w:iCs/>
        </w:rPr>
        <w:t xml:space="preserve">Vertebral Rotation in Functional Scoliosis Caused by Limb-Length Inequality.</w:t>
      </w:r>
      <w:r>
        <w:t xml:space="preserve"> </w:t>
      </w:r>
      <w:r>
        <w:t xml:space="preserve">J Clin Med 2023;12(17):5571. —</w:t>
      </w:r>
      <w:r>
        <w:t xml:space="preserve"> </w:t>
      </w:r>
      <w:hyperlink r:id="rId75">
        <w:r>
          <w:rPr>
            <w:rStyle w:val="Hyperlink"/>
          </w:rPr>
          <w:t xml:space="preserve">PMID 37685636</w:t>
        </w:r>
      </w:hyperlink>
    </w:p>
    <w:p>
      <w:pPr>
        <w:pStyle w:val="Compact"/>
        <w:numPr>
          <w:ilvl w:val="0"/>
          <w:numId w:val="1023"/>
        </w:numPr>
      </w:pPr>
      <w:r>
        <w:t xml:space="preserve">Slipman CW, Jackson HB, Lipetz JS, et al. </w:t>
      </w:r>
      <w:r>
        <w:rPr>
          <w:i/>
          <w:iCs/>
        </w:rPr>
        <w:t xml:space="preserve">Sacroiliac joint pain referral zones.</w:t>
      </w:r>
      <w:r>
        <w:t xml:space="preserve"> </w:t>
      </w:r>
      <w:r>
        <w:t xml:space="preserve">Arch Phys Med Rehabil 2000;81(3):334-8. —</w:t>
      </w:r>
      <w:r>
        <w:t xml:space="preserve"> </w:t>
      </w:r>
      <w:hyperlink r:id="rId76">
        <w:r>
          <w:rPr>
            <w:rStyle w:val="Hyperlink"/>
          </w:rPr>
          <w:t xml:space="preserve">PMID 10724079</w:t>
        </w:r>
      </w:hyperlink>
    </w:p>
    <w:p>
      <w:pPr>
        <w:pStyle w:val="Compact"/>
        <w:numPr>
          <w:ilvl w:val="0"/>
          <w:numId w:val="1023"/>
        </w:numPr>
      </w:pPr>
      <w:r>
        <w:t xml:space="preserve">Preece SJ, Willan P, Nester CJ, et al. </w:t>
      </w:r>
      <w:r>
        <w:rPr>
          <w:i/>
          <w:iCs/>
        </w:rPr>
        <w:t xml:space="preserve">Variation in pelvic morphology may prevent the identification of anterior pelvic tilt.</w:t>
      </w:r>
      <w:r>
        <w:t xml:space="preserve"> </w:t>
      </w:r>
      <w:r>
        <w:t xml:space="preserve">J Man Manip Ther 2008;16(2):113-7. —</w:t>
      </w:r>
      <w:r>
        <w:t xml:space="preserve"> </w:t>
      </w:r>
      <w:hyperlink r:id="rId77">
        <w:r>
          <w:rPr>
            <w:rStyle w:val="Hyperlink"/>
          </w:rPr>
          <w:t xml:space="preserve">PMID 19119397</w:t>
        </w:r>
      </w:hyperlink>
    </w:p>
    <w:p>
      <w:pPr>
        <w:pStyle w:val="Compact"/>
        <w:numPr>
          <w:ilvl w:val="0"/>
          <w:numId w:val="1023"/>
        </w:numPr>
      </w:pPr>
      <w:r>
        <w:t xml:space="preserve">Nelson-Wong E, Callaghan JP.</w:t>
      </w:r>
      <w:r>
        <w:t xml:space="preserve"> </w:t>
      </w:r>
      <w:r>
        <w:rPr>
          <w:i/>
          <w:iCs/>
        </w:rPr>
        <w:t xml:space="preserve">Changes in muscle activation patterns and subjective low back pain ratings during prolonged standing…</w:t>
      </w:r>
      <w:r>
        <w:t xml:space="preserve"> </w:t>
      </w:r>
      <w:r>
        <w:t xml:space="preserve">J Electromyogr Kinesiol 2010;20(6):1125-33. —</w:t>
      </w:r>
      <w:r>
        <w:t xml:space="preserve"> </w:t>
      </w:r>
      <w:hyperlink r:id="rId78">
        <w:r>
          <w:rPr>
            <w:rStyle w:val="Hyperlink"/>
          </w:rPr>
          <w:t xml:space="preserve">PMID 19467607</w:t>
        </w:r>
      </w:hyperlink>
    </w:p>
    <w:p>
      <w:pPr>
        <w:pStyle w:val="Compact"/>
        <w:numPr>
          <w:ilvl w:val="0"/>
          <w:numId w:val="1023"/>
        </w:numPr>
      </w:pPr>
      <w:r>
        <w:t xml:space="preserve">Nelson-Wong E, Callaghan JP.</w:t>
      </w:r>
      <w:r>
        <w:t xml:space="preserve"> </w:t>
      </w:r>
      <w:r>
        <w:rPr>
          <w:i/>
          <w:iCs/>
        </w:rPr>
        <w:t xml:space="preserve">The impact of a sloped surface on low back pain during prolonged standing work.</w:t>
      </w:r>
      <w:r>
        <w:t xml:space="preserve"> </w:t>
      </w:r>
      <w:r>
        <w:t xml:space="preserve">Appl Ergon 2010;41(6):787-95. —</w:t>
      </w:r>
      <w:r>
        <w:t xml:space="preserve"> </w:t>
      </w:r>
      <w:hyperlink r:id="rId79">
        <w:r>
          <w:rPr>
            <w:rStyle w:val="Hyperlink"/>
          </w:rPr>
          <w:t xml:space="preserve">PMID 20116046</w:t>
        </w:r>
      </w:hyperlink>
    </w:p>
    <w:p>
      <w:pPr>
        <w:pStyle w:val="Compact"/>
        <w:numPr>
          <w:ilvl w:val="0"/>
          <w:numId w:val="1023"/>
        </w:numPr>
      </w:pPr>
      <w:r>
        <w:t xml:space="preserve">Fournier J, Trudel G, Feibel RJ, et al. </w:t>
      </w:r>
      <w:r>
        <w:rPr>
          <w:i/>
          <w:iCs/>
        </w:rPr>
        <w:t xml:space="preserve">Asymmetric Flexion Contracture is Associated With Leg Length Inequality in Patients With Knee Osteoarthritis.</w:t>
      </w:r>
      <w:r>
        <w:t xml:space="preserve"> </w:t>
      </w:r>
      <w:r>
        <w:t xml:space="preserve">Arch Phys Med Rehabil 2023;104(12):2067-2074. —</w:t>
      </w:r>
      <w:r>
        <w:t xml:space="preserve"> </w:t>
      </w:r>
      <w:hyperlink r:id="rId50">
        <w:r>
          <w:rPr>
            <w:rStyle w:val="Hyperlink"/>
          </w:rPr>
          <w:t xml:space="preserve">PMID 37209935</w:t>
        </w:r>
      </w:hyperlink>
    </w:p>
    <w:p>
      <w:pPr>
        <w:pStyle w:val="Compact"/>
        <w:numPr>
          <w:ilvl w:val="0"/>
          <w:numId w:val="1023"/>
        </w:numPr>
      </w:pPr>
      <w:r>
        <w:t xml:space="preserve">Gurney B.</w:t>
      </w:r>
      <w:r>
        <w:t xml:space="preserve"> </w:t>
      </w:r>
      <w:r>
        <w:rPr>
          <w:i/>
          <w:iCs/>
        </w:rPr>
        <w:t xml:space="preserve">Leg length discrepancy.</w:t>
      </w:r>
      <w:r>
        <w:t xml:space="preserve"> </w:t>
      </w:r>
      <w:r>
        <w:t xml:space="preserve">Gait Posture 2002;15(2):195-206. —</w:t>
      </w:r>
      <w:r>
        <w:t xml:space="preserve"> </w:t>
      </w:r>
      <w:hyperlink r:id="rId80">
        <w:r>
          <w:rPr>
            <w:rStyle w:val="Hyperlink"/>
          </w:rPr>
          <w:t xml:space="preserve">PMID 11869914</w:t>
        </w:r>
      </w:hyperlink>
    </w:p>
    <w:p>
      <w:pPr>
        <w:pStyle w:val="Compact"/>
        <w:numPr>
          <w:ilvl w:val="0"/>
          <w:numId w:val="1023"/>
        </w:numPr>
      </w:pPr>
      <w:r>
        <w:t xml:space="preserve">Sturesson B, Selvik G, Udén A.</w:t>
      </w:r>
      <w:r>
        <w:t xml:space="preserve"> </w:t>
      </w:r>
      <w:r>
        <w:rPr>
          <w:i/>
          <w:iCs/>
        </w:rPr>
        <w:t xml:space="preserve">Movements of the sacroiliac joints. A roentgen stereophotogrammetric analysis.</w:t>
      </w:r>
      <w:r>
        <w:t xml:space="preserve"> </w:t>
      </w:r>
      <w:r>
        <w:t xml:space="preserve">Spine 1989;14(2):162-5. —</w:t>
      </w:r>
      <w:r>
        <w:t xml:space="preserve"> </w:t>
      </w:r>
      <w:hyperlink r:id="rId81">
        <w:r>
          <w:rPr>
            <w:rStyle w:val="Hyperlink"/>
          </w:rPr>
          <w:t xml:space="preserve">PMID 2922636</w:t>
        </w:r>
      </w:hyperlink>
    </w:p>
    <w:p>
      <w:pPr>
        <w:pStyle w:val="Compact"/>
        <w:numPr>
          <w:ilvl w:val="0"/>
          <w:numId w:val="1023"/>
        </w:numPr>
      </w:pPr>
      <w:r>
        <w:t xml:space="preserve">Cooperstein R, Hickey M.</w:t>
      </w:r>
      <w:r>
        <w:t xml:space="preserve"> </w:t>
      </w:r>
      <w:r>
        <w:rPr>
          <w:i/>
          <w:iCs/>
        </w:rPr>
        <w:t xml:space="preserve">The reliability of palpating the posterior superior iliac spine: a systematic review.</w:t>
      </w:r>
      <w:r>
        <w:t xml:space="preserve"> </w:t>
      </w:r>
      <w:r>
        <w:t xml:space="preserve">J Can Chiropr Assoc 2016;60(1):36-46. —</w:t>
      </w:r>
      <w:r>
        <w:t xml:space="preserve"> </w:t>
      </w:r>
      <w:hyperlink r:id="rId49">
        <w:r>
          <w:rPr>
            <w:rStyle w:val="Hyperlink"/>
          </w:rPr>
          <w:t xml:space="preserve">PMID 27069265</w:t>
        </w:r>
      </w:hyperlink>
    </w:p>
    <w:p>
      <w:pPr>
        <w:pStyle w:val="Compact"/>
        <w:numPr>
          <w:ilvl w:val="0"/>
          <w:numId w:val="1023"/>
        </w:numPr>
      </w:pPr>
      <w:r>
        <w:t xml:space="preserve">Coenen P, Willenberg L, Parry S, et al. </w:t>
      </w:r>
      <w:r>
        <w:rPr>
          <w:i/>
          <w:iCs/>
        </w:rPr>
        <w:t xml:space="preserve">Associations of occupational standing with musculoskeletal symptoms: a systematic review with meta-analysis.</w:t>
      </w:r>
      <w:r>
        <w:t xml:space="preserve"> </w:t>
      </w:r>
      <w:r>
        <w:t xml:space="preserve">Br J Sports Med 2018;52(3):176-183. —</w:t>
      </w:r>
      <w:r>
        <w:t xml:space="preserve"> </w:t>
      </w:r>
      <w:hyperlink r:id="rId82">
        <w:r>
          <w:rPr>
            <w:rStyle w:val="Hyperlink"/>
          </w:rPr>
          <w:t xml:space="preserve">PMID 27884862</w:t>
        </w:r>
      </w:hyperlink>
    </w:p>
    <w:p>
      <w:pPr>
        <w:pStyle w:val="Compact"/>
        <w:numPr>
          <w:ilvl w:val="0"/>
          <w:numId w:val="1023"/>
        </w:numPr>
      </w:pPr>
      <w:r>
        <w:t xml:space="preserve">O’Keeffe M, Ferreira GE, Harris IA, et al. </w:t>
      </w:r>
      <w:r>
        <w:rPr>
          <w:i/>
          <w:iCs/>
        </w:rPr>
        <w:t xml:space="preserve">Effect of diagnostic labelling on management intentions for non-specific low back pain: A randomized scenario-based experiment.</w:t>
      </w:r>
      <w:r>
        <w:t xml:space="preserve"> </w:t>
      </w:r>
      <w:r>
        <w:t xml:space="preserve">Eur J Pain 2022;26(7):1532-1545. —</w:t>
      </w:r>
      <w:r>
        <w:t xml:space="preserve"> </w:t>
      </w:r>
      <w:hyperlink r:id="rId83">
        <w:r>
          <w:rPr>
            <w:rStyle w:val="Hyperlink"/>
          </w:rPr>
          <w:t xml:space="preserve">PMID 35616226</w:t>
        </w:r>
      </w:hyperlink>
    </w:p>
    <w:p>
      <w:pPr>
        <w:pStyle w:val="Compact"/>
        <w:numPr>
          <w:ilvl w:val="0"/>
          <w:numId w:val="1023"/>
        </w:numPr>
      </w:pPr>
      <w:r>
        <w:t xml:space="preserve">Wand BM, James M, Abbaszadeh S, et al. </w:t>
      </w:r>
      <w:r>
        <w:rPr>
          <w:i/>
          <w:iCs/>
        </w:rPr>
        <w:t xml:space="preserve">Assessing self-perception in patients with chronic low back pain: development of a back-specific body-perception questionnaire.</w:t>
      </w:r>
      <w:r>
        <w:t xml:space="preserve"> </w:t>
      </w:r>
      <w:r>
        <w:t xml:space="preserve">J Back Musculoskelet Rehabil 2014;27(4):463-73. —</w:t>
      </w:r>
      <w:r>
        <w:t xml:space="preserve"> </w:t>
      </w:r>
      <w:hyperlink r:id="rId84">
        <w:r>
          <w:rPr>
            <w:rStyle w:val="Hyperlink"/>
          </w:rPr>
          <w:t xml:space="preserve">PMID 24614834</w:t>
        </w:r>
      </w:hyperlink>
    </w:p>
    <w:p>
      <w:pPr>
        <w:pStyle w:val="Compact"/>
        <w:numPr>
          <w:ilvl w:val="0"/>
          <w:numId w:val="1023"/>
        </w:numPr>
      </w:pPr>
      <w:r>
        <w:t xml:space="preserve">Kosek E, Clauw D, Nijs J, et al. </w:t>
      </w:r>
      <w:r>
        <w:rPr>
          <w:i/>
          <w:iCs/>
        </w:rPr>
        <w:t xml:space="preserve">Chronic nociplastic pain affecting the musculoskeletal system: clinical criteria and grading system.</w:t>
      </w:r>
      <w:r>
        <w:t xml:space="preserve"> </w:t>
      </w:r>
      <w:r>
        <w:t xml:space="preserve">Pain 2021;162(11):2629-2634. —</w:t>
      </w:r>
      <w:r>
        <w:t xml:space="preserve"> </w:t>
      </w:r>
      <w:hyperlink r:id="rId85">
        <w:r>
          <w:rPr>
            <w:rStyle w:val="Hyperlink"/>
          </w:rPr>
          <w:t xml:space="preserve">PMID 33974577</w:t>
        </w:r>
      </w:hyperlink>
    </w:p>
    <w:p>
      <w:pPr>
        <w:pStyle w:val="Compact"/>
        <w:numPr>
          <w:ilvl w:val="0"/>
          <w:numId w:val="1023"/>
        </w:numPr>
      </w:pPr>
      <w:r>
        <w:t xml:space="preserve">Nijs J, Kosek E, Chiarotto A, et al. </w:t>
      </w:r>
      <w:r>
        <w:rPr>
          <w:i/>
          <w:iCs/>
        </w:rPr>
        <w:t xml:space="preserve">Nociceptive, neuropathic, or nociplastic low back pain? (BACPAP consortium consensus).</w:t>
      </w:r>
      <w:r>
        <w:t xml:space="preserve"> </w:t>
      </w:r>
      <w:r>
        <w:t xml:space="preserve">Lancet Rheumatol 2024;6(3):e178-e188. —</w:t>
      </w:r>
      <w:r>
        <w:t xml:space="preserve"> </w:t>
      </w:r>
      <w:hyperlink r:id="rId86">
        <w:r>
          <w:rPr>
            <w:rStyle w:val="Hyperlink"/>
          </w:rPr>
          <w:t xml:space="preserve">PMID 38310923</w:t>
        </w:r>
      </w:hyperlink>
    </w:p>
    <w:p>
      <w:pPr>
        <w:pStyle w:val="Compact"/>
        <w:numPr>
          <w:ilvl w:val="0"/>
          <w:numId w:val="1023"/>
        </w:numPr>
      </w:pPr>
      <w:r>
        <w:t xml:space="preserve">Crompton J, Osagie-Clouard L, Patel A.</w:t>
      </w:r>
      <w:r>
        <w:t xml:space="preserve"> </w:t>
      </w:r>
      <w:r>
        <w:rPr>
          <w:i/>
          <w:iCs/>
        </w:rPr>
        <w:t xml:space="preserve">Do hip precautions after posterior-approach total hip arthroplasty affect dislocation rates?</w:t>
      </w:r>
      <w:r>
        <w:t xml:space="preserve"> </w:t>
      </w:r>
      <w:r>
        <w:t xml:space="preserve">Acta Orthop 2020;91(6):687-692. —</w:t>
      </w:r>
      <w:r>
        <w:t xml:space="preserve"> </w:t>
      </w:r>
      <w:hyperlink r:id="rId87">
        <w:r>
          <w:rPr>
            <w:rStyle w:val="Hyperlink"/>
          </w:rPr>
          <w:t xml:space="preserve">PMID 32718213</w:t>
        </w:r>
      </w:hyperlink>
    </w:p>
    <w:p>
      <w:pPr>
        <w:pStyle w:val="Compact"/>
        <w:numPr>
          <w:ilvl w:val="0"/>
          <w:numId w:val="1023"/>
        </w:numPr>
      </w:pPr>
      <w:r>
        <w:t xml:space="preserve">Katz DA.</w:t>
      </w:r>
      <w:r>
        <w:t xml:space="preserve"> </w:t>
      </w:r>
      <w:r>
        <w:rPr>
          <w:i/>
          <w:iCs/>
        </w:rPr>
        <w:t xml:space="preserve">Slipped capital femoral epiphysis: the importance of early diagnosis.</w:t>
      </w:r>
      <w:r>
        <w:t xml:space="preserve"> </w:t>
      </w:r>
      <w:r>
        <w:t xml:space="preserve">Pediatr Ann 2006;35(2):102-11. —</w:t>
      </w:r>
      <w:r>
        <w:t xml:space="preserve"> </w:t>
      </w:r>
      <w:hyperlink r:id="rId88">
        <w:r>
          <w:rPr>
            <w:rStyle w:val="Hyperlink"/>
          </w:rPr>
          <w:t xml:space="preserve">PMID 16493917</w:t>
        </w:r>
      </w:hyperlink>
    </w:p>
    <w:p>
      <w:pPr>
        <w:pStyle w:val="Compact"/>
        <w:numPr>
          <w:ilvl w:val="0"/>
          <w:numId w:val="1023"/>
        </w:numPr>
      </w:pPr>
      <w:r>
        <w:t xml:space="preserve">Ferreira PH, Ferreira ML, Maher CG, et al. </w:t>
      </w:r>
      <w:r>
        <w:rPr>
          <w:i/>
          <w:iCs/>
        </w:rPr>
        <w:t xml:space="preserve">The therapeutic alliance between clinicians and patients predicts outcome in chronic low back pain.</w:t>
      </w:r>
      <w:r>
        <w:t xml:space="preserve"> </w:t>
      </w:r>
      <w:r>
        <w:t xml:space="preserve">Phys Ther 2013;93(4):470-8. —</w:t>
      </w:r>
      <w:r>
        <w:t xml:space="preserve"> </w:t>
      </w:r>
      <w:hyperlink r:id="rId89">
        <w:r>
          <w:rPr>
            <w:rStyle w:val="Hyperlink"/>
          </w:rPr>
          <w:t xml:space="preserve">PMID 23139428</w:t>
        </w:r>
      </w:hyperlink>
    </w:p>
    <w:p>
      <w:pPr>
        <w:pStyle w:val="Compact"/>
        <w:numPr>
          <w:ilvl w:val="0"/>
          <w:numId w:val="1023"/>
        </w:numPr>
      </w:pPr>
      <w:r>
        <w:t xml:space="preserve">Alodaibi F, Beneciuk J, Holmes R, et al. </w:t>
      </w:r>
      <w:r>
        <w:rPr>
          <w:i/>
          <w:iCs/>
        </w:rPr>
        <w:t xml:space="preserve">The Relationship of the Therapeutic Alliance to Patient Characteristics and Functional Outcome During an Episode of Physical Therapy Care for Patients With Low Back Pain.</w:t>
      </w:r>
      <w:r>
        <w:t xml:space="preserve"> </w:t>
      </w:r>
      <w:r>
        <w:t xml:space="preserve">Phys Ther 2021;101(4):pzab026. —</w:t>
      </w:r>
      <w:r>
        <w:t xml:space="preserve"> </w:t>
      </w:r>
      <w:hyperlink r:id="rId90">
        <w:r>
          <w:rPr>
            <w:rStyle w:val="Hyperlink"/>
          </w:rPr>
          <w:t xml:space="preserve">PMID 33513231</w:t>
        </w:r>
      </w:hyperlink>
    </w:p>
    <w:p>
      <w:pPr>
        <w:pStyle w:val="Compact"/>
        <w:numPr>
          <w:ilvl w:val="0"/>
          <w:numId w:val="1023"/>
        </w:numPr>
      </w:pPr>
      <w:r>
        <w:t xml:space="preserve">Tullberg T, Blomberg S, Branth B, Johnsson R.</w:t>
      </w:r>
      <w:r>
        <w:t xml:space="preserve"> </w:t>
      </w:r>
      <w:r>
        <w:rPr>
          <w:i/>
          <w:iCs/>
        </w:rPr>
        <w:t xml:space="preserve">Manipulation does not alter the position of the sacroiliac joint.</w:t>
      </w:r>
      <w:r>
        <w:t xml:space="preserve"> </w:t>
      </w:r>
      <w:r>
        <w:t xml:space="preserve">Spine 1998;23(10):1124-8. —</w:t>
      </w:r>
      <w:r>
        <w:t xml:space="preserve"> </w:t>
      </w:r>
      <w:hyperlink r:id="rId48">
        <w:r>
          <w:rPr>
            <w:rStyle w:val="Hyperlink"/>
          </w:rPr>
          <w:t xml:space="preserve">PMID 9615363</w:t>
        </w:r>
      </w:hyperlink>
    </w:p>
    <w:p>
      <w:pPr>
        <w:pStyle w:val="Compact"/>
        <w:numPr>
          <w:ilvl w:val="0"/>
          <w:numId w:val="1023"/>
        </w:numPr>
      </w:pPr>
      <w:r>
        <w:t xml:space="preserve">Laslett M, Aprill CN, McDonald B, Young SB.</w:t>
      </w:r>
      <w:r>
        <w:t xml:space="preserve"> </w:t>
      </w:r>
      <w:r>
        <w:rPr>
          <w:i/>
          <w:iCs/>
        </w:rPr>
        <w:t xml:space="preserve">Diagnosis of sacroiliac joint pain: validity of individual provocation tests and composites of tests.</w:t>
      </w:r>
      <w:r>
        <w:t xml:space="preserve"> </w:t>
      </w:r>
      <w:r>
        <w:t xml:space="preserve">Man Ther 2005;10(3):207-18. —</w:t>
      </w:r>
      <w:r>
        <w:t xml:space="preserve"> </w:t>
      </w:r>
      <w:hyperlink r:id="rId91">
        <w:r>
          <w:rPr>
            <w:rStyle w:val="Hyperlink"/>
          </w:rPr>
          <w:t xml:space="preserve">PMID 16038856</w:t>
        </w:r>
      </w:hyperlink>
    </w:p>
    <w:p>
      <w:pPr>
        <w:pStyle w:val="Compact"/>
        <w:numPr>
          <w:ilvl w:val="0"/>
          <w:numId w:val="1023"/>
        </w:numPr>
      </w:pPr>
      <w:r>
        <w:t xml:space="preserve">Miyachi Y, Ito M, Furuta K, et al. </w:t>
      </w:r>
      <w:r>
        <w:rPr>
          <w:i/>
          <w:iCs/>
        </w:rPr>
        <w:t xml:space="preserve">Reliability and validity of lower limb joint range of motion measurements using a smartphone.</w:t>
      </w:r>
      <w:r>
        <w:t xml:space="preserve"> </w:t>
      </w:r>
      <w:r>
        <w:t xml:space="preserve">Nagoya J Med Sci 2022;84(1):7-18. —</w:t>
      </w:r>
      <w:r>
        <w:t xml:space="preserve"> </w:t>
      </w:r>
      <w:hyperlink r:id="rId92">
        <w:r>
          <w:rPr>
            <w:rStyle w:val="Hyperlink"/>
          </w:rPr>
          <w:t xml:space="preserve">PMID 35392008</w:t>
        </w:r>
      </w:hyperlink>
    </w:p>
    <w:p>
      <w:pPr>
        <w:pStyle w:val="Compact"/>
        <w:numPr>
          <w:ilvl w:val="0"/>
          <w:numId w:val="1023"/>
        </w:numPr>
      </w:pPr>
      <w:r>
        <w:t xml:space="preserve">Aspinall SL, Jacques A, Leboeuf-Yde C, et al. </w:t>
      </w:r>
      <w:r>
        <w:rPr>
          <w:i/>
          <w:iCs/>
        </w:rPr>
        <w:t xml:space="preserve">No difference in pressure pain threshold and temporal summation after lumbar spinal manipulation compared to sham.</w:t>
      </w:r>
      <w:r>
        <w:t xml:space="preserve"> </w:t>
      </w:r>
      <w:r>
        <w:t xml:space="preserve">Chiropr Man Therap 2019;27:8. —</w:t>
      </w:r>
      <w:r>
        <w:t xml:space="preserve"> </w:t>
      </w:r>
      <w:hyperlink r:id="rId93">
        <w:r>
          <w:rPr>
            <w:rStyle w:val="Hyperlink"/>
          </w:rPr>
          <w:t xml:space="preserve">PMID 30719281</w:t>
        </w:r>
      </w:hyperlink>
    </w:p>
    <w:p>
      <w:pPr>
        <w:pStyle w:val="Compact"/>
        <w:numPr>
          <w:ilvl w:val="0"/>
          <w:numId w:val="1023"/>
        </w:numPr>
      </w:pPr>
      <w:r>
        <w:t xml:space="preserve">Hebert JJ, Stomski NJ, French SD, Rubinstein SM.</w:t>
      </w:r>
      <w:r>
        <w:t xml:space="preserve"> </w:t>
      </w:r>
      <w:r>
        <w:rPr>
          <w:i/>
          <w:iCs/>
        </w:rPr>
        <w:t xml:space="preserve">Serious Adverse Events and Spinal Manipulative Therapy of the Low Back Region: A Systematic Review of Cases.</w:t>
      </w:r>
      <w:r>
        <w:t xml:space="preserve"> </w:t>
      </w:r>
      <w:r>
        <w:t xml:space="preserve">J Manipulative Physiol Ther 2015;38(9):677-91. —</w:t>
      </w:r>
      <w:r>
        <w:t xml:space="preserve"> </w:t>
      </w:r>
      <w:hyperlink r:id="rId94">
        <w:r>
          <w:rPr>
            <w:rStyle w:val="Hyperlink"/>
          </w:rPr>
          <w:t xml:space="preserve">PMID 23787298</w:t>
        </w:r>
      </w:hyperlink>
    </w:p>
    <w:p>
      <w:pPr>
        <w:pStyle w:val="Compact"/>
        <w:numPr>
          <w:ilvl w:val="0"/>
          <w:numId w:val="1023"/>
        </w:numPr>
      </w:pPr>
      <w:r>
        <w:t xml:space="preserve">Chu EC, Trager RJ, Lee LY, Niazi IK.</w:t>
      </w:r>
      <w:r>
        <w:t xml:space="preserve"> </w:t>
      </w:r>
      <w:r>
        <w:rPr>
          <w:i/>
          <w:iCs/>
        </w:rPr>
        <w:t xml:space="preserve">A retrospective analysis of the incidence of severe adverse events among recipients of chiropractic spinal manipulative therapy.</w:t>
      </w:r>
      <w:r>
        <w:t xml:space="preserve"> </w:t>
      </w:r>
      <w:r>
        <w:t xml:space="preserve">Sci Rep 2023;13(1):1254. —</w:t>
      </w:r>
      <w:r>
        <w:t xml:space="preserve"> </w:t>
      </w:r>
      <w:hyperlink r:id="rId95">
        <w:r>
          <w:rPr>
            <w:rStyle w:val="Hyperlink"/>
          </w:rPr>
          <w:t xml:space="preserve">PMID 36690712</w:t>
        </w:r>
      </w:hyperlink>
    </w:p>
    <w:p>
      <w:pPr>
        <w:pStyle w:val="Compact"/>
        <w:numPr>
          <w:ilvl w:val="0"/>
          <w:numId w:val="1023"/>
        </w:numPr>
      </w:pPr>
      <w:r>
        <w:t xml:space="preserve">Downie A, Williams CM, Henschke N, et al. </w:t>
      </w:r>
      <w:r>
        <w:rPr>
          <w:i/>
          <w:iCs/>
        </w:rPr>
        <w:t xml:space="preserve">Red flags to screen for malignancy and fracture in patients with low back pain: systematic review.</w:t>
      </w:r>
      <w:r>
        <w:t xml:space="preserve"> </w:t>
      </w:r>
      <w:r>
        <w:t xml:space="preserve">BMJ 2013;347:f7095. —</w:t>
      </w:r>
      <w:r>
        <w:t xml:space="preserve"> </w:t>
      </w:r>
      <w:hyperlink r:id="rId96">
        <w:r>
          <w:rPr>
            <w:rStyle w:val="Hyperlink"/>
          </w:rPr>
          <w:t xml:space="preserve">PMID 24335669</w:t>
        </w:r>
      </w:hyperlink>
    </w:p>
    <w:p>
      <w:pPr>
        <w:pStyle w:val="Compact"/>
        <w:numPr>
          <w:ilvl w:val="0"/>
          <w:numId w:val="1023"/>
        </w:numPr>
      </w:pPr>
      <w:r>
        <w:t xml:space="preserve">Galliker G, Scherer DE, Trippolini MA, et al. </w:t>
      </w:r>
      <w:r>
        <w:rPr>
          <w:i/>
          <w:iCs/>
        </w:rPr>
        <w:t xml:space="preserve">Low Back Pain in the Emergency Department: Prevalence of Serious Spinal Pathologies and Diagnostic Accuracy of Red Flags.</w:t>
      </w:r>
      <w:r>
        <w:t xml:space="preserve"> </w:t>
      </w:r>
      <w:r>
        <w:t xml:space="preserve">Am J Med 2020;133(1):60-72. —</w:t>
      </w:r>
      <w:r>
        <w:t xml:space="preserve"> </w:t>
      </w:r>
      <w:hyperlink r:id="rId97">
        <w:r>
          <w:rPr>
            <w:rStyle w:val="Hyperlink"/>
          </w:rPr>
          <w:t xml:space="preserve">PMID 31278933</w:t>
        </w:r>
      </w:hyperlink>
    </w:p>
    <w:p>
      <w:pPr>
        <w:pStyle w:val="Compact"/>
        <w:numPr>
          <w:ilvl w:val="0"/>
          <w:numId w:val="1023"/>
        </w:numPr>
      </w:pPr>
      <w:r>
        <w:t xml:space="preserve">Truumees E, Akkihal K, Griffin J, et al. </w:t>
      </w:r>
      <w:r>
        <w:rPr>
          <w:i/>
          <w:iCs/>
        </w:rPr>
        <w:t xml:space="preserve">Differentiating Spinal Deformity Versus Leg Length Discrepancy in Patients With Pelvic Obliquity: Systematic Review of Diagnostic Methods, Imaging, and Clinical Management.</w:t>
      </w:r>
      <w:r>
        <w:t xml:space="preserve"> </w:t>
      </w:r>
      <w:r>
        <w:t xml:space="preserve">Spine 2026;51(12):E301-E312. —</w:t>
      </w:r>
      <w:r>
        <w:t xml:space="preserve"> </w:t>
      </w:r>
      <w:hyperlink r:id="rId98">
        <w:r>
          <w:rPr>
            <w:rStyle w:val="Hyperlink"/>
          </w:rPr>
          <w:t xml:space="preserve">PMID 41855582</w:t>
        </w:r>
      </w:hyperlink>
    </w:p>
    <w:p>
      <w:pPr>
        <w:pStyle w:val="Compact"/>
        <w:numPr>
          <w:ilvl w:val="0"/>
          <w:numId w:val="1023"/>
        </w:numPr>
      </w:pPr>
      <w:r>
        <w:t xml:space="preserve">Defrin R, Ben Benyamin S, Aldubi RD, Pick CG.</w:t>
      </w:r>
      <w:r>
        <w:t xml:space="preserve"> </w:t>
      </w:r>
      <w:r>
        <w:rPr>
          <w:i/>
          <w:iCs/>
        </w:rPr>
        <w:t xml:space="preserve">Conservative correction of leg-length discrepancies of 10mm or less for the relief of chronic low back pain.</w:t>
      </w:r>
      <w:r>
        <w:t xml:space="preserve"> </w:t>
      </w:r>
      <w:r>
        <w:t xml:space="preserve">Arch Phys Med Rehabil 2005;86(11):2075-80. —</w:t>
      </w:r>
      <w:r>
        <w:t xml:space="preserve"> </w:t>
      </w:r>
      <w:hyperlink r:id="rId99">
        <w:r>
          <w:rPr>
            <w:rStyle w:val="Hyperlink"/>
          </w:rPr>
          <w:t xml:space="preserve">PMID 16271551</w:t>
        </w:r>
      </w:hyperlink>
    </w:p>
    <w:p>
      <w:pPr>
        <w:pStyle w:val="Compact"/>
        <w:numPr>
          <w:ilvl w:val="0"/>
          <w:numId w:val="1023"/>
        </w:numPr>
      </w:pPr>
      <w:r>
        <w:t xml:space="preserve">Rannisto S, Okuloff A, Uitti J, et al. </w:t>
      </w:r>
      <w:r>
        <w:rPr>
          <w:i/>
          <w:iCs/>
        </w:rPr>
        <w:t xml:space="preserve">Correction of leg-length discrepancy among meat cutters with low back pain: a randomized controlled trial.</w:t>
      </w:r>
      <w:r>
        <w:t xml:space="preserve"> </w:t>
      </w:r>
      <w:r>
        <w:t xml:space="preserve">BMC Musculoskelet Disord 2019;20(1):105. —</w:t>
      </w:r>
      <w:r>
        <w:t xml:space="preserve"> </w:t>
      </w:r>
      <w:hyperlink r:id="rId47">
        <w:r>
          <w:rPr>
            <w:rStyle w:val="Hyperlink"/>
          </w:rPr>
          <w:t xml:space="preserve">PMID 30871549</w:t>
        </w:r>
      </w:hyperlink>
    </w:p>
    <w:p>
      <w:pPr>
        <w:pStyle w:val="Compact"/>
        <w:numPr>
          <w:ilvl w:val="0"/>
          <w:numId w:val="1023"/>
        </w:numPr>
      </w:pPr>
      <w:r>
        <w:t xml:space="preserve">Franke H, Franke JD, Fryer G.</w:t>
      </w:r>
      <w:r>
        <w:t xml:space="preserve"> </w:t>
      </w:r>
      <w:r>
        <w:rPr>
          <w:i/>
          <w:iCs/>
        </w:rPr>
        <w:t xml:space="preserve">Osteopathic manipulative treatment for nonspecific low back pain: a systematic review and meta-analysis.</w:t>
      </w:r>
      <w:r>
        <w:t xml:space="preserve"> </w:t>
      </w:r>
      <w:r>
        <w:t xml:space="preserve">BMC Musculoskelet Disord 2014;15:286. —</w:t>
      </w:r>
      <w:r>
        <w:t xml:space="preserve"> </w:t>
      </w:r>
      <w:hyperlink r:id="rId100">
        <w:r>
          <w:rPr>
            <w:rStyle w:val="Hyperlink"/>
          </w:rPr>
          <w:t xml:space="preserve">PMID 25175885</w:t>
        </w:r>
      </w:hyperlink>
    </w:p>
    <w:p>
      <w:pPr>
        <w:pStyle w:val="Compact"/>
        <w:numPr>
          <w:ilvl w:val="0"/>
          <w:numId w:val="1023"/>
        </w:numPr>
      </w:pPr>
      <w:r>
        <w:t xml:space="preserve">Nguyen C, Boutron I, Zegarra-Parodi R, et al. </w:t>
      </w:r>
      <w:r>
        <w:rPr>
          <w:i/>
          <w:iCs/>
        </w:rPr>
        <w:t xml:space="preserve">Effect of Osteopathic Manipulative Treatment vs Sham Treatment on Activity Limitations in Patients With Nonspecific Subacute and Chronic Low Back Pain.</w:t>
      </w:r>
      <w:r>
        <w:t xml:space="preserve"> </w:t>
      </w:r>
      <w:r>
        <w:t xml:space="preserve">JAMA Intern Med 2021;181(5):620-630. —</w:t>
      </w:r>
      <w:r>
        <w:t xml:space="preserve"> </w:t>
      </w:r>
      <w:hyperlink r:id="rId101">
        <w:r>
          <w:rPr>
            <w:rStyle w:val="Hyperlink"/>
          </w:rPr>
          <w:t xml:space="preserve">PMID 33720272</w:t>
        </w:r>
      </w:hyperlink>
    </w:p>
    <w:p>
      <w:pPr>
        <w:pStyle w:val="Compact"/>
        <w:numPr>
          <w:ilvl w:val="0"/>
          <w:numId w:val="1023"/>
        </w:numPr>
      </w:pPr>
      <w:r>
        <w:t xml:space="preserve">Weppler CH, Magnusson SP.</w:t>
      </w:r>
      <w:r>
        <w:t xml:space="preserve"> </w:t>
      </w:r>
      <w:r>
        <w:rPr>
          <w:i/>
          <w:iCs/>
        </w:rPr>
        <w:t xml:space="preserve">Increasing muscle extensibility: a matter of increasing length or modifying sensation?</w:t>
      </w:r>
      <w:r>
        <w:t xml:space="preserve"> </w:t>
      </w:r>
      <w:r>
        <w:t xml:space="preserve">Phys Ther 2010;90(3):438-49. —</w:t>
      </w:r>
      <w:r>
        <w:t xml:space="preserve"> </w:t>
      </w:r>
      <w:hyperlink r:id="rId102">
        <w:r>
          <w:rPr>
            <w:rStyle w:val="Hyperlink"/>
          </w:rPr>
          <w:t xml:space="preserve">PMID 20075147</w:t>
        </w:r>
      </w:hyperlink>
    </w:p>
    <w:p>
      <w:pPr>
        <w:pStyle w:val="Compact"/>
        <w:numPr>
          <w:ilvl w:val="0"/>
          <w:numId w:val="1023"/>
        </w:numPr>
      </w:pPr>
      <w:r>
        <w:t xml:space="preserve">Rice DA, McNair PJ.</w:t>
      </w:r>
      <w:r>
        <w:t xml:space="preserve"> </w:t>
      </w:r>
      <w:r>
        <w:rPr>
          <w:i/>
          <w:iCs/>
        </w:rPr>
        <w:t xml:space="preserve">Quadriceps arthrogenic muscle inhibition: neural mechanisms and treatment perspectives.</w:t>
      </w:r>
      <w:r>
        <w:t xml:space="preserve"> </w:t>
      </w:r>
      <w:r>
        <w:t xml:space="preserve">Semin Arthritis Rheum 2010;40(3):250-66. —</w:t>
      </w:r>
      <w:r>
        <w:t xml:space="preserve"> </w:t>
      </w:r>
      <w:hyperlink r:id="rId103">
        <w:r>
          <w:rPr>
            <w:rStyle w:val="Hyperlink"/>
          </w:rPr>
          <w:t xml:space="preserve">PMID 19954822</w:t>
        </w:r>
      </w:hyperlink>
    </w:p>
    <w:p>
      <w:pPr>
        <w:pStyle w:val="Compact"/>
        <w:numPr>
          <w:ilvl w:val="0"/>
          <w:numId w:val="1023"/>
        </w:numPr>
      </w:pPr>
      <w:r>
        <w:t xml:space="preserve">Brandl A, Egner C, Schleip R.</w:t>
      </w:r>
      <w:r>
        <w:t xml:space="preserve"> </w:t>
      </w:r>
      <w:r>
        <w:rPr>
          <w:i/>
          <w:iCs/>
        </w:rPr>
        <w:t xml:space="preserve">Practical Measurement of Changes in Leg Length Discrepancy After a Myofascial Release on the Thoracolumbar Fascia in Patients With Acute Low Back Pain: A Pilot Study.</w:t>
      </w:r>
      <w:r>
        <w:t xml:space="preserve"> </w:t>
      </w:r>
      <w:r>
        <w:t xml:space="preserve">Cureus 2022;14(9):e29084. —</w:t>
      </w:r>
      <w:r>
        <w:t xml:space="preserve"> </w:t>
      </w:r>
      <w:hyperlink r:id="rId104">
        <w:r>
          <w:rPr>
            <w:rStyle w:val="Hyperlink"/>
          </w:rPr>
          <w:t xml:space="preserve">PMID 36258943</w:t>
        </w:r>
      </w:hyperlink>
    </w:p>
    <w:p>
      <w:pPr>
        <w:pStyle w:val="Compact"/>
        <w:numPr>
          <w:ilvl w:val="0"/>
          <w:numId w:val="1023"/>
        </w:numPr>
      </w:pPr>
      <w:r>
        <w:t xml:space="preserve">Campbell TM, Westby M, Ghogomu ET, et al. </w:t>
      </w:r>
      <w:r>
        <w:rPr>
          <w:i/>
          <w:iCs/>
        </w:rPr>
        <w:t xml:space="preserve">Stretching, Bracing, and Devices for the Treatment of Osteoarthritis-Associated Joint Contractures in Nonoperated Joints.</w:t>
      </w:r>
      <w:r>
        <w:t xml:space="preserve"> </w:t>
      </w:r>
      <w:r>
        <w:t xml:space="preserve">Sports Health 2023;15(6):867-877. —</w:t>
      </w:r>
      <w:r>
        <w:t xml:space="preserve"> </w:t>
      </w:r>
      <w:hyperlink r:id="rId51">
        <w:r>
          <w:rPr>
            <w:rStyle w:val="Hyperlink"/>
          </w:rPr>
          <w:t xml:space="preserve">PMID 36691685</w:t>
        </w:r>
      </w:hyperlink>
    </w:p>
    <w:p>
      <w:pPr>
        <w:pStyle w:val="Compact"/>
        <w:numPr>
          <w:ilvl w:val="0"/>
          <w:numId w:val="1023"/>
        </w:numPr>
      </w:pPr>
      <w:r>
        <w:t xml:space="preserve">Huang WH, Tang CK, Shih YF.</w:t>
      </w:r>
      <w:r>
        <w:t xml:space="preserve"> </w:t>
      </w:r>
      <w:r>
        <w:rPr>
          <w:i/>
          <w:iCs/>
        </w:rPr>
        <w:t xml:space="preserve">Effectiveness of gluteal control training in chronic low back pain patients with functional leg length inequality.</w:t>
      </w:r>
      <w:r>
        <w:t xml:space="preserve"> </w:t>
      </w:r>
      <w:r>
        <w:t xml:space="preserve">Sci Rep 2024;14(1):24432. —</w:t>
      </w:r>
      <w:r>
        <w:t xml:space="preserve"> </w:t>
      </w:r>
      <w:hyperlink r:id="rId52">
        <w:r>
          <w:rPr>
            <w:rStyle w:val="Hyperlink"/>
          </w:rPr>
          <w:t xml:space="preserve">PMID 39424858</w:t>
        </w:r>
      </w:hyperlink>
    </w:p>
    <w:p>
      <w:pPr>
        <w:pStyle w:val="Compact"/>
        <w:numPr>
          <w:ilvl w:val="0"/>
          <w:numId w:val="1023"/>
        </w:numPr>
      </w:pPr>
      <w:r>
        <w:t xml:space="preserve">Pocovi NC, Lin CC, French SD, et al. </w:t>
      </w:r>
      <w:r>
        <w:rPr>
          <w:i/>
          <w:iCs/>
        </w:rPr>
        <w:t xml:space="preserve">Effectiveness and cost-effectiveness of an individualised, progressive walking and education intervention for the prevention of low back pain recurrence (WalkBack).</w:t>
      </w:r>
      <w:r>
        <w:t xml:space="preserve"> </w:t>
      </w:r>
      <w:r>
        <w:t xml:space="preserve">Lancet 2024;404(10448):134-144. —</w:t>
      </w:r>
      <w:r>
        <w:t xml:space="preserve"> </w:t>
      </w:r>
      <w:hyperlink r:id="rId105">
        <w:r>
          <w:rPr>
            <w:rStyle w:val="Hyperlink"/>
          </w:rPr>
          <w:t xml:space="preserve">PMID 38908392</w:t>
        </w:r>
      </w:hyperlink>
    </w:p>
    <w:p>
      <w:pPr>
        <w:pStyle w:val="Compact"/>
        <w:numPr>
          <w:ilvl w:val="0"/>
          <w:numId w:val="1023"/>
        </w:numPr>
      </w:pPr>
      <w:r>
        <w:t xml:space="preserve">Hayden JA, Ellis J, Ogilvie R, Malmivaara A, van Tulder MW.</w:t>
      </w:r>
      <w:r>
        <w:t xml:space="preserve"> </w:t>
      </w:r>
      <w:r>
        <w:rPr>
          <w:i/>
          <w:iCs/>
        </w:rPr>
        <w:t xml:space="preserve">Exercise therapy for chronic low back pain.</w:t>
      </w:r>
      <w:r>
        <w:t xml:space="preserve"> </w:t>
      </w:r>
      <w:r>
        <w:t xml:space="preserve">Cochrane Database Syst Rev 2021;9:CD009790. —</w:t>
      </w:r>
      <w:r>
        <w:t xml:space="preserve"> </w:t>
      </w:r>
      <w:hyperlink r:id="rId106">
        <w:r>
          <w:rPr>
            <w:rStyle w:val="Hyperlink"/>
          </w:rPr>
          <w:t xml:space="preserve">PMID 34580864</w:t>
        </w:r>
      </w:hyperlink>
    </w:p>
    <w:p>
      <w:pPr>
        <w:pStyle w:val="Compact"/>
        <w:numPr>
          <w:ilvl w:val="0"/>
          <w:numId w:val="1023"/>
        </w:numPr>
      </w:pPr>
      <w:r>
        <w:t xml:space="preserve">Fransen M, McConnell S, Harmer AR, et al. </w:t>
      </w:r>
      <w:r>
        <w:rPr>
          <w:i/>
          <w:iCs/>
        </w:rPr>
        <w:t xml:space="preserve">Exercise for osteoarthritis of the knee.</w:t>
      </w:r>
      <w:r>
        <w:t xml:space="preserve"> </w:t>
      </w:r>
      <w:r>
        <w:t xml:space="preserve">Cochrane Database Syst Rev 2015;1:CD004376. —</w:t>
      </w:r>
      <w:r>
        <w:t xml:space="preserve"> </w:t>
      </w:r>
      <w:hyperlink r:id="rId107">
        <w:r>
          <w:rPr>
            <w:rStyle w:val="Hyperlink"/>
          </w:rPr>
          <w:t xml:space="preserve">PMID 25569281</w:t>
        </w:r>
      </w:hyperlink>
    </w:p>
    <w:p>
      <w:pPr>
        <w:pStyle w:val="Compact"/>
        <w:numPr>
          <w:ilvl w:val="0"/>
          <w:numId w:val="1023"/>
        </w:numPr>
      </w:pPr>
      <w:r>
        <w:t xml:space="preserve">Nicolson PJA, Bennell KL, Dobson FL, et al. </w:t>
      </w:r>
      <w:r>
        <w:rPr>
          <w:i/>
          <w:iCs/>
        </w:rPr>
        <w:t xml:space="preserve">Interventions to increase adherence to therapeutic exercise in older adults with low back pain and/or hip/knee osteoarthritis: a systematic review and meta-analysis.</w:t>
      </w:r>
      <w:r>
        <w:t xml:space="preserve"> </w:t>
      </w:r>
      <w:r>
        <w:t xml:space="preserve">Br J Sports Med 2017;51(10):791-799. —</w:t>
      </w:r>
      <w:r>
        <w:t xml:space="preserve"> </w:t>
      </w:r>
      <w:hyperlink r:id="rId108">
        <w:r>
          <w:rPr>
            <w:rStyle w:val="Hyperlink"/>
          </w:rPr>
          <w:t xml:space="preserve">PMID 28087567</w:t>
        </w:r>
      </w:hyperlink>
    </w:p>
    <w:p>
      <w:pPr>
        <w:pStyle w:val="Compact"/>
        <w:numPr>
          <w:ilvl w:val="0"/>
          <w:numId w:val="1023"/>
        </w:numPr>
      </w:pPr>
      <w:r>
        <w:t xml:space="preserve">Traeger AC, Lee H, Hübscher M, et al. </w:t>
      </w:r>
      <w:r>
        <w:rPr>
          <w:i/>
          <w:iCs/>
        </w:rPr>
        <w:t xml:space="preserve">Effect of Intensive Patient Education vs Placebo Patient Education on Outcomes in Patients With Acute Low Back Pain.</w:t>
      </w:r>
      <w:r>
        <w:t xml:space="preserve"> </w:t>
      </w:r>
      <w:r>
        <w:t xml:space="preserve">JAMA Neurol 2019;76(2):161-169. —</w:t>
      </w:r>
      <w:r>
        <w:t xml:space="preserve"> </w:t>
      </w:r>
      <w:hyperlink r:id="rId109">
        <w:r>
          <w:rPr>
            <w:rStyle w:val="Hyperlink"/>
          </w:rPr>
          <w:t xml:space="preserve">PMID 30398542</w:t>
        </w:r>
      </w:hyperlink>
    </w:p>
    <w:p>
      <w:pPr>
        <w:pStyle w:val="Compact"/>
        <w:numPr>
          <w:ilvl w:val="0"/>
          <w:numId w:val="1023"/>
        </w:numPr>
      </w:pPr>
      <w:r>
        <w:t xml:space="preserve">Van Wesemael S, et al. </w:t>
      </w:r>
      <w:r>
        <w:rPr>
          <w:i/>
          <w:iCs/>
        </w:rPr>
        <w:t xml:space="preserve">Effectiveness of breathing exercises on pain in people with spinal pain: systematic review and meta-analysis.</w:t>
      </w:r>
      <w:r>
        <w:t xml:space="preserve"> </w:t>
      </w:r>
      <w:r>
        <w:t xml:space="preserve">Clin Rehabil 2025;39(12):1547-1561. —</w:t>
      </w:r>
      <w:r>
        <w:t xml:space="preserve"> </w:t>
      </w:r>
      <w:hyperlink r:id="rId110">
        <w:r>
          <w:rPr>
            <w:rStyle w:val="Hyperlink"/>
          </w:rPr>
          <w:t xml:space="preserve">PMID 41099211</w:t>
        </w:r>
      </w:hyperlink>
    </w:p>
    <w:p>
      <w:pPr>
        <w:pStyle w:val="Compact"/>
        <w:numPr>
          <w:ilvl w:val="0"/>
          <w:numId w:val="1023"/>
        </w:numPr>
      </w:pPr>
      <w:r>
        <w:t xml:space="preserve">Chen Y, et al. </w:t>
      </w:r>
      <w:r>
        <w:rPr>
          <w:i/>
          <w:iCs/>
        </w:rPr>
        <w:t xml:space="preserve">Breathing exercises for chronic non-specific low back pain: systematic review and meta-analysis.</w:t>
      </w:r>
      <w:r>
        <w:t xml:space="preserve"> </w:t>
      </w:r>
      <w:r>
        <w:t xml:space="preserve">J Back Musculoskelet Rehabil 2026. —</w:t>
      </w:r>
      <w:r>
        <w:t xml:space="preserve"> </w:t>
      </w:r>
      <w:hyperlink r:id="rId111">
        <w:r>
          <w:rPr>
            <w:rStyle w:val="Hyperlink"/>
          </w:rPr>
          <w:t xml:space="preserve">PMID 40965964</w:t>
        </w:r>
      </w:hyperlink>
    </w:p>
    <w:p>
      <w:pPr>
        <w:pStyle w:val="BlockText"/>
      </w:pPr>
      <w:r>
        <w:rPr>
          <w:b/>
          <w:bCs/>
        </w:rPr>
        <w:t xml:space="preserve">Nota.</w:t>
      </w:r>
      <w:r>
        <w:t xml:space="preserve"> </w:t>
      </w:r>
      <w:r>
        <w:t xml:space="preserve">Tutti i PMID di questo elenco sono stati riaperti su PubMed nella revisione di secondo livello. La voce di O’Keeffe sostituisce il PMID 36198841 della v1, che era una</w:t>
      </w:r>
      <w:r>
        <w:t xml:space="preserve"> </w:t>
      </w:r>
      <w:r>
        <w:rPr>
          <w:i/>
          <w:iCs/>
        </w:rPr>
        <w:t xml:space="preserve">content analysis</w:t>
      </w:r>
      <w:r>
        <w:t xml:space="preserve"> </w:t>
      </w:r>
      <w:r>
        <w:t xml:space="preserve">qualitativa e non l’esperimento randomizzato di cui il documento riportava i risultati.</w:t>
      </w:r>
    </w:p>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6" Target="https://pubmed.ncbi.nlm.nih.gov/10724079/" TargetMode="External" /><Relationship Type="http://schemas.openxmlformats.org/officeDocument/2006/relationships/hyperlink" Id="rId80" Target="https://pubmed.ncbi.nlm.nih.gov/11869914/" TargetMode="External" /><Relationship Type="http://schemas.openxmlformats.org/officeDocument/2006/relationships/hyperlink" Id="rId70" Target="https://pubmed.ncbi.nlm.nih.gov/12811280/" TargetMode="External" /><Relationship Type="http://schemas.openxmlformats.org/officeDocument/2006/relationships/hyperlink" Id="rId42" Target="https://pubmed.ncbi.nlm.nih.gov/16026625/" TargetMode="External" /><Relationship Type="http://schemas.openxmlformats.org/officeDocument/2006/relationships/hyperlink" Id="rId91" Target="https://pubmed.ncbi.nlm.nih.gov/16038856/" TargetMode="External" /><Relationship Type="http://schemas.openxmlformats.org/officeDocument/2006/relationships/hyperlink" Id="rId68" Target="https://pubmed.ncbi.nlm.nih.gov/16080787/" TargetMode="External" /><Relationship Type="http://schemas.openxmlformats.org/officeDocument/2006/relationships/hyperlink" Id="rId99" Target="https://pubmed.ncbi.nlm.nih.gov/16271551/" TargetMode="External" /><Relationship Type="http://schemas.openxmlformats.org/officeDocument/2006/relationships/hyperlink" Id="rId88" Target="https://pubmed.ncbi.nlm.nih.gov/16493917/" TargetMode="External" /><Relationship Type="http://schemas.openxmlformats.org/officeDocument/2006/relationships/hyperlink" Id="rId73" Target="https://pubmed.ncbi.nlm.nih.gov/17321169/" TargetMode="External" /><Relationship Type="http://schemas.openxmlformats.org/officeDocument/2006/relationships/hyperlink" Id="rId77" Target="https://pubmed.ncbi.nlm.nih.gov/19119397/" TargetMode="External" /><Relationship Type="http://schemas.openxmlformats.org/officeDocument/2006/relationships/hyperlink" Id="rId78" Target="https://pubmed.ncbi.nlm.nih.gov/19467607/" TargetMode="External" /><Relationship Type="http://schemas.openxmlformats.org/officeDocument/2006/relationships/hyperlink" Id="rId103" Target="https://pubmed.ncbi.nlm.nih.gov/19954822/" TargetMode="External" /><Relationship Type="http://schemas.openxmlformats.org/officeDocument/2006/relationships/hyperlink" Id="rId102" Target="https://pubmed.ncbi.nlm.nih.gov/20075147/" TargetMode="External" /><Relationship Type="http://schemas.openxmlformats.org/officeDocument/2006/relationships/hyperlink" Id="rId79" Target="https://pubmed.ncbi.nlm.nih.gov/20116046/" TargetMode="External" /><Relationship Type="http://schemas.openxmlformats.org/officeDocument/2006/relationships/hyperlink" Id="rId43" Target="https://pubmed.ncbi.nlm.nih.gov/20194234/" TargetMode="External" /><Relationship Type="http://schemas.openxmlformats.org/officeDocument/2006/relationships/hyperlink" Id="rId72" Target="https://pubmed.ncbi.nlm.nih.gov/20634243/" TargetMode="External" /><Relationship Type="http://schemas.openxmlformats.org/officeDocument/2006/relationships/hyperlink" Id="rId71" Target="https://pubmed.ncbi.nlm.nih.gov/22586331/" TargetMode="External" /><Relationship Type="http://schemas.openxmlformats.org/officeDocument/2006/relationships/hyperlink" Id="rId89" Target="https://pubmed.ncbi.nlm.nih.gov/23139428/" TargetMode="External" /><Relationship Type="http://schemas.openxmlformats.org/officeDocument/2006/relationships/hyperlink" Id="rId94" Target="https://pubmed.ncbi.nlm.nih.gov/23787298/" TargetMode="External" /><Relationship Type="http://schemas.openxmlformats.org/officeDocument/2006/relationships/hyperlink" Id="rId96" Target="https://pubmed.ncbi.nlm.nih.gov/24335669/" TargetMode="External" /><Relationship Type="http://schemas.openxmlformats.org/officeDocument/2006/relationships/hyperlink" Id="rId84" Target="https://pubmed.ncbi.nlm.nih.gov/24614834/" TargetMode="External" /><Relationship Type="http://schemas.openxmlformats.org/officeDocument/2006/relationships/hyperlink" Id="rId100" Target="https://pubmed.ncbi.nlm.nih.gov/25175885/" TargetMode="External" /><Relationship Type="http://schemas.openxmlformats.org/officeDocument/2006/relationships/hyperlink" Id="rId107" Target="https://pubmed.ncbi.nlm.nih.gov/25569281/" TargetMode="External" /><Relationship Type="http://schemas.openxmlformats.org/officeDocument/2006/relationships/hyperlink" Id="rId74" Target="https://pubmed.ncbi.nlm.nih.gov/25990288/" TargetMode="External" /><Relationship Type="http://schemas.openxmlformats.org/officeDocument/2006/relationships/hyperlink" Id="rId49" Target="https://pubmed.ncbi.nlm.nih.gov/27069265/" TargetMode="External" /><Relationship Type="http://schemas.openxmlformats.org/officeDocument/2006/relationships/hyperlink" Id="rId82" Target="https://pubmed.ncbi.nlm.nih.gov/27884862/" TargetMode="External" /><Relationship Type="http://schemas.openxmlformats.org/officeDocument/2006/relationships/hyperlink" Id="rId108" Target="https://pubmed.ncbi.nlm.nih.gov/28087567/" TargetMode="External" /><Relationship Type="http://schemas.openxmlformats.org/officeDocument/2006/relationships/hyperlink" Id="rId81" Target="https://pubmed.ncbi.nlm.nih.gov/2922636/" TargetMode="External" /><Relationship Type="http://schemas.openxmlformats.org/officeDocument/2006/relationships/hyperlink" Id="rId46" Target="https://pubmed.ncbi.nlm.nih.gov/29229292/" TargetMode="External" /><Relationship Type="http://schemas.openxmlformats.org/officeDocument/2006/relationships/hyperlink" Id="rId44" Target="https://pubmed.ncbi.nlm.nih.gov/29705080/" TargetMode="External" /><Relationship Type="http://schemas.openxmlformats.org/officeDocument/2006/relationships/hyperlink" Id="rId109" Target="https://pubmed.ncbi.nlm.nih.gov/30398542/" TargetMode="External" /><Relationship Type="http://schemas.openxmlformats.org/officeDocument/2006/relationships/hyperlink" Id="rId93" Target="https://pubmed.ncbi.nlm.nih.gov/30719281/" TargetMode="External" /><Relationship Type="http://schemas.openxmlformats.org/officeDocument/2006/relationships/hyperlink" Id="rId47" Target="https://pubmed.ncbi.nlm.nih.gov/30871549/" TargetMode="External" /><Relationship Type="http://schemas.openxmlformats.org/officeDocument/2006/relationships/hyperlink" Id="rId97" Target="https://pubmed.ncbi.nlm.nih.gov/31278933/" TargetMode="External" /><Relationship Type="http://schemas.openxmlformats.org/officeDocument/2006/relationships/hyperlink" Id="rId87" Target="https://pubmed.ncbi.nlm.nih.gov/32718213/" TargetMode="External" /><Relationship Type="http://schemas.openxmlformats.org/officeDocument/2006/relationships/hyperlink" Id="rId90" Target="https://pubmed.ncbi.nlm.nih.gov/33513231/" TargetMode="External" /><Relationship Type="http://schemas.openxmlformats.org/officeDocument/2006/relationships/hyperlink" Id="rId101" Target="https://pubmed.ncbi.nlm.nih.gov/33720272/" TargetMode="External" /><Relationship Type="http://schemas.openxmlformats.org/officeDocument/2006/relationships/hyperlink" Id="rId85" Target="https://pubmed.ncbi.nlm.nih.gov/33974577/" TargetMode="External" /><Relationship Type="http://schemas.openxmlformats.org/officeDocument/2006/relationships/hyperlink" Id="rId106" Target="https://pubmed.ncbi.nlm.nih.gov/34580864/" TargetMode="External" /><Relationship Type="http://schemas.openxmlformats.org/officeDocument/2006/relationships/hyperlink" Id="rId69" Target="https://pubmed.ncbi.nlm.nih.gov/34928991/" TargetMode="External" /><Relationship Type="http://schemas.openxmlformats.org/officeDocument/2006/relationships/hyperlink" Id="rId92" Target="https://pubmed.ncbi.nlm.nih.gov/35392008/" TargetMode="External" /><Relationship Type="http://schemas.openxmlformats.org/officeDocument/2006/relationships/hyperlink" Id="rId83" Target="https://pubmed.ncbi.nlm.nih.gov/35616226/" TargetMode="External" /><Relationship Type="http://schemas.openxmlformats.org/officeDocument/2006/relationships/hyperlink" Id="rId104" Target="https://pubmed.ncbi.nlm.nih.gov/36258943/" TargetMode="External" /><Relationship Type="http://schemas.openxmlformats.org/officeDocument/2006/relationships/hyperlink" Id="rId95" Target="https://pubmed.ncbi.nlm.nih.gov/36690712/" TargetMode="External" /><Relationship Type="http://schemas.openxmlformats.org/officeDocument/2006/relationships/hyperlink" Id="rId51" Target="https://pubmed.ncbi.nlm.nih.gov/36691685/" TargetMode="External" /><Relationship Type="http://schemas.openxmlformats.org/officeDocument/2006/relationships/hyperlink" Id="rId50" Target="https://pubmed.ncbi.nlm.nih.gov/37209935/" TargetMode="External" /><Relationship Type="http://schemas.openxmlformats.org/officeDocument/2006/relationships/hyperlink" Id="rId75" Target="https://pubmed.ncbi.nlm.nih.gov/37685636/" TargetMode="External" /><Relationship Type="http://schemas.openxmlformats.org/officeDocument/2006/relationships/hyperlink" Id="rId45" Target="https://pubmed.ncbi.nlm.nih.gov/38253366/" TargetMode="External" /><Relationship Type="http://schemas.openxmlformats.org/officeDocument/2006/relationships/hyperlink" Id="rId86" Target="https://pubmed.ncbi.nlm.nih.gov/38310923/" TargetMode="External" /><Relationship Type="http://schemas.openxmlformats.org/officeDocument/2006/relationships/hyperlink" Id="rId105" Target="https://pubmed.ncbi.nlm.nih.gov/38908392/" TargetMode="External" /><Relationship Type="http://schemas.openxmlformats.org/officeDocument/2006/relationships/hyperlink" Id="rId52" Target="https://pubmed.ncbi.nlm.nih.gov/39424858/" TargetMode="External" /><Relationship Type="http://schemas.openxmlformats.org/officeDocument/2006/relationships/hyperlink" Id="rId111" Target="https://pubmed.ncbi.nlm.nih.gov/40965964/" TargetMode="External" /><Relationship Type="http://schemas.openxmlformats.org/officeDocument/2006/relationships/hyperlink" Id="rId110" Target="https://pubmed.ncbi.nlm.nih.gov/41099211/" TargetMode="External" /><Relationship Type="http://schemas.openxmlformats.org/officeDocument/2006/relationships/hyperlink" Id="rId98" Target="https://pubmed.ncbi.nlm.nih.gov/41855582/" TargetMode="External" /><Relationship Type="http://schemas.openxmlformats.org/officeDocument/2006/relationships/hyperlink" Id="rId48" Target="https://pubmed.ncbi.nlm.nih.gov/9615363/" TargetMode="External" /></Relationships>
</file>

<file path=word/_rels/footnotes.xml.rels><?xml version="1.0" encoding="UTF-8"?><Relationships xmlns="http://schemas.openxmlformats.org/package/2006/relationships"><Relationship Type="http://schemas.openxmlformats.org/officeDocument/2006/relationships/hyperlink" Id="rId76" Target="https://pubmed.ncbi.nlm.nih.gov/10724079/" TargetMode="External" /><Relationship Type="http://schemas.openxmlformats.org/officeDocument/2006/relationships/hyperlink" Id="rId80" Target="https://pubmed.ncbi.nlm.nih.gov/11869914/" TargetMode="External" /><Relationship Type="http://schemas.openxmlformats.org/officeDocument/2006/relationships/hyperlink" Id="rId70" Target="https://pubmed.ncbi.nlm.nih.gov/12811280/" TargetMode="External" /><Relationship Type="http://schemas.openxmlformats.org/officeDocument/2006/relationships/hyperlink" Id="rId42" Target="https://pubmed.ncbi.nlm.nih.gov/16026625/" TargetMode="External" /><Relationship Type="http://schemas.openxmlformats.org/officeDocument/2006/relationships/hyperlink" Id="rId91" Target="https://pubmed.ncbi.nlm.nih.gov/16038856/" TargetMode="External" /><Relationship Type="http://schemas.openxmlformats.org/officeDocument/2006/relationships/hyperlink" Id="rId68" Target="https://pubmed.ncbi.nlm.nih.gov/16080787/" TargetMode="External" /><Relationship Type="http://schemas.openxmlformats.org/officeDocument/2006/relationships/hyperlink" Id="rId99" Target="https://pubmed.ncbi.nlm.nih.gov/16271551/" TargetMode="External" /><Relationship Type="http://schemas.openxmlformats.org/officeDocument/2006/relationships/hyperlink" Id="rId88" Target="https://pubmed.ncbi.nlm.nih.gov/16493917/" TargetMode="External" /><Relationship Type="http://schemas.openxmlformats.org/officeDocument/2006/relationships/hyperlink" Id="rId73" Target="https://pubmed.ncbi.nlm.nih.gov/17321169/" TargetMode="External" /><Relationship Type="http://schemas.openxmlformats.org/officeDocument/2006/relationships/hyperlink" Id="rId77" Target="https://pubmed.ncbi.nlm.nih.gov/19119397/" TargetMode="External" /><Relationship Type="http://schemas.openxmlformats.org/officeDocument/2006/relationships/hyperlink" Id="rId78" Target="https://pubmed.ncbi.nlm.nih.gov/19467607/" TargetMode="External" /><Relationship Type="http://schemas.openxmlformats.org/officeDocument/2006/relationships/hyperlink" Id="rId103" Target="https://pubmed.ncbi.nlm.nih.gov/19954822/" TargetMode="External" /><Relationship Type="http://schemas.openxmlformats.org/officeDocument/2006/relationships/hyperlink" Id="rId102" Target="https://pubmed.ncbi.nlm.nih.gov/20075147/" TargetMode="External" /><Relationship Type="http://schemas.openxmlformats.org/officeDocument/2006/relationships/hyperlink" Id="rId79" Target="https://pubmed.ncbi.nlm.nih.gov/20116046/" TargetMode="External" /><Relationship Type="http://schemas.openxmlformats.org/officeDocument/2006/relationships/hyperlink" Id="rId43" Target="https://pubmed.ncbi.nlm.nih.gov/20194234/" TargetMode="External" /><Relationship Type="http://schemas.openxmlformats.org/officeDocument/2006/relationships/hyperlink" Id="rId72" Target="https://pubmed.ncbi.nlm.nih.gov/20634243/" TargetMode="External" /><Relationship Type="http://schemas.openxmlformats.org/officeDocument/2006/relationships/hyperlink" Id="rId71" Target="https://pubmed.ncbi.nlm.nih.gov/22586331/" TargetMode="External" /><Relationship Type="http://schemas.openxmlformats.org/officeDocument/2006/relationships/hyperlink" Id="rId89" Target="https://pubmed.ncbi.nlm.nih.gov/23139428/" TargetMode="External" /><Relationship Type="http://schemas.openxmlformats.org/officeDocument/2006/relationships/hyperlink" Id="rId94" Target="https://pubmed.ncbi.nlm.nih.gov/23787298/" TargetMode="External" /><Relationship Type="http://schemas.openxmlformats.org/officeDocument/2006/relationships/hyperlink" Id="rId96" Target="https://pubmed.ncbi.nlm.nih.gov/24335669/" TargetMode="External" /><Relationship Type="http://schemas.openxmlformats.org/officeDocument/2006/relationships/hyperlink" Id="rId84" Target="https://pubmed.ncbi.nlm.nih.gov/24614834/" TargetMode="External" /><Relationship Type="http://schemas.openxmlformats.org/officeDocument/2006/relationships/hyperlink" Id="rId100" Target="https://pubmed.ncbi.nlm.nih.gov/25175885/" TargetMode="External" /><Relationship Type="http://schemas.openxmlformats.org/officeDocument/2006/relationships/hyperlink" Id="rId107" Target="https://pubmed.ncbi.nlm.nih.gov/25569281/" TargetMode="External" /><Relationship Type="http://schemas.openxmlformats.org/officeDocument/2006/relationships/hyperlink" Id="rId74" Target="https://pubmed.ncbi.nlm.nih.gov/25990288/" TargetMode="External" /><Relationship Type="http://schemas.openxmlformats.org/officeDocument/2006/relationships/hyperlink" Id="rId49" Target="https://pubmed.ncbi.nlm.nih.gov/27069265/" TargetMode="External" /><Relationship Type="http://schemas.openxmlformats.org/officeDocument/2006/relationships/hyperlink" Id="rId82" Target="https://pubmed.ncbi.nlm.nih.gov/27884862/" TargetMode="External" /><Relationship Type="http://schemas.openxmlformats.org/officeDocument/2006/relationships/hyperlink" Id="rId108" Target="https://pubmed.ncbi.nlm.nih.gov/28087567/" TargetMode="External" /><Relationship Type="http://schemas.openxmlformats.org/officeDocument/2006/relationships/hyperlink" Id="rId81" Target="https://pubmed.ncbi.nlm.nih.gov/2922636/" TargetMode="External" /><Relationship Type="http://schemas.openxmlformats.org/officeDocument/2006/relationships/hyperlink" Id="rId46" Target="https://pubmed.ncbi.nlm.nih.gov/29229292/" TargetMode="External" /><Relationship Type="http://schemas.openxmlformats.org/officeDocument/2006/relationships/hyperlink" Id="rId44" Target="https://pubmed.ncbi.nlm.nih.gov/29705080/" TargetMode="External" /><Relationship Type="http://schemas.openxmlformats.org/officeDocument/2006/relationships/hyperlink" Id="rId109" Target="https://pubmed.ncbi.nlm.nih.gov/30398542/" TargetMode="External" /><Relationship Type="http://schemas.openxmlformats.org/officeDocument/2006/relationships/hyperlink" Id="rId93" Target="https://pubmed.ncbi.nlm.nih.gov/30719281/" TargetMode="External" /><Relationship Type="http://schemas.openxmlformats.org/officeDocument/2006/relationships/hyperlink" Id="rId47" Target="https://pubmed.ncbi.nlm.nih.gov/30871549/" TargetMode="External" /><Relationship Type="http://schemas.openxmlformats.org/officeDocument/2006/relationships/hyperlink" Id="rId97" Target="https://pubmed.ncbi.nlm.nih.gov/31278933/" TargetMode="External" /><Relationship Type="http://schemas.openxmlformats.org/officeDocument/2006/relationships/hyperlink" Id="rId87" Target="https://pubmed.ncbi.nlm.nih.gov/32718213/" TargetMode="External" /><Relationship Type="http://schemas.openxmlformats.org/officeDocument/2006/relationships/hyperlink" Id="rId90" Target="https://pubmed.ncbi.nlm.nih.gov/33513231/" TargetMode="External" /><Relationship Type="http://schemas.openxmlformats.org/officeDocument/2006/relationships/hyperlink" Id="rId101" Target="https://pubmed.ncbi.nlm.nih.gov/33720272/" TargetMode="External" /><Relationship Type="http://schemas.openxmlformats.org/officeDocument/2006/relationships/hyperlink" Id="rId85" Target="https://pubmed.ncbi.nlm.nih.gov/33974577/" TargetMode="External" /><Relationship Type="http://schemas.openxmlformats.org/officeDocument/2006/relationships/hyperlink" Id="rId106" Target="https://pubmed.ncbi.nlm.nih.gov/34580864/" TargetMode="External" /><Relationship Type="http://schemas.openxmlformats.org/officeDocument/2006/relationships/hyperlink" Id="rId69" Target="https://pubmed.ncbi.nlm.nih.gov/34928991/" TargetMode="External" /><Relationship Type="http://schemas.openxmlformats.org/officeDocument/2006/relationships/hyperlink" Id="rId92" Target="https://pubmed.ncbi.nlm.nih.gov/35392008/" TargetMode="External" /><Relationship Type="http://schemas.openxmlformats.org/officeDocument/2006/relationships/hyperlink" Id="rId83" Target="https://pubmed.ncbi.nlm.nih.gov/35616226/" TargetMode="External" /><Relationship Type="http://schemas.openxmlformats.org/officeDocument/2006/relationships/hyperlink" Id="rId104" Target="https://pubmed.ncbi.nlm.nih.gov/36258943/" TargetMode="External" /><Relationship Type="http://schemas.openxmlformats.org/officeDocument/2006/relationships/hyperlink" Id="rId95" Target="https://pubmed.ncbi.nlm.nih.gov/36690712/" TargetMode="External" /><Relationship Type="http://schemas.openxmlformats.org/officeDocument/2006/relationships/hyperlink" Id="rId51" Target="https://pubmed.ncbi.nlm.nih.gov/36691685/" TargetMode="External" /><Relationship Type="http://schemas.openxmlformats.org/officeDocument/2006/relationships/hyperlink" Id="rId50" Target="https://pubmed.ncbi.nlm.nih.gov/37209935/" TargetMode="External" /><Relationship Type="http://schemas.openxmlformats.org/officeDocument/2006/relationships/hyperlink" Id="rId75" Target="https://pubmed.ncbi.nlm.nih.gov/37685636/" TargetMode="External" /><Relationship Type="http://schemas.openxmlformats.org/officeDocument/2006/relationships/hyperlink" Id="rId45" Target="https://pubmed.ncbi.nlm.nih.gov/38253366/" TargetMode="External" /><Relationship Type="http://schemas.openxmlformats.org/officeDocument/2006/relationships/hyperlink" Id="rId86" Target="https://pubmed.ncbi.nlm.nih.gov/38310923/" TargetMode="External" /><Relationship Type="http://schemas.openxmlformats.org/officeDocument/2006/relationships/hyperlink" Id="rId105" Target="https://pubmed.ncbi.nlm.nih.gov/38908392/" TargetMode="External" /><Relationship Type="http://schemas.openxmlformats.org/officeDocument/2006/relationships/hyperlink" Id="rId52" Target="https://pubmed.ncbi.nlm.nih.gov/39424858/" TargetMode="External" /><Relationship Type="http://schemas.openxmlformats.org/officeDocument/2006/relationships/hyperlink" Id="rId111" Target="https://pubmed.ncbi.nlm.nih.gov/40965964/" TargetMode="External" /><Relationship Type="http://schemas.openxmlformats.org/officeDocument/2006/relationships/hyperlink" Id="rId110" Target="https://pubmed.ncbi.nlm.nih.gov/41099211/" TargetMode="External" /><Relationship Type="http://schemas.openxmlformats.org/officeDocument/2006/relationships/hyperlink" Id="rId98" Target="https://pubmed.ncbi.nlm.nih.gov/41855582/" TargetMode="External" /><Relationship Type="http://schemas.openxmlformats.org/officeDocument/2006/relationships/hyperlink" Id="rId48" Target="https://pubmed.ncbi.nlm.nih.gov/96153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Dismetria</dc:title>
  <dc:creator>Mobilitas — Direzione Osteopatica</dc:creator>
  <dc:language>it-IT</dc:language>
  <cp:keywords/>
  <dcterms:created xsi:type="dcterms:W3CDTF">2026-08-26T11:14:41Z</dcterms:created>
  <dcterms:modified xsi:type="dcterms:W3CDTF">2026-08-26T11:14:41Z</dcterms:modified>
</cp:coreProperties>
</file>

<file path=docProps/custom.xml><?xml version="1.0" encoding="utf-8"?>
<Properties xmlns="http://schemas.openxmlformats.org/officeDocument/2006/custom-properties" xmlns:vt="http://schemas.openxmlformats.org/officeDocument/2006/docPropsVTypes"/>
</file>