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Mobilitas — Direzione Osteopatica</w:t>
      </w:r>
    </w:p>
    <w:bookmarkStart w:id="19" w:name="mappa-concettuale-dismetria"/>
    <w:p>
      <w:pPr>
        <w:pStyle w:val="Heading1"/>
      </w:pPr>
      <w:r>
        <w:t xml:space="preserve">Mappa concettuale — Dismetria</w:t>
      </w:r>
    </w:p>
    <w:p>
      <w:pPr>
        <w:pStyle w:val="FirstParagraph"/>
      </w:pPr>
      <w:r>
        <w:rPr>
          <w:b/>
          <w:bCs/>
        </w:rPr>
        <w:t xml:space="preserve">Condizione:</w:t>
      </w:r>
      <w:r>
        <w:t xml:space="preserve"> </w:t>
      </w:r>
      <w:r>
        <w:t xml:space="preserve">dismetria degli arti inferiori ·</w:t>
      </w:r>
      <w:r>
        <w:t xml:space="preserve"> </w:t>
      </w:r>
      <w:r>
        <w:rPr>
          <w:b/>
          <w:bCs/>
        </w:rPr>
        <w:t xml:space="preserve">Ancora clinica:</w:t>
      </w:r>
      <w:r>
        <w:t xml:space="preserve"> </w:t>
      </w:r>
      <w:r>
        <w:t xml:space="preserve">T. Mark Campbell (Ottawa) ·</w:t>
      </w:r>
      <w:r>
        <w:t xml:space="preserve"> </w:t>
      </w:r>
      <w:r>
        <w:rPr>
          <w:b/>
          <w:bCs/>
        </w:rPr>
        <w:t xml:space="preserve">Ancora del fenomeno:</w:t>
      </w:r>
      <w:r>
        <w:t xml:space="preserve"> </w:t>
      </w:r>
      <w:r>
        <w:t xml:space="preserve">Gary A. Knutson ·</w:t>
      </w:r>
      <w:r>
        <w:t xml:space="preserve"> </w:t>
      </w:r>
      <w:r>
        <w:rPr>
          <w:b/>
          <w:bCs/>
        </w:rPr>
        <w:t xml:space="preserve">Versione:</w:t>
      </w:r>
      <w:r>
        <w:t xml:space="preserve"> </w:t>
      </w:r>
      <w:r>
        <w:t xml:space="preserve">v7.0 (revisione di lingua) ·</w:t>
      </w:r>
      <w:r>
        <w:t xml:space="preserve"> </w:t>
      </w:r>
      <w:r>
        <w:rPr>
          <w:b/>
          <w:bCs/>
        </w:rPr>
        <w:t xml:space="preserve">26 agosto 2026</w:t>
      </w:r>
    </w:p>
    <w:p>
      <w:r>
        <w:pict>
          <v:rect style="width:0;height:1.5pt" o:hralign="center" o:hrstd="t" o:hr="t"/>
        </w:pict>
      </w:r>
    </w:p>
    <w:bookmarkStart w:id="9" w:name="la-condizione-in-tre-righe"/>
    <w:p>
      <w:pPr>
        <w:pStyle w:val="Heading2"/>
      </w:pPr>
      <w:r>
        <w:t xml:space="preserve">1 · La condizione in tre righe</w:t>
      </w:r>
    </w:p>
    <w:p>
      <w:pPr>
        <w:pStyle w:val="FirstParagraph"/>
      </w:pPr>
      <w:r>
        <w:t xml:space="preserve">Differenza di lunghezza fra le gambe: vera, cioè nell’osso, oppure apparente, cioè nella posizione e nella corsa articolare.</w:t>
      </w:r>
      <w:r>
        <w:t xml:space="preserve"> </w:t>
      </w:r>
      <w:r>
        <w:t xml:space="preserve">Nove persone su dieci ne hanno una, con media 5,2 mm. La letteratura non la considera rilevante sotto i 20 mm.</w:t>
      </w:r>
      <w:r>
        <w:t xml:space="preserve"> </w:t>
      </w:r>
      <w:r>
        <w:t xml:space="preserve">La differenza ossea non evolve —</w:t>
      </w:r>
      <w:r>
        <w:t xml:space="preserve"> </w:t>
      </w:r>
      <w:r>
        <w:rPr>
          <w:b/>
          <w:bCs/>
        </w:rPr>
        <w:t xml:space="preserve">se è cambiata, non è questa condizione</w:t>
      </w:r>
      <w:r>
        <w:t xml:space="preserve">. Il dolore lombare</w:t>
      </w:r>
      <w:r>
        <w:t xml:space="preserve"> </w:t>
      </w:r>
      <w:r>
        <w:rPr>
          <w:b/>
          <w:bCs/>
        </w:rPr>
        <w:t xml:space="preserve">persistente</w:t>
      </w:r>
      <w:r>
        <w:t xml:space="preserve"> </w:t>
      </w:r>
      <w:r>
        <w:t xml:space="preserve">invece scende da solo di circa</w:t>
      </w:r>
      <w:r>
        <w:t xml:space="preserve"> </w:t>
      </w:r>
      <w:r>
        <w:rPr>
          <w:b/>
          <w:bCs/>
        </w:rPr>
        <w:t xml:space="preserve">8 punti su 100 in sei settimane</w:t>
      </w:r>
      <w:r>
        <w:t xml:space="preserve"> </w:t>
      </w:r>
      <w:r>
        <w:t xml:space="preserve">(56 → 48 → 43 → 40 nell’anno), con certezza dichiarata</w:t>
      </w:r>
      <w:r>
        <w:t xml:space="preserve"> </w:t>
      </w:r>
      <w:r>
        <w:rPr>
          <w:b/>
          <w:bCs/>
        </w:rPr>
        <w:t xml:space="preserve">molto bassa</w:t>
      </w:r>
      <w:r>
        <w:t xml:space="preserve">. I trenta punti che circolano appartengono al dolore</w:t>
      </w:r>
      <w:r>
        <w:t xml:space="preserve"> </w:t>
      </w:r>
      <w:r>
        <w:rPr>
          <w:b/>
          <w:bCs/>
        </w:rPr>
        <w:t xml:space="preserve">acuto</w:t>
      </w:r>
      <w:r>
        <w:t xml:space="preserve">, non a lui.</w:t>
      </w:r>
    </w:p>
    <w:p>
      <w:r>
        <w:pict>
          <v:rect style="width:0;height:1.5pt" o:hralign="center" o:hrstd="t" o:hr="t"/>
        </w:pict>
      </w:r>
    </w:p>
    <w:bookmarkEnd w:id="9"/>
    <w:bookmarkStart w:id="10" w:name="la-catena-causale"/>
    <w:p>
      <w:pPr>
        <w:pStyle w:val="Heading2"/>
      </w:pPr>
      <w:r>
        <w:t xml:space="preserve">2 · La catena causale</w:t>
      </w:r>
    </w:p>
    <w:p>
      <w:pPr>
        <w:pStyle w:val="FirstParagraph"/>
      </w:pPr>
      <w:r>
        <w:rPr>
          <w:rStyle w:val="VerbatimChar"/>
        </w:rPr>
        <w:t xml:space="preserve">differenza fra i due arti → piano sacrale inclinato (0,3 mm per mm, PROBABILE) → carico che non ruota mai fra le strutture — assenza di alternanza, non un lato preferito → ingresso nocicettivo di fondo dallo stesso lato (IPOTESI) → dolore</w:t>
      </w:r>
    </w:p>
    <w:p>
      <w:pPr>
        <w:pStyle w:val="BodyText"/>
      </w:pPr>
      <w:r>
        <w:rPr>
          <w:b/>
          <w:bCs/>
        </w:rPr>
        <w:t xml:space="preserve">E la catena parallela, quella in cui puoi di più:</w:t>
      </w:r>
      <w:r>
        <w:t xml:space="preserve"> </w:t>
      </w:r>
      <w:r>
        <w:rPr>
          <w:rStyle w:val="VerbatimChar"/>
        </w:rPr>
        <w:t xml:space="preserve">anca rigida + ginocchio che non estende + caviglia limitata → gamba funzionalmente più corta senza differenza ossea (DIMOSTRATO — l'associazione; IPOTESI — la reversibilità)</w:t>
      </w:r>
    </w:p>
    <w:p>
      <w:r>
        <w:pict>
          <v:rect style="width:0;height:1.5pt" o:hralign="center" o:hrstd="t" o:hr="t"/>
        </w:pict>
      </w:r>
    </w:p>
    <w:bookmarkEnd w:id="10"/>
    <w:bookmarkStart w:id="11" w:name="i-meccanismi-e-quanto-sono-solidi"/>
    <w:p>
      <w:pPr>
        <w:pStyle w:val="Heading2"/>
      </w:pPr>
      <w:r>
        <w:t xml:space="preserve">3 · I meccanismi e quanto sono solidi</w:t>
      </w:r>
    </w:p>
    <w:p>
      <w:pPr>
        <w:pStyle w:val="FirstParagraph"/>
      </w:pPr>
      <w:r>
        <w:t xml:space="preserve">L’ordine è didattico:</w:t>
      </w:r>
      <w:r>
        <w:t xml:space="preserve"> </w:t>
      </w:r>
      <w:r>
        <w:rPr>
          <w:b/>
          <w:bCs/>
        </w:rPr>
        <w:t xml:space="preserve">il più frequente è il terzo, non il primo.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Meccanismo</w:t>
            </w:r>
          </w:p>
        </w:tc>
        <w:tc>
          <w:tcPr/>
          <w:p>
            <w:pPr>
              <w:pStyle w:val="Compact"/>
            </w:pPr>
            <w:r>
              <w:t xml:space="preserve">Come lo riconosci</w:t>
            </w:r>
          </w:p>
        </w:tc>
        <w:tc>
          <w:tcPr/>
          <w:p>
            <w:pPr>
              <w:pStyle w:val="Compact"/>
            </w:pPr>
            <w:r>
              <w:t xml:space="preserve">Quanto è solido</w:t>
            </w:r>
          </w:p>
        </w:tc>
      </w:tr>
      <w:tr>
        <w:tc>
          <w:tcPr/>
          <w:p>
            <w:pPr>
              <w:pStyle w:val="Compact"/>
            </w:pPr>
            <w:r>
              <w:t xml:space="preserve">La base inclinata</w:t>
            </w:r>
          </w:p>
        </w:tc>
        <w:tc>
          <w:tcPr/>
          <w:p>
            <w:pPr>
              <w:pStyle w:val="Compact"/>
            </w:pPr>
            <w:r>
              <w:t xml:space="preserve">Peggiora in piedi, migliora seduto; cammina come sta fermo</w:t>
            </w:r>
          </w:p>
        </w:tc>
        <w:tc>
          <w:tcPr/>
          <w:p>
            <w:pPr>
              <w:pStyle w:val="Compact"/>
            </w:pPr>
            <w:r>
              <w:t xml:space="preserve">PROBABILE — la geometria</w:t>
            </w:r>
          </w:p>
        </w:tc>
      </w:tr>
      <w:tr>
        <w:tc>
          <w:tcPr/>
          <w:p>
            <w:pPr>
              <w:pStyle w:val="Compact"/>
            </w:pPr>
            <w:r>
              <w:t xml:space="preserve">La dose asimmetrica</w:t>
            </w:r>
          </w:p>
        </w:tc>
        <w:tc>
          <w:tcPr/>
          <w:p>
            <w:pPr>
              <w:pStyle w:val="Compact"/>
            </w:pPr>
            <w:r>
              <w:t xml:space="preserve">Stesso lato da anni, camminate lunghe</w:t>
            </w:r>
          </w:p>
        </w:tc>
        <w:tc>
          <w:tcPr/>
          <w:p>
            <w:pPr>
              <w:pStyle w:val="Compact"/>
            </w:pPr>
            <w:r>
              <w:t xml:space="preserve">DIMOSTRATO — l’associazione; PROBABILE — la dose in piedi (OR 1,31)</w:t>
            </w:r>
          </w:p>
        </w:tc>
      </w:tr>
      <w:tr>
        <w:tc>
          <w:tcPr/>
          <w:p>
            <w:pPr>
              <w:pStyle w:val="Compact"/>
            </w:pPr>
            <w:r>
              <w:t xml:space="preserve">Il riferimento sbagliato</w:t>
            </w:r>
          </w:p>
        </w:tc>
        <w:tc>
          <w:tcPr/>
          <w:p>
            <w:pPr>
              <w:pStyle w:val="Compact"/>
            </w:pPr>
            <w:r>
              <w:t xml:space="preserve">Misura muta, anca o ginocchio rigidi</w:t>
            </w:r>
          </w:p>
        </w:tc>
        <w:tc>
          <w:tcPr/>
          <w:p>
            <w:pPr>
              <w:pStyle w:val="Compact"/>
            </w:pPr>
            <w:r>
              <w:t xml:space="preserve">DIMOSTRATO — l’asimmetria di forma</w:t>
            </w:r>
          </w:p>
        </w:tc>
      </w:tr>
      <w:tr>
        <w:tc>
          <w:tcPr/>
          <w:p>
            <w:pPr>
              <w:pStyle w:val="Compact"/>
            </w:pPr>
            <w:r>
              <w:t xml:space="preserve">La parola diventata sintomo</w:t>
            </w:r>
          </w:p>
        </w:tc>
        <w:tc>
          <w:tcPr/>
          <w:p>
            <w:pPr>
              <w:pStyle w:val="Compact"/>
            </w:pPr>
            <w:r>
              <w:t xml:space="preserve">Ricorda data e frase, misura piccola</w:t>
            </w:r>
          </w:p>
        </w:tc>
        <w:tc>
          <w:tcPr/>
          <w:p>
            <w:pPr>
              <w:pStyle w:val="Compact"/>
            </w:pPr>
            <w:r>
              <w:t xml:space="preserve">PROBABILE — il fenomeno; IPOTESI — su questa condizione</w:t>
            </w:r>
          </w:p>
        </w:tc>
      </w:tr>
      <w:tr>
        <w:tc>
          <w:tcPr/>
          <w:p>
            <w:pPr>
              <w:pStyle w:val="Compact"/>
            </w:pPr>
            <w:r>
              <w:t xml:space="preserve">Il muscolo che non stacca</w:t>
            </w:r>
          </w:p>
        </w:tc>
        <w:tc>
          <w:tcPr/>
          <w:p>
            <w:pPr>
              <w:pStyle w:val="Compact"/>
            </w:pPr>
            <w:r>
              <w:rPr>
                <w:b/>
                <w:bCs/>
              </w:rPr>
              <w:t xml:space="preserve">Non cambia mai lato</w:t>
            </w:r>
            <w:r>
              <w:t xml:space="preserve">, sta peggio fermo</w:t>
            </w:r>
          </w:p>
        </w:tc>
        <w:tc>
          <w:tcPr/>
          <w:p>
            <w:pPr>
              <w:pStyle w:val="Compact"/>
            </w:pPr>
            <w:r>
              <w:t xml:space="preserve">PROBABILE — il pattern; IPOTESI — romperlo</w:t>
            </w:r>
          </w:p>
        </w:tc>
      </w:tr>
    </w:tbl>
    <w:p>
      <w:pPr>
        <w:pStyle w:val="BodyText"/>
      </w:pPr>
      <w:r>
        <w:rPr>
          <w:b/>
          <w:bCs/>
        </w:rPr>
        <w:t xml:space="preserve">Regola di lato:</w:t>
      </w:r>
      <w:r>
        <w:t xml:space="preserve"> </w:t>
      </w:r>
      <w:r>
        <w:t xml:space="preserve">confronta la gamba di appoggio con il lato che fa male. Coincidono → dose. Non coincidono → geometria o riferimento sbagliato. Il ginocchio artrosico ha l’associazione</w:t>
      </w:r>
      <w:r>
        <w:t xml:space="preserve"> </w:t>
      </w:r>
      <w:r>
        <w:rPr>
          <w:b/>
          <w:bCs/>
        </w:rPr>
        <w:t xml:space="preserve">più forte</w:t>
      </w:r>
      <w:r>
        <w:t xml:space="preserve"> </w:t>
      </w:r>
      <w:r>
        <w:t xml:space="preserve">dal lato corto, ma è aumentata anche dal lato lungo (13% contro 9%):</w:t>
      </w:r>
      <w:r>
        <w:t xml:space="preserve"> </w:t>
      </w:r>
      <w:r>
        <w:rPr>
          <w:b/>
          <w:bCs/>
        </w:rPr>
        <w:t xml:space="preserve">il lato corto orienta l’esame, non lo chiude.</w:t>
      </w:r>
      <w:r>
        <w:t xml:space="preserve"> </w:t>
      </w:r>
      <w:r>
        <w:rPr>
          <w:b/>
          <w:bCs/>
        </w:rPr>
        <w:t xml:space="preserve">Attenzione:</w:t>
      </w:r>
      <w:r>
        <w:t xml:space="preserve"> </w:t>
      </w:r>
      <w:r>
        <w:t xml:space="preserve">«sta peggio fermo che camminando» da solo non basta. È anche il carattere del</w:t>
      </w:r>
      <w:r>
        <w:t xml:space="preserve"> </w:t>
      </w:r>
      <w:r>
        <w:rPr>
          <w:b/>
          <w:bCs/>
        </w:rPr>
        <w:t xml:space="preserve">dolore infiammatorio</w:t>
      </w:r>
      <w:r>
        <w:t xml:space="preserve">.</w:t>
      </w:r>
    </w:p>
    <w:p>
      <w:r>
        <w:pict>
          <v:rect style="width:0;height:1.5pt" o:hralign="center" o:hrstd="t" o:hr="t"/>
        </w:pict>
      </w:r>
    </w:p>
    <w:bookmarkEnd w:id="11"/>
    <w:bookmarkStart w:id="12" w:name="i-sottotipi-e-chi-comanda"/>
    <w:p>
      <w:pPr>
        <w:pStyle w:val="Heading2"/>
      </w:pPr>
      <w:r>
        <w:t xml:space="preserve">4 · I sottotipi e chi comanda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Comanda</w:t>
            </w:r>
          </w:p>
        </w:tc>
        <w:tc>
          <w:tcPr/>
          <w:p>
            <w:pPr>
              <w:pStyle w:val="Compact"/>
            </w:pPr>
            <w:r>
              <w:t xml:space="preserve">Quanto puoi fare</w:t>
            </w:r>
          </w:p>
        </w:tc>
      </w:tr>
      <w:tr>
        <w:tc>
          <w:tcPr/>
          <w:p>
            <w:pPr>
              <w:pStyle w:val="Compact"/>
            </w:pPr>
            <w:r>
              <w:t xml:space="preserve">Anatomica 5–20 mm</w:t>
            </w:r>
          </w:p>
        </w:tc>
        <w:tc>
          <w:tcPr/>
          <w:p>
            <w:pPr>
              <w:pStyle w:val="Compact"/>
            </w:pPr>
            <w:r>
              <w:t xml:space="preserve">Misura in teleradiografia</w:t>
            </w:r>
          </w:p>
        </w:tc>
        <w:tc>
          <w:tcPr/>
          <w:p>
            <w:pPr>
              <w:pStyle w:val="Compact"/>
            </w:pPr>
            <w:r>
              <w:t xml:space="preserve">Base inclinata, dose</w:t>
            </w:r>
          </w:p>
        </w:tc>
        <w:tc>
          <w:tcPr/>
          <w:p>
            <w:pPr>
              <w:pStyle w:val="Compact"/>
            </w:pPr>
            <w:r>
              <w:t xml:space="preserve">Abbastanza</w:t>
            </w:r>
          </w:p>
        </w:tc>
      </w:tr>
      <w:tr>
        <w:tc>
          <w:tcPr/>
          <w:p>
            <w:pPr>
              <w:pStyle w:val="Compact"/>
            </w:pPr>
            <w:r>
              <w:t xml:space="preserve">Anatomica oltre 20 mm</w:t>
            </w:r>
          </w:p>
        </w:tc>
        <w:tc>
          <w:tcPr/>
          <w:p>
            <w:pPr>
              <w:pStyle w:val="Compact"/>
            </w:pPr>
            <w:r>
              <w:t xml:space="preserve">Zoppia visibile, causa nota</w:t>
            </w:r>
          </w:p>
        </w:tc>
        <w:tc>
          <w:tcPr/>
          <w:p>
            <w:pPr>
              <w:pStyle w:val="Compact"/>
            </w:pPr>
            <w:r>
              <w:t xml:space="preserve">Base inclinata</w:t>
            </w:r>
          </w:p>
        </w:tc>
        <w:tc>
          <w:tcPr/>
          <w:p>
            <w:pPr>
              <w:pStyle w:val="Compact"/>
            </w:pPr>
            <w:r>
              <w:t xml:space="preserve">Poco</w:t>
            </w:r>
          </w:p>
        </w:tc>
      </w:tr>
      <w:tr>
        <w:tc>
          <w:tcPr/>
          <w:p>
            <w:pPr>
              <w:pStyle w:val="Compact"/>
            </w:pPr>
            <w:r>
              <w:t xml:space="preserve">Apparente, senza differenza ossea</w:t>
            </w:r>
          </w:p>
        </w:tc>
        <w:tc>
          <w:tcPr/>
          <w:p>
            <w:pPr>
              <w:pStyle w:val="Compact"/>
            </w:pPr>
            <w:r>
              <w:t xml:space="preserve">Misura muta, anca rigida</w:t>
            </w:r>
          </w:p>
        </w:tc>
        <w:tc>
          <w:tcPr/>
          <w:p>
            <w:pPr>
              <w:pStyle w:val="Compact"/>
            </w:pPr>
            <w:r>
              <w:t xml:space="preserve">Riferimento sbagliato</w:t>
            </w:r>
          </w:p>
        </w:tc>
        <w:tc>
          <w:tcPr/>
          <w:p>
            <w:pPr>
              <w:pStyle w:val="Compact"/>
            </w:pPr>
            <w:r>
              <w:t xml:space="preserve">Molto</w:t>
            </w:r>
          </w:p>
        </w:tc>
      </w:tr>
      <w:tr>
        <w:tc>
          <w:tcPr/>
          <w:p>
            <w:pPr>
              <w:pStyle w:val="Compact"/>
            </w:pPr>
            <w:r>
              <w:t xml:space="preserve">Da percezione</w:t>
            </w:r>
          </w:p>
        </w:tc>
        <w:tc>
          <w:tcPr/>
          <w:p>
            <w:pPr>
              <w:pStyle w:val="Compact"/>
            </w:pPr>
            <w:r>
              <w:t xml:space="preserve">Racconto forte, misura piccola</w:t>
            </w:r>
          </w:p>
        </w:tc>
        <w:tc>
          <w:tcPr/>
          <w:p>
            <w:pPr>
              <w:pStyle w:val="Compact"/>
            </w:pPr>
            <w:r>
              <w:t xml:space="preserve">La parola</w:t>
            </w:r>
          </w:p>
        </w:tc>
        <w:tc>
          <w:tcPr/>
          <w:p>
            <w:pPr>
              <w:pStyle w:val="Compact"/>
            </w:pPr>
            <w:r>
              <w:t xml:space="preserve">Abbastanza</w:t>
            </w:r>
          </w:p>
        </w:tc>
      </w:tr>
      <w:tr>
        <w:tc>
          <w:tcPr/>
          <w:p>
            <w:pPr>
              <w:pStyle w:val="Compact"/>
            </w:pPr>
            <w:r>
              <w:t xml:space="preserve">Con sensibilizzazione diffusa</w:t>
            </w:r>
          </w:p>
        </w:tc>
        <w:tc>
          <w:tcPr/>
          <w:p>
            <w:pPr>
              <w:pStyle w:val="Compact"/>
            </w:pPr>
            <w:r>
              <w:t xml:space="preserve">Misure simmetriche, provocazione negativa</w:t>
            </w:r>
          </w:p>
        </w:tc>
        <w:tc>
          <w:tcPr/>
          <w:p>
            <w:pPr>
              <w:pStyle w:val="Compact"/>
            </w:pPr>
            <w:r>
              <w:t xml:space="preserve">Muscolo che non stacca + parola</w:t>
            </w:r>
          </w:p>
        </w:tc>
        <w:tc>
          <w:tcPr/>
          <w:p>
            <w:pPr>
              <w:pStyle w:val="Compact"/>
            </w:pPr>
            <w:r>
              <w:t xml:space="preserve">Abbastanza</w:t>
            </w:r>
          </w:p>
        </w:tc>
      </w:tr>
      <w:tr>
        <w:tc>
          <w:tcPr/>
          <w:p>
            <w:pPr>
              <w:pStyle w:val="Compact"/>
            </w:pPr>
            <w:r>
              <w:rPr>
                <w:b/>
                <w:bCs/>
              </w:rPr>
              <w:t xml:space="preserve">Cancello:</w:t>
            </w:r>
            <w:r>
              <w:t xml:space="preserve"> </w:t>
            </w:r>
            <w:r>
              <w:t xml:space="preserve">crescita con zoppia</w:t>
            </w:r>
          </w:p>
        </w:tc>
        <w:tc>
          <w:tcPr/>
          <w:p>
            <w:pPr>
              <w:pStyle w:val="Compact"/>
            </w:pPr>
            <w:r>
              <w:rPr>
                <w:b/>
                <w:bCs/>
              </w:rPr>
              <w:t xml:space="preserve">Febbre o non carica → PS</w:t>
            </w:r>
            <w:r>
              <w:t xml:space="preserve">; senza febbre → epifisiolisi</w:t>
            </w:r>
          </w:p>
        </w:tc>
        <w:tc>
          <w:tcPr/>
          <w:p>
            <w:pPr>
              <w:pStyle w:val="Compact"/>
            </w:pPr>
            <w:r>
              <w:t xml:space="preserve">—</w:t>
            </w:r>
          </w:p>
        </w:tc>
        <w:tc>
          <w:tcPr/>
          <w:p>
            <w:pPr>
              <w:pStyle w:val="Compact"/>
            </w:pPr>
            <w:r>
              <w:t xml:space="preserve">Niente, invio</w:t>
            </w:r>
          </w:p>
        </w:tc>
      </w:tr>
      <w:tr>
        <w:tc>
          <w:tcPr/>
          <w:p>
            <w:pPr>
              <w:pStyle w:val="Compact"/>
            </w:pPr>
            <w:r>
              <w:rPr>
                <w:b/>
                <w:bCs/>
              </w:rPr>
              <w:t xml:space="preserve">Cancello:</w:t>
            </w:r>
            <w:r>
              <w:t xml:space="preserve"> </w:t>
            </w:r>
            <w:r>
              <w:t xml:space="preserve">post-chirurgica recente</w:t>
            </w:r>
          </w:p>
        </w:tc>
        <w:tc>
          <w:tcPr/>
          <w:p>
            <w:pPr>
              <w:pStyle w:val="Compact"/>
            </w:pPr>
            <w:r>
              <w:t xml:space="preserve">Protesi, osteotomia, frattura</w:t>
            </w:r>
          </w:p>
        </w:tc>
        <w:tc>
          <w:tcPr/>
          <w:p>
            <w:pPr>
              <w:pStyle w:val="Compact"/>
            </w:pPr>
            <w:r>
              <w:t xml:space="preserve">—</w:t>
            </w:r>
          </w:p>
        </w:tc>
        <w:tc>
          <w:tcPr/>
          <w:p>
            <w:pPr>
              <w:pStyle w:val="Compact"/>
            </w:pPr>
            <w:r>
              <w:t xml:space="preserve">Niente, canale medico</w:t>
            </w:r>
          </w:p>
        </w:tc>
      </w:tr>
    </w:tbl>
    <w:p>
      <w:pPr>
        <w:pStyle w:val="BodyText"/>
      </w:pPr>
      <w:r>
        <w:rPr>
          <w:b/>
          <w:bCs/>
        </w:rPr>
        <w:t xml:space="preserve">Senza teleradiografia il sottotipo è una presunzione di lavoro, e si scrive così in cartella.</w:t>
      </w:r>
    </w:p>
    <w:p>
      <w:r>
        <w:pict>
          <v:rect style="width:0;height:1.5pt" o:hralign="center" o:hrstd="t" o:hr="t"/>
        </w:pict>
      </w:r>
    </w:p>
    <w:bookmarkEnd w:id="12"/>
    <w:bookmarkStart w:id="13" w:name="il-ragionamento-in-cinque-righe"/>
    <w:p>
      <w:pPr>
        <w:pStyle w:val="Heading2"/>
      </w:pPr>
      <w:r>
        <w:t xml:space="preserve">5 · Il ragionamento, in cinque righe</w:t>
      </w:r>
    </w:p>
    <w:p>
      <w:pPr>
        <w:pStyle w:val="FirstParagraph"/>
      </w:pPr>
      <w:r>
        <w:t xml:space="preserve">Indaga dall’alto. Prima</w:t>
      </w:r>
      <w:r>
        <w:t xml:space="preserve"> </w:t>
      </w:r>
      <w:r>
        <w:rPr>
          <w:b/>
          <w:bCs/>
        </w:rPr>
        <w:t xml:space="preserve">chi gliel’ha detto e cosa ha smesso di fare</w:t>
      </w:r>
      <w:r>
        <w:t xml:space="preserve">, poi la misura, poi l’escursione di anca-ginocchio-caviglia, poi la dose quotidiana</w:t>
      </w:r>
      <w:r>
        <w:t xml:space="preserve"> </w:t>
      </w:r>
      <w:r>
        <w:rPr>
          <w:b/>
          <w:bCs/>
        </w:rPr>
        <w:t xml:space="preserve">e la regola di lato</w:t>
      </w:r>
      <w:r>
        <w:t xml:space="preserve">. Infine</w:t>
      </w:r>
      <w:r>
        <w:t xml:space="preserve"> </w:t>
      </w:r>
      <w:r>
        <w:rPr>
          <w:b/>
          <w:bCs/>
        </w:rPr>
        <w:t xml:space="preserve">dichiara l’ipotesi — confrontando i segnali di dominanza — e scegli come la smentiresti: in cartella prima di toccare</w:t>
      </w:r>
      <w:r>
        <w:t xml:space="preserve">.</w:t>
      </w:r>
      <w:r>
        <w:t xml:space="preserve"> </w:t>
      </w:r>
      <w:r>
        <w:t xml:space="preserve">Il principio «non trattare dove il paziente sente»</w:t>
      </w:r>
      <w:r>
        <w:t xml:space="preserve"> </w:t>
      </w:r>
      <w:r>
        <w:rPr>
          <w:b/>
          <w:bCs/>
        </w:rPr>
        <w:t xml:space="preserve">qui è tolto</w:t>
      </w:r>
      <w:r>
        <w:t xml:space="preserve">: le leve migliori si applicano proprio lì.</w:t>
      </w:r>
      <w:r>
        <w:t xml:space="preserve"> </w:t>
      </w:r>
      <w:r>
        <w:t xml:space="preserve">La regola che resta:</w:t>
      </w:r>
      <w:r>
        <w:t xml:space="preserve"> </w:t>
      </w:r>
      <w:r>
        <w:rPr>
          <w:b/>
          <w:bCs/>
        </w:rPr>
        <w:t xml:space="preserve">il marker della prova non deve stare dove hai messo le mani</w:t>
      </w:r>
      <w:r>
        <w:t xml:space="preserve">, e si sceglie prima.</w:t>
      </w:r>
      <w:r>
        <w:t xml:space="preserve"> </w:t>
      </w:r>
      <w:r>
        <w:t xml:space="preserve">I quattro marker: test di provocazione positivi su sei (da ≥3 a ≤2) · rotazione interna d’anca (10°) · tempo in piedi (doppio della variabilità basale, si ferma a +2/10) · soglia dolorosa a sito remoto (+20%,</w:t>
      </w:r>
      <w:r>
        <w:t xml:space="preserve"> </w:t>
      </w:r>
      <w:r>
        <w:rPr>
          <w:b/>
          <w:bCs/>
        </w:rPr>
        <w:t xml:space="preserve">rimisurata alla seduta dopo, prima del contatto</w:t>
      </w:r>
      <w:r>
        <w:t xml:space="preserve">).</w:t>
      </w:r>
      <w:r>
        <w:t xml:space="preserve"> </w:t>
      </w:r>
      <w:r>
        <w:t xml:space="preserve">Se hai trattato l’</w:t>
      </w:r>
      <w:r>
        <w:rPr>
          <w:b/>
          <w:bCs/>
        </w:rPr>
        <w:t xml:space="preserve">attivazione</w:t>
      </w:r>
      <w:r>
        <w:t xml:space="preserve">, il marker fuori piano è il primo o il secondo.</w:t>
      </w:r>
      <w:r>
        <w:t xml:space="preserve"> </w:t>
      </w:r>
      <w:r>
        <w:rPr>
          <w:b/>
          <w:bCs/>
        </w:rPr>
        <w:t xml:space="preserve">Il quarto non vale</w:t>
      </w:r>
      <w:r>
        <w:t xml:space="preserve">: misura il piano che hai trattato.</w:t>
      </w:r>
    </w:p>
    <w:p>
      <w:r>
        <w:pict>
          <v:rect style="width:0;height:1.5pt" o:hralign="center" o:hrstd="t" o:hr="t"/>
        </w:pict>
      </w:r>
    </w:p>
    <w:bookmarkEnd w:id="13"/>
    <w:bookmarkStart w:id="14" w:name="la-leva-attiva"/>
    <w:p>
      <w:pPr>
        <w:pStyle w:val="Heading2"/>
      </w:pPr>
      <w:r>
        <w:t xml:space="preserve">6 · La leva attiva</w:t>
      </w:r>
    </w:p>
    <w:p>
      <w:pPr>
        <w:pStyle w:val="FirstParagraph"/>
      </w:pPr>
      <w:r>
        <w:t xml:space="preserve">Cammino</w:t>
      </w:r>
      <w:r>
        <w:t xml:space="preserve"> </w:t>
      </w:r>
      <w:r>
        <w:rPr>
          <w:b/>
          <w:bCs/>
        </w:rPr>
        <w:t xml:space="preserve">ed educazione</w:t>
      </w:r>
      <w:r>
        <w:t xml:space="preserve"> </w:t>
      </w:r>
      <w:r>
        <w:t xml:space="preserve">progressivi: mediana alla ricaduta 208 giorni contro 112, HR 0,72 (PROBABILE, misurato su lombalgia; eventi avversi agli arti inferiori quasi doppi).</w:t>
      </w:r>
      <w:r>
        <w:t xml:space="preserve"> </w:t>
      </w:r>
      <w:r>
        <w:t xml:space="preserve">Controllo gluteo in lombalgici</w:t>
      </w:r>
      <w:r>
        <w:t xml:space="preserve"> </w:t>
      </w:r>
      <w:r>
        <w:rPr>
          <w:b/>
          <w:bCs/>
        </w:rPr>
        <w:t xml:space="preserve">con dismetria funzionale</w:t>
      </w:r>
      <w:r>
        <w:t xml:space="preserve">: dolore 1,41 contro 3,38 (PROBABILE,</w:t>
      </w:r>
      <w:r>
        <w:t xml:space="preserve"> </w:t>
      </w:r>
      <w:r>
        <w:rPr>
          <w:b/>
          <w:bCs/>
        </w:rPr>
        <w:t xml:space="preserve">unica prova nella popolazione giusta</w:t>
      </w:r>
      <w:r>
        <w:t xml:space="preserve">).</w:t>
      </w:r>
      <w:r>
        <w:t xml:space="preserve"> </w:t>
      </w:r>
      <w:r>
        <w:t xml:space="preserve">Allungamento per l’estensione di ginocchio nell’artrosi,</w:t>
      </w:r>
      <w:r>
        <w:t xml:space="preserve"> </w:t>
      </w:r>
      <w:r>
        <w:rPr>
          <w:b/>
          <w:bCs/>
        </w:rPr>
        <w:t xml:space="preserve">su programmi di settimane e non su una seduta</w:t>
      </w:r>
      <w:r>
        <w:t xml:space="preserve">:</w:t>
      </w:r>
      <w:r>
        <w:t xml:space="preserve"> </w:t>
      </w:r>
      <w:r>
        <w:rPr>
          <w:b/>
          <w:bCs/>
        </w:rPr>
        <w:t xml:space="preserve">+9,1° (IC 3,4–14,8), certezza moderata</w:t>
      </w:r>
      <w:r>
        <w:t xml:space="preserve">. PROBABILE che i gradi si recuperino;</w:t>
      </w:r>
      <w:r>
        <w:t xml:space="preserve"> </w:t>
      </w:r>
      <w:r>
        <w:rPr>
          <w:b/>
          <w:bCs/>
        </w:rPr>
        <w:t xml:space="preserve">IPOTESI che recuperarli riduca i millimetri: nessuno l’ha misurato con una misura che regga.</w:t>
      </w:r>
      <w:r>
        <w:t xml:space="preserve"> </w:t>
      </w:r>
      <w:r>
        <w:t xml:space="preserve">Esercizio nella lombalgia cronica: −15,2 su 100 sul dolore,</w:t>
      </w:r>
      <w:r>
        <w:t xml:space="preserve"> </w:t>
      </w:r>
      <w:r>
        <w:rPr>
          <w:b/>
          <w:bCs/>
        </w:rPr>
        <w:t xml:space="preserve">ma −6,8 sulla funzione, sotto la soglia di rilevanza dichiarata dagli autori</w:t>
      </w:r>
      <w:r>
        <w:t xml:space="preserve">. E contro la</w:t>
      </w:r>
      <w:r>
        <w:t xml:space="preserve"> </w:t>
      </w:r>
      <w:r>
        <w:rPr>
          <w:b/>
          <w:bCs/>
        </w:rPr>
        <w:t xml:space="preserve">terapia manuale</w:t>
      </w:r>
      <w:r>
        <w:t xml:space="preserve"> </w:t>
      </w:r>
      <w:r>
        <w:t xml:space="preserve">la differenza è</w:t>
      </w:r>
      <w:r>
        <w:t xml:space="preserve"> </w:t>
      </w:r>
      <w:r>
        <w:rPr>
          <w:b/>
          <w:bCs/>
        </w:rPr>
        <w:t xml:space="preserve">1,0 punti, IC −3,1 a 5,1</w:t>
      </w:r>
      <w:r>
        <w:t xml:space="preserve">: più prove non vuol dire più efficace.</w:t>
      </w:r>
      <w:r>
        <w:t xml:space="preserve"> </w:t>
      </w:r>
      <w:r>
        <w:rPr>
          <w:b/>
          <w:bCs/>
        </w:rPr>
        <w:t xml:space="preserve">L’aderenza non è un difetto dell’esercizio</w:t>
      </w:r>
      <w:r>
        <w:t xml:space="preserve"> </w:t>
      </w:r>
      <w:r>
        <w:t xml:space="preserve">(ritiri 14% contro 15% nel controllo): è il tuo lavoro. Funzionano le</w:t>
      </w:r>
      <w:r>
        <w:t xml:space="preserve"> </w:t>
      </w:r>
      <w:r>
        <w:rPr>
          <w:b/>
          <w:bCs/>
        </w:rPr>
        <w:t xml:space="preserve">sedute di richiamo programmate</w:t>
      </w:r>
      <w:r>
        <w:t xml:space="preserve"> </w:t>
      </w:r>
      <w:r>
        <w:t xml:space="preserve">(SMD 0,39, certezza moderata) e il carico graduato; non funzionano i piani scritti e i video.</w:t>
      </w:r>
      <w:r>
        <w:t xml:space="preserve"> </w:t>
      </w:r>
      <w:r>
        <w:t xml:space="preserve">Il rialzo</w:t>
      </w:r>
      <w:r>
        <w:t xml:space="preserve"> </w:t>
      </w:r>
      <w:r>
        <w:rPr>
          <w:b/>
          <w:bCs/>
        </w:rPr>
        <w:t xml:space="preserve">non</w:t>
      </w:r>
      <w:r>
        <w:t xml:space="preserve"> </w:t>
      </w:r>
      <w:r>
        <w:t xml:space="preserve">è leva attiva: si segnala, non si prescrive.</w:t>
      </w:r>
    </w:p>
    <w:p>
      <w:r>
        <w:pict>
          <v:rect style="width:0;height:1.5pt" o:hralign="center" o:hrstd="t" o:hr="t"/>
        </w:pict>
      </w:r>
    </w:p>
    <w:bookmarkEnd w:id="14"/>
    <w:bookmarkStart w:id="15" w:name="le-bandiere-rosse"/>
    <w:p>
      <w:pPr>
        <w:pStyle w:val="Heading2"/>
      </w:pPr>
      <w:r>
        <w:t xml:space="preserve">7 · Le bandiere rosse</w:t>
      </w:r>
    </w:p>
    <w:p>
      <w:pPr>
        <w:pStyle w:val="Compact"/>
        <w:numPr>
          <w:ilvl w:val="0"/>
          <w:numId w:val="1001"/>
        </w:numPr>
      </w:pPr>
      <w:r>
        <w:t xml:space="preserve">Cauda equina → PS →</w:t>
      </w:r>
      <w:r>
        <w:t xml:space="preserve"> </w:t>
      </w:r>
      <w:r>
        <w:rPr>
          <w:b/>
          <w:bCs/>
        </w:rPr>
        <w:t xml:space="preserve">112</w:t>
      </w:r>
      <w:r>
        <w:t xml:space="preserve"> </w:t>
      </w:r>
      <w:r>
        <w:t xml:space="preserve">·</w:t>
      </w:r>
      <w:r>
        <w:t xml:space="preserve"> </w:t>
      </w:r>
      <w:r>
        <w:rPr>
          <w:i/>
          <w:iCs/>
        </w:rPr>
        <w:t xml:space="preserve">si esclude prima e si sorveglia dopo</w:t>
      </w:r>
    </w:p>
    <w:p>
      <w:pPr>
        <w:pStyle w:val="Compact"/>
        <w:numPr>
          <w:ilvl w:val="0"/>
          <w:numId w:val="1001"/>
        </w:numPr>
      </w:pPr>
      <w:r>
        <w:t xml:space="preserve">Deficit motorio in peggioramento → neurologo o PS →</w:t>
      </w:r>
      <w:r>
        <w:t xml:space="preserve"> </w:t>
      </w:r>
      <w:r>
        <w:rPr>
          <w:b/>
          <w:bCs/>
        </w:rPr>
        <w:t xml:space="preserve">Urgente (24 ore)</w:t>
      </w:r>
    </w:p>
    <w:p>
      <w:pPr>
        <w:pStyle w:val="Compact"/>
        <w:numPr>
          <w:ilvl w:val="0"/>
          <w:numId w:val="1001"/>
        </w:numPr>
      </w:pPr>
      <w:r>
        <w:t xml:space="preserve">Gamba gonfia da un lato, nuova →</w:t>
      </w:r>
      <w:r>
        <w:t xml:space="preserve"> </w:t>
      </w:r>
      <w:r>
        <w:rPr>
          <w:b/>
          <w:bCs/>
        </w:rPr>
        <w:t xml:space="preserve">PS</w:t>
      </w:r>
      <w:r>
        <w:t xml:space="preserve"> </w:t>
      </w:r>
      <w:r>
        <w:t xml:space="preserve">→</w:t>
      </w:r>
      <w:r>
        <w:t xml:space="preserve"> </w:t>
      </w:r>
      <w:r>
        <w:rPr>
          <w:b/>
          <w:bCs/>
        </w:rPr>
        <w:t xml:space="preserve">Urgente (in giornata)</w:t>
      </w:r>
      <w:r>
        <w:t xml:space="preserve"> </w:t>
      </w:r>
      <w:r>
        <w:t xml:space="preserve">· dispnea o dolore toracico = 112</w:t>
      </w:r>
    </w:p>
    <w:p>
      <w:pPr>
        <w:pStyle w:val="Compact"/>
        <w:numPr>
          <w:ilvl w:val="0"/>
          <w:numId w:val="1001"/>
        </w:numPr>
      </w:pPr>
      <w:r>
        <w:t xml:space="preserve">Bambino che zoppica</w:t>
      </w:r>
      <w:r>
        <w:t xml:space="preserve"> </w:t>
      </w:r>
      <w:r>
        <w:rPr>
          <w:b/>
          <w:bCs/>
        </w:rPr>
        <w:t xml:space="preserve">con febbre</w:t>
      </w:r>
      <w:r>
        <w:t xml:space="preserve">, che non carica, o sotto i 3 anni → PS →</w:t>
      </w:r>
      <w:r>
        <w:t xml:space="preserve"> </w:t>
      </w:r>
      <w:r>
        <w:rPr>
          <w:b/>
          <w:bCs/>
        </w:rPr>
        <w:t xml:space="preserve">Urgente (in giornata)</w:t>
      </w:r>
    </w:p>
    <w:p>
      <w:pPr>
        <w:pStyle w:val="Compact"/>
        <w:numPr>
          <w:ilvl w:val="0"/>
          <w:numId w:val="1001"/>
        </w:numPr>
      </w:pPr>
      <w:r>
        <w:t xml:space="preserve">Adolescente con zoppia senza febbre → ortopedico pediatrico o PS →</w:t>
      </w:r>
      <w:r>
        <w:t xml:space="preserve"> </w:t>
      </w:r>
      <w:r>
        <w:rPr>
          <w:b/>
          <w:bCs/>
        </w:rPr>
        <w:t xml:space="preserve">Invio, non attendere</w:t>
      </w:r>
    </w:p>
    <w:p>
      <w:pPr>
        <w:pStyle w:val="Compact"/>
        <w:numPr>
          <w:ilvl w:val="0"/>
          <w:numId w:val="1001"/>
        </w:numPr>
      </w:pPr>
      <w:r>
        <w:rPr>
          <w:b/>
          <w:bCs/>
        </w:rPr>
        <w:t xml:space="preserve">Accorciamento o extrarotazione nuovi</w:t>
      </w:r>
      <w:r>
        <w:t xml:space="preserve"> </w:t>
      </w:r>
      <w:r>
        <w:t xml:space="preserve">in adulto fragile o protesizzato → PS o chirurgo →</w:t>
      </w:r>
      <w:r>
        <w:t xml:space="preserve"> </w:t>
      </w:r>
      <w:r>
        <w:rPr>
          <w:b/>
          <w:bCs/>
        </w:rPr>
        <w:t xml:space="preserve">Urgente (in giornata)</w:t>
      </w:r>
    </w:p>
    <w:p>
      <w:pPr>
        <w:pStyle w:val="Compact"/>
        <w:numPr>
          <w:ilvl w:val="0"/>
          <w:numId w:val="1001"/>
        </w:numPr>
      </w:pPr>
      <w:r>
        <w:rPr>
          <w:b/>
          <w:bCs/>
        </w:rPr>
        <w:t xml:space="preserve">Febbre, immunodepressione, droghe endovena, catetere, infezione recente</w:t>
      </w:r>
      <w:r>
        <w:t xml:space="preserve"> </w:t>
      </w:r>
      <w:r>
        <w:t xml:space="preserve">→ PS →</w:t>
      </w:r>
      <w:r>
        <w:t xml:space="preserve"> </w:t>
      </w:r>
      <w:r>
        <w:rPr>
          <w:b/>
          <w:bCs/>
        </w:rPr>
        <w:t xml:space="preserve">Urgente (24 ore)</w:t>
      </w:r>
    </w:p>
    <w:p>
      <w:pPr>
        <w:pStyle w:val="Compact"/>
        <w:numPr>
          <w:ilvl w:val="0"/>
          <w:numId w:val="1001"/>
        </w:numPr>
      </w:pPr>
      <w:r>
        <w:rPr>
          <w:b/>
          <w:bCs/>
        </w:rPr>
        <w:t xml:space="preserve">Storia di neoplasia</w:t>
      </w:r>
      <w:r>
        <w:t xml:space="preserve"> </w:t>
      </w:r>
      <w:r>
        <w:t xml:space="preserve">con dolore nuovo → curante o oncologo →</w:t>
      </w:r>
      <w:r>
        <w:t xml:space="preserve"> </w:t>
      </w:r>
      <w:r>
        <w:rPr>
          <w:b/>
          <w:bCs/>
        </w:rPr>
        <w:t xml:space="preserve">Invio, non attendere</w:t>
      </w:r>
    </w:p>
    <w:p>
      <w:pPr>
        <w:pStyle w:val="Compact"/>
        <w:numPr>
          <w:ilvl w:val="0"/>
          <w:numId w:val="1001"/>
        </w:numPr>
      </w:pPr>
      <w:r>
        <w:t xml:space="preserve">Cortisone prolungato o trauma recente → curante →</w:t>
      </w:r>
      <w:r>
        <w:t xml:space="preserve"> </w:t>
      </w:r>
      <w:r>
        <w:rPr>
          <w:b/>
          <w:bCs/>
        </w:rPr>
        <w:t xml:space="preserve">Invio, non attendere</w:t>
      </w:r>
    </w:p>
    <w:p>
      <w:pPr>
        <w:pStyle w:val="Compact"/>
        <w:numPr>
          <w:ilvl w:val="0"/>
          <w:numId w:val="1001"/>
        </w:numPr>
      </w:pPr>
      <w:r>
        <w:t xml:space="preserve">Dolore notturno con calo di peso → curante →</w:t>
      </w:r>
      <w:r>
        <w:t xml:space="preserve"> </w:t>
      </w:r>
      <w:r>
        <w:rPr>
          <w:b/>
          <w:bCs/>
        </w:rPr>
        <w:t xml:space="preserve">Invio (7 giorni)</w:t>
      </w:r>
    </w:p>
    <w:p>
      <w:pPr>
        <w:pStyle w:val="Compact"/>
        <w:numPr>
          <w:ilvl w:val="0"/>
          <w:numId w:val="1001"/>
        </w:numPr>
      </w:pPr>
      <w:r>
        <w:rPr>
          <w:b/>
          <w:bCs/>
        </w:rPr>
        <w:t xml:space="preserve">Dolore lombo-gluteo cronico iniziato prima dei 45 anni con caratteri infiammatori</w:t>
      </w:r>
      <w:r>
        <w:t xml:space="preserve"> </w:t>
      </w:r>
      <w:r>
        <w:t xml:space="preserve">— compresi</w:t>
      </w:r>
      <w:r>
        <w:t xml:space="preserve"> </w:t>
      </w:r>
      <w:r>
        <w:rPr>
          <w:b/>
          <w:bCs/>
        </w:rPr>
        <w:t xml:space="preserve">artrite, entesite o dattilite</w:t>
      </w:r>
      <w:r>
        <w:t xml:space="preserve"> </w:t>
      </w:r>
      <w:r>
        <w:t xml:space="preserve">→ curante, valutazione reumatologica →</w:t>
      </w:r>
      <w:r>
        <w:t xml:space="preserve"> </w:t>
      </w:r>
      <w:r>
        <w:rPr>
          <w:b/>
          <w:bCs/>
        </w:rPr>
        <w:t xml:space="preserve">Invio (14 giorni)</w:t>
      </w:r>
    </w:p>
    <w:p>
      <w:pPr>
        <w:pStyle w:val="FirstParagraph"/>
      </w:pPr>
      <w:r>
        <w:rPr>
          <w:b/>
          <w:bCs/>
        </w:rPr>
        <w:t xml:space="preserve">ROSSO = non si tratta nulla, nemmeno un distretto che sembra estraneo, e non si consegna lavoro attivo.</w:t>
      </w:r>
      <w:r>
        <w:t xml:space="preserve"> </w:t>
      </w:r>
      <w:r>
        <w:rPr>
          <w:b/>
          <w:bCs/>
        </w:rPr>
        <w:t xml:space="preserve">GIALLO = si lavora a quattro condizioni:</w:t>
      </w:r>
      <w:r>
        <w:t xml:space="preserve"> </w:t>
      </w:r>
      <w:r>
        <w:t xml:space="preserve">reperto tuo in cartella · paziente informato di cosa tratti e cosa no · canale medico aperto oggi, per iscritto · sei settimane con la revisione già in calendario.</w:t>
      </w:r>
    </w:p>
    <w:p>
      <w:r>
        <w:pict>
          <v:rect style="width:0;height:1.5pt" o:hralign="center" o:hrstd="t" o:hr="t"/>
        </w:pict>
      </w:r>
    </w:p>
    <w:bookmarkEnd w:id="15"/>
    <w:bookmarkStart w:id="16" w:name="la-sicurezza-del-gesto"/>
    <w:p>
      <w:pPr>
        <w:pStyle w:val="Heading2"/>
      </w:pPr>
      <w:r>
        <w:t xml:space="preserve">8 · La sicurezza del gesto</w:t>
      </w:r>
    </w:p>
    <w:p>
      <w:pPr>
        <w:pStyle w:val="FirstParagraph"/>
      </w:pPr>
      <w:r>
        <w:rPr>
          <w:b/>
          <w:bCs/>
        </w:rPr>
        <w:t xml:space="preserve">Anca protesizzata, anche di anni fa:</w:t>
      </w:r>
      <w:r>
        <w:t xml:space="preserve"> </w:t>
      </w:r>
      <w:r>
        <w:t xml:space="preserve">flessione + adduzione + rotazione interna è la posizione descritta come a rischio per la via posteriore. Il numero, per non gonfiare: la lussazione dopo via posteriore sta intorno al 2%, ed è</w:t>
      </w:r>
      <w:r>
        <w:t xml:space="preserve"> </w:t>
      </w:r>
      <w:r>
        <w:rPr>
          <w:b/>
          <w:bCs/>
        </w:rPr>
        <w:t xml:space="preserve">la stessa in chi riceve le precauzioni post-operatorie e in chi non le riceve</w:t>
      </w:r>
      <w:r>
        <w:t xml:space="preserve"> </w:t>
      </w:r>
      <w:r>
        <w:t xml:space="preserve">(2,2% contro 2,0%).</w:t>
      </w:r>
      <w:r>
        <w:t xml:space="preserve"> </w:t>
      </w:r>
      <w:r>
        <w:rPr>
          <w:b/>
          <w:bCs/>
        </w:rPr>
        <w:t xml:space="preserve">La nostra condotta è prudenza, non un dato (RAGIONAMENTO):</w:t>
      </w:r>
      <w:r>
        <w:t xml:space="preserve"> </w:t>
      </w:r>
      <w:r>
        <w:t xml:space="preserve">la rotazione interna si misura al primo arresto, e</w:t>
      </w:r>
      <w:r>
        <w:t xml:space="preserve"> </w:t>
      </w:r>
      <w:r>
        <w:rPr>
          <w:b/>
          <w:bCs/>
        </w:rPr>
        <w:t xml:space="preserve">non è né marker né leva</w:t>
      </w:r>
      <w:r>
        <w:t xml:space="preserve">. Chiedi via d’accesso e data.</w:t>
      </w:r>
      <w:r>
        <w:t xml:space="preserve"> </w:t>
      </w:r>
      <w:r>
        <w:rPr>
          <w:b/>
          <w:bCs/>
        </w:rPr>
        <w:t xml:space="preserve">Batteria dei sei test di provocazione:</w:t>
      </w:r>
      <w:r>
        <w:t xml:space="preserve"> </w:t>
      </w:r>
      <w:r>
        <w:t xml:space="preserve">non in gravidanza, non con protesi d’anca o pelvica, non con fragilità ossea nota.</w:t>
      </w:r>
      <w:r>
        <w:t xml:space="preserve"> </w:t>
      </w:r>
      <w:r>
        <w:rPr>
          <w:b/>
          <w:bCs/>
        </w:rPr>
        <w:t xml:space="preserve">Ginocchio artrosico avanzato o protesizzato:</w:t>
      </w:r>
      <w:r>
        <w:t xml:space="preserve"> </w:t>
      </w:r>
      <w:r>
        <w:t xml:space="preserve">l’estensione si misura, non si forza a fine corsa.</w:t>
      </w:r>
      <w:r>
        <w:t xml:space="preserve"> </w:t>
      </w:r>
      <w:r>
        <w:rPr>
          <w:b/>
          <w:bCs/>
        </w:rPr>
        <w:t xml:space="preserve">Tolleranza ossea:</w:t>
      </w:r>
      <w:r>
        <w:t xml:space="preserve"> </w:t>
      </w:r>
      <w:r>
        <w:t xml:space="preserve">si chiede come si chiede un farmaco.</w:t>
      </w:r>
    </w:p>
    <w:p>
      <w:r>
        <w:pict>
          <v:rect style="width:0;height:1.5pt" o:hralign="center" o:hrstd="t" o:hr="t"/>
        </w:pict>
      </w:r>
    </w:p>
    <w:bookmarkEnd w:id="16"/>
    <w:bookmarkStart w:id="17" w:name="la-frase-per-il-paziente"/>
    <w:p>
      <w:pPr>
        <w:pStyle w:val="Heading2"/>
      </w:pPr>
      <w:r>
        <w:t xml:space="preserve">9 · La frase per il paziente</w:t>
      </w:r>
    </w:p>
    <w:p>
      <w:pPr>
        <w:pStyle w:val="FirstParagraph"/>
      </w:pPr>
      <w:r>
        <w:rPr>
          <w:i/>
          <w:iCs/>
        </w:rPr>
        <w:t xml:space="preserve">«Nove persone su dieci hanno una gamba un pochino più lunga dell’altra: la domanda giusta non è se lei ce l’ha, ma se nel suo caso quel pochino le sta costando qualcosa.»</w:t>
      </w:r>
    </w:p>
    <w:p>
      <w:pPr>
        <w:pStyle w:val="BodyText"/>
      </w:pPr>
      <w:r>
        <w:t xml:space="preserve">E prima che esca:</w:t>
      </w:r>
      <w:r>
        <w:t xml:space="preserve"> </w:t>
      </w:r>
      <w:r>
        <w:rPr>
          <w:i/>
          <w:iCs/>
        </w:rPr>
        <w:t xml:space="preserve">«Se perde il controllo di urine o feci, se le si addormenta la zona a contatto con la sella, o se una gamba le cede, non mi chiami: vada in pronto soccorso.»</w:t>
      </w:r>
    </w:p>
    <w:p>
      <w:r>
        <w:pict>
          <v:rect style="width:0;height:1.5pt" o:hralign="center" o:hrstd="t" o:hr="t"/>
        </w:pict>
      </w:r>
    </w:p>
    <w:bookmarkEnd w:id="17"/>
    <w:bookmarkStart w:id="18" w:name="perché-ci-sei-tu"/>
    <w:p>
      <w:pPr>
        <w:pStyle w:val="Heading2"/>
      </w:pPr>
      <w:r>
        <w:t xml:space="preserve">10 · Perché ci sei tu</w:t>
      </w:r>
    </w:p>
    <w:p>
      <w:pPr>
        <w:pStyle w:val="BlockText"/>
      </w:pPr>
      <w:r>
        <w:rPr>
          <w:b/>
          <w:bCs/>
        </w:rPr>
        <w:t xml:space="preserve">Perché ci sei tu.</w:t>
      </w:r>
      <w:r>
        <w:t xml:space="preserve"> </w:t>
      </w:r>
      <w:r>
        <w:t xml:space="preserve">L’intervento con le prove migliori è il rialzo, e su di esso esistono due prove randomizzate piccole. Nella più recente la correzione ha ridotto il dolore lombare di 2,6 punti su 10 in lavoratori che stanno in piedi (Rannisto, 2019, PMID 30871549). Sul trattamento manuale in persone con dismetria documentata</w:t>
      </w:r>
      <w:r>
        <w:t xml:space="preserve"> </w:t>
      </w:r>
      <w:r>
        <w:rPr>
          <w:b/>
          <w:bCs/>
        </w:rPr>
        <w:t xml:space="preserve">non esiste nessuno studio controllato</w:t>
      </w:r>
      <w:r>
        <w:t xml:space="preserve">: esiste un pilota su dodici persone, senza controllo, i cui autori dichiarano non valida la misura che hanno usato (Brandl, 2022, PMID 36258943). Questo ti autorizza a essere quello che misura l’escursione dei due lati, conta le ore in piedi, allena il carico e segnala al medico ciò che nessuno gli ha detto. Non ti autorizza a presentare la tua mano come la leva principale di questa condizione, né a dimenticare che quel dolore sarebbe sceso comunque, di circa 8 punti su 100 in sei settimane.</w:t>
      </w:r>
    </w:p>
    <w:p>
      <w:r>
        <w:pict>
          <v:rect style="width:0;height:1.5pt" o:hralign="center" o:hrstd="t" o:hr="t"/>
        </w:pict>
      </w:r>
    </w:p>
    <w:p>
      <w:pPr>
        <w:pStyle w:val="BlockText"/>
      </w:pPr>
      <w:r>
        <w:rPr>
          <w:b/>
          <w:bCs/>
        </w:rPr>
        <w:t xml:space="preserve">DIMOSTRATO</w:t>
      </w:r>
      <w:r>
        <w:t xml:space="preserve"> </w:t>
      </w:r>
      <w:r>
        <w:t xml:space="preserve">studi sull’uomo, solidi ·</w:t>
      </w:r>
      <w:r>
        <w:t xml:space="preserve"> </w:t>
      </w:r>
      <w:r>
        <w:rPr>
          <w:b/>
          <w:bCs/>
        </w:rPr>
        <w:t xml:space="preserve">PROBABILE</w:t>
      </w:r>
      <w:r>
        <w:t xml:space="preserve"> </w:t>
      </w:r>
      <w:r>
        <w:t xml:space="preserve">razionale forte, prove parziali ·</w:t>
      </w:r>
      <w:r>
        <w:t xml:space="preserve"> </w:t>
      </w:r>
      <w:r>
        <w:rPr>
          <w:b/>
          <w:bCs/>
        </w:rPr>
        <w:t xml:space="preserve">IPOTESI</w:t>
      </w:r>
      <w:r>
        <w:t xml:space="preserve"> </w:t>
      </w:r>
      <w:r>
        <w:t xml:space="preserve">meccanismo coerente, nessuno studio ·</w:t>
      </w:r>
      <w:r>
        <w:t xml:space="preserve"> </w:t>
      </w:r>
      <w:r>
        <w:rPr>
          <w:b/>
          <w:bCs/>
        </w:rPr>
        <w:t xml:space="preserve">RAGIONAMENTO</w:t>
      </w:r>
      <w:r>
        <w:t xml:space="preserve"> </w:t>
      </w:r>
      <w:r>
        <w:t xml:space="preserve">cornice clinica, non una prova</w:t>
      </w:r>
      <w:r>
        <w:t xml:space="preserve"> </w:t>
      </w:r>
      <w:r>
        <w:t xml:space="preserve">Le etichette sono testo fisso e non si flettono: si scrive</w:t>
      </w:r>
      <w:r>
        <w:t xml:space="preserve"> </w:t>
      </w:r>
      <w:r>
        <w:rPr>
          <w:i/>
          <w:iCs/>
        </w:rPr>
        <w:t xml:space="preserve">«DIMOSTRATO — l’associazione»</w:t>
      </w:r>
      <w:r>
        <w:t xml:space="preserve">, mai</w:t>
      </w:r>
      <w:r>
        <w:t xml:space="preserve"> </w:t>
      </w:r>
      <w:r>
        <w:rPr>
          <w:i/>
          <w:iCs/>
        </w:rPr>
        <w:t xml:space="preserve">«DIMOSTRATA l’associazione»</w:t>
      </w:r>
      <w:r>
        <w:t xml:space="preserv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Mobilitas — Direzione Osteopatica</dc:creator>
  <dc:language>it-IT</dc:language>
  <cp:keywords/>
  <dcterms:created xsi:type="dcterms:W3CDTF">2026-08-26T11:14:45Z</dcterms:created>
  <dcterms:modified xsi:type="dcterms:W3CDTF">2026-08-26T11:14:45Z</dcterms:modified>
</cp:coreProperties>
</file>

<file path=docProps/custom.xml><?xml version="1.0" encoding="utf-8"?>
<Properties xmlns="http://schemas.openxmlformats.org/officeDocument/2006/custom-properties" xmlns:vt="http://schemas.openxmlformats.org/officeDocument/2006/docPropsVTypes"/>
</file>