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7" w:name="mappa-concettuale-anteposizione-del-capo"/>
    <w:p>
      <w:pPr>
        <w:pStyle w:val="Heading1"/>
      </w:pPr>
      <w:r>
        <w:t xml:space="preserve">Mappa concettuale — Anteposizione del capo</w:t>
      </w:r>
    </w:p>
    <w:p>
      <w:pPr>
        <w:pStyle w:val="FirstParagraph"/>
      </w:pPr>
      <w:r>
        <w:rPr>
          <w:b/>
          <w:bCs/>
        </w:rPr>
        <w:t xml:space="preserve">Ancora clinica:</w:t>
      </w:r>
      <w:r>
        <w:t xml:space="preserve"> </w:t>
      </w:r>
      <w:r>
        <w:t xml:space="preserve">Gwendolen Jull, University of Queensland (il controllo motorio dei flessori cervicali profondi) ·</w:t>
      </w:r>
      <w:r>
        <w:t xml:space="preserve"> </w:t>
      </w:r>
      <w:r>
        <w:rPr>
          <w:b/>
          <w:bCs/>
        </w:rPr>
        <w:t xml:space="preserve">Ancora fisiologica:</w:t>
      </w:r>
      <w:r>
        <w:t xml:space="preserve"> </w:t>
      </w:r>
      <w:r>
        <w:t xml:space="preserve">Anita Vasavada, Washington State University (la domanda meccanica del sistema testa-collo, calcolata su misure individuali) ·</w:t>
      </w:r>
      <w:r>
        <w:t xml:space="preserve"> </w:t>
      </w:r>
      <w:r>
        <w:rPr>
          <w:b/>
          <w:bCs/>
        </w:rPr>
        <w:t xml:space="preserve">v7 finale · 27 agosto 2026</w:t>
      </w:r>
    </w:p>
    <w:p>
      <w:r>
        <w:pict>
          <v:rect style="width:0;height:1.5pt" o:hralign="center" o:hrstd="t" o:hr="t"/>
        </w:pict>
      </w:r>
    </w:p>
    <w:bookmarkStart w:id="9" w:name="la-condizione-in-tre-righe"/>
    <w:p>
      <w:pPr>
        <w:pStyle w:val="Heading2"/>
      </w:pPr>
      <w:r>
        <w:t xml:space="preserve">1. La condizione in tre righe</w:t>
      </w:r>
    </w:p>
    <w:p>
      <w:pPr>
        <w:pStyle w:val="FirstParagraph"/>
      </w:pPr>
      <w:r>
        <w:t xml:space="preserve">La testa sta davanti alla verticale del tronco invece che sopra le spalle. Si misura come angolo cranio-vertebrale su una foto di profilo, e sotto i 48-50 gradi si parla di anteposizione. È una convenzione di misura, non una diagnosi: con quella soglia l’uomo adulto medio risulta anteposto per definizione. Sulla posizione nessuno ha pubblicato un decorso. Sul sintomo sì: fra metà e tre quarti di chi ha dolore cervicale oggi ne riferisce ancora a 1-5 anni, quindi</w:t>
      </w:r>
      <w:r>
        <w:t xml:space="preserve"> </w:t>
      </w:r>
      <w:r>
        <w:rPr>
          <w:b/>
          <w:bCs/>
        </w:rPr>
        <w:t xml:space="preserve">fra un quarto e la metà guarisce da solo</w:t>
      </w:r>
      <w:r>
        <w:t xml:space="preserve">.</w:t>
      </w:r>
    </w:p>
    <w:bookmarkEnd w:id="9"/>
    <w:bookmarkStart w:id="10" w:name="i-cinque-meccanismi-in-parallelo"/>
    <w:p>
      <w:pPr>
        <w:pStyle w:val="Heading2"/>
      </w:pPr>
      <w:r>
        <w:t xml:space="preserve">2-3. I cinque meccanismi, in parallelo</w:t>
      </w:r>
    </w:p>
    <w:p>
      <w:pPr>
        <w:pStyle w:val="FirstParagraph"/>
      </w:pPr>
      <w:r>
        <w:t xml:space="preserve">Non è una catena unica: sono</w:t>
      </w:r>
      <w:r>
        <w:t xml:space="preserve"> </w:t>
      </w:r>
      <w:r>
        <w:rPr>
          <w:b/>
          <w:bCs/>
        </w:rPr>
        <w:t xml:space="preserve">cinque cose separate</w:t>
      </w:r>
      <w:r>
        <w:t xml:space="preserve">. La posizione della testa non è nessuna delle cinque: è ciò che si vede quando una è in corso.</w:t>
      </w:r>
      <w:r>
        <w:t xml:space="preserve"> </w:t>
      </w:r>
      <w:r>
        <w:rPr>
          <w:b/>
          <w:bCs/>
        </w:rPr>
        <w:t xml:space="preserve">Il nesso «carico posturale → sintomo di questo paziente» non è misurato in nessuno dei cinque.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Meccanismo</w:t>
            </w:r>
          </w:p>
        </w:tc>
        <w:tc>
          <w:tcPr/>
          <w:p>
            <w:pPr>
              <w:pStyle w:val="Compact"/>
            </w:pPr>
            <w:r>
              <w:t xml:space="preserve">Che cosa succede</w:t>
            </w:r>
          </w:p>
        </w:tc>
        <w:tc>
          <w:tcPr/>
          <w:p>
            <w:pPr>
              <w:pStyle w:val="Compact"/>
            </w:pPr>
            <w:r>
              <w:t xml:space="preserve">Come lo riconosci</w:t>
            </w:r>
          </w:p>
        </w:tc>
        <w:tc>
          <w:tcPr/>
          <w:p>
            <w:pPr>
              <w:pStyle w:val="Compact"/>
            </w:pPr>
            <w:r>
              <w:t xml:space="preserve">Solidità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Il conto della leva</w:t>
            </w:r>
          </w:p>
        </w:tc>
        <w:tc>
          <w:tcPr/>
          <w:p>
            <w:pPr>
              <w:pStyle w:val="Compact"/>
            </w:pPr>
            <w:r>
              <w:t xml:space="preserve">Braccio di leva più lungo → domanda gravitazionale 3-5× la neutra, tutto il giorno</w:t>
            </w:r>
          </w:p>
        </w:tc>
        <w:tc>
          <w:tcPr/>
          <w:p>
            <w:pPr>
              <w:pStyle w:val="Compact"/>
            </w:pPr>
            <w:r>
              <w:t xml:space="preserve">Peso serale, mattino pulito</w:t>
            </w:r>
          </w:p>
        </w:tc>
        <w:tc>
          <w:tcPr/>
          <w:p>
            <w:pPr>
              <w:pStyle w:val="Compact"/>
            </w:pPr>
            <w:r>
              <w:t xml:space="preserve">PROBABILE / IPOTESI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Il dorso che si chiude</w:t>
            </w:r>
          </w:p>
        </w:tc>
        <w:tc>
          <w:tcPr/>
          <w:p>
            <w:pPr>
              <w:pStyle w:val="Compact"/>
            </w:pPr>
            <w:r>
              <w:t xml:space="preserve">Torace che perde escursione → base inclinata → cervicale alta in estensione per tenere lo sguardo</w:t>
            </w:r>
          </w:p>
        </w:tc>
        <w:tc>
          <w:tcPr/>
          <w:p>
            <w:pPr>
              <w:pStyle w:val="Compact"/>
            </w:pPr>
            <w:r>
              <w:t xml:space="preserve">Autocorrezione ferma su blocco duro</w:t>
            </w:r>
          </w:p>
        </w:tc>
        <w:tc>
          <w:tcPr/>
          <w:p>
            <w:pPr>
              <w:pStyle w:val="Compact"/>
            </w:pPr>
            <w:r>
              <w:t xml:space="preserve">PROBABILE / IPOTESI sulla posizione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Il cambio di turno</w:t>
            </w:r>
          </w:p>
        </w:tc>
        <w:tc>
          <w:tcPr/>
          <w:p>
            <w:pPr>
              <w:pStyle w:val="Compact"/>
            </w:pPr>
            <w:r>
              <w:t xml:space="preserve">I profondi mollano, sternocleidomastoideo e scaleni prendono il posto</w:t>
            </w:r>
          </w:p>
        </w:tc>
        <w:tc>
          <w:tcPr/>
          <w:p>
            <w:pPr>
              <w:pStyle w:val="Compact"/>
            </w:pPr>
            <w:r>
              <w:t xml:space="preserve">Mento scatta al test cranio-cervicale</w:t>
            </w:r>
          </w:p>
        </w:tc>
        <w:tc>
          <w:tcPr/>
          <w:p>
            <w:pPr>
              <w:pStyle w:val="Compact"/>
            </w:pPr>
            <w:r>
              <w:t xml:space="preserve">DIMOSTRATO / IPOTESI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4a. Cerniera alta, dolore</w:t>
            </w:r>
          </w:p>
        </w:tc>
        <w:tc>
          <w:tcPr/>
          <w:p>
            <w:pPr>
              <w:pStyle w:val="Compact"/>
            </w:pPr>
            <w:r>
              <w:t xml:space="preserve">C1-C3 → complesso trigemino-cervicale → dolore sentito in testa</w:t>
            </w:r>
          </w:p>
        </w:tc>
        <w:tc>
          <w:tcPr/>
          <w:p>
            <w:pPr>
              <w:pStyle w:val="Compact"/>
            </w:pPr>
            <w:r>
              <w:t xml:space="preserve">Cefalea che sale dalla nuca</w:t>
            </w:r>
          </w:p>
        </w:tc>
        <w:tc>
          <w:tcPr/>
          <w:p>
            <w:pPr>
              <w:pStyle w:val="Compact"/>
            </w:pPr>
            <w:r>
              <w:t xml:space="preserve">DIMOSTRATO / IPOTESI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4b. Cerniera alta, posizione</w:t>
            </w:r>
          </w:p>
        </w:tc>
        <w:tc>
          <w:tcPr/>
          <w:p>
            <w:pPr>
              <w:pStyle w:val="Compact"/>
            </w:pPr>
            <w:r>
              <w:t xml:space="preserve">Sotto-occipitali → nuclei vestibolari → segnale storto</w:t>
            </w:r>
          </w:p>
        </w:tc>
        <w:tc>
          <w:tcPr/>
          <w:p>
            <w:pPr>
              <w:pStyle w:val="Compact"/>
            </w:pPr>
            <w:r>
              <w:t xml:space="preserve">Ovattamento, instabilità</w:t>
            </w:r>
          </w:p>
        </w:tc>
        <w:tc>
          <w:tcPr/>
          <w:p>
            <w:pPr>
              <w:pStyle w:val="Compact"/>
            </w:pPr>
            <w:r>
              <w:t xml:space="preserve">PROBABILE / IPOTESI</w:t>
            </w:r>
            <w:r>
              <w:t xml:space="preserve"> </w:t>
            </w:r>
            <w:r>
              <w:rPr>
                <w:i/>
                <w:iCs/>
              </w:rPr>
              <w:t xml:space="preserve">prove contrarie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La soglia che si abbassa</w:t>
            </w:r>
          </w:p>
        </w:tc>
        <w:tc>
          <w:tcPr/>
          <w:p>
            <w:pPr>
              <w:pStyle w:val="Compact"/>
            </w:pPr>
            <w:r>
              <w:t xml:space="preserve">Modulazione centrale del dolore alterata (dolore nociplastico), non arousal autonomico</w:t>
            </w:r>
          </w:p>
        </w:tc>
        <w:tc>
          <w:tcPr/>
          <w:p>
            <w:pPr>
              <w:pStyle w:val="Compact"/>
            </w:pPr>
            <w:r>
              <w:t xml:space="preserve">Almeno un test al letto positivo</w:t>
            </w:r>
          </w:p>
        </w:tc>
        <w:tc>
          <w:tcPr/>
          <w:p>
            <w:pPr>
              <w:pStyle w:val="Compact"/>
            </w:pPr>
            <w:r>
              <w:t xml:space="preserve">DIMOSTRATO / PROBABILE</w:t>
            </w:r>
          </w:p>
        </w:tc>
      </w:tr>
    </w:tbl>
    <w:p>
      <w:pPr>
        <w:pStyle w:val="BodyText"/>
      </w:pPr>
      <w:r>
        <w:rPr>
          <w:b/>
          <w:bCs/>
        </w:rPr>
        <w:t xml:space="preserve">Lo sguardo è il vincolo, la testa è la variabile:</w:t>
      </w:r>
      <w:r>
        <w:t xml:space="preserve"> </w:t>
      </w:r>
      <w:r>
        <w:t xml:space="preserve">lenti progressive e schermo basso battono qualunque mano. L’etichetta si spezza dove i pezzi hanno forza diversa: alta sul reperto misurato, bassa sul nesso causale in questo paziente.</w:t>
      </w:r>
    </w:p>
    <w:bookmarkEnd w:id="10"/>
    <w:bookmarkStart w:id="11" w:name="i-sottotipi-e-chi-comanda"/>
    <w:p>
      <w:pPr>
        <w:pStyle w:val="Heading2"/>
      </w:pPr>
      <w:r>
        <w:t xml:space="preserve">4. I sottotipi e chi comanda</w:t>
      </w:r>
    </w:p>
    <w:p>
      <w:pPr>
        <w:pStyle w:val="FirstParagraph"/>
      </w:pPr>
      <w:r>
        <w:rPr>
          <w:b/>
          <w:bCs/>
        </w:rPr>
        <w:t xml:space="preserve">L’autocorrezione, che li separa.</w:t>
      </w:r>
      <w:r>
        <w:t xml:space="preserve"> </w:t>
      </w:r>
      <w:r>
        <w:t xml:space="preserve">Paziente seduto, sguardo all’orizzonte:</w:t>
      </w:r>
      <w:r>
        <w:t xml:space="preserve"> </w:t>
      </w:r>
      <w:r>
        <w:rPr>
          <w:i/>
          <w:iCs/>
        </w:rPr>
        <w:t xml:space="preserve">«allungati verso l’alto e porta le orecchie sopra le spalle»</w:t>
      </w:r>
      <w:r>
        <w:t xml:space="preserve">. Non è il chin-tuck. Guardi fin dove arriva e cosa lo ferma.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Sottotipo</w:t>
            </w:r>
          </w:p>
        </w:tc>
        <w:tc>
          <w:tcPr/>
          <w:p>
            <w:pPr>
              <w:pStyle w:val="Compact"/>
            </w:pPr>
            <w:r>
              <w:t xml:space="preserve">Segnale che lo riconosce</w:t>
            </w:r>
          </w:p>
        </w:tc>
        <w:tc>
          <w:tcPr/>
          <w:p>
            <w:pPr>
              <w:pStyle w:val="Compact"/>
            </w:pPr>
            <w:r>
              <w:t xml:space="preserve">Quanto puoi fare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 ipomobilità dorsale</w:t>
            </w:r>
          </w:p>
        </w:tc>
        <w:tc>
          <w:tcPr/>
          <w:p>
            <w:pPr>
              <w:pStyle w:val="Compact"/>
            </w:pPr>
            <w:r>
              <w:t xml:space="preserve">Si ferma su blocco duro; busto rigido a destra e sinistra</w:t>
            </w:r>
          </w:p>
        </w:tc>
        <w:tc>
          <w:tcPr/>
          <w:p>
            <w:pPr>
              <w:pStyle w:val="Compact"/>
            </w:pPr>
            <w:r>
              <w:t xml:space="preserve">Molto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 cerniera alta</w:t>
            </w:r>
          </w:p>
        </w:tc>
        <w:tc>
          <w:tcPr/>
          <w:p>
            <w:pPr>
              <w:pStyle w:val="Compact"/>
            </w:pPr>
            <w:r>
              <w:t xml:space="preserve">Flessione-rotazione sotto 30°, dolorabilità sotto l’occipite</w:t>
            </w:r>
          </w:p>
        </w:tc>
        <w:tc>
          <w:tcPr/>
          <w:p>
            <w:pPr>
              <w:pStyle w:val="Compact"/>
            </w:pPr>
            <w:r>
              <w:t xml:space="preserve">Molto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 deficit di controllo profondo</w:t>
            </w:r>
          </w:p>
        </w:tc>
        <w:tc>
          <w:tcPr/>
          <w:p>
            <w:pPr>
              <w:pStyle w:val="Compact"/>
            </w:pPr>
            <w:r>
              <w:t xml:space="preserve">Mento scatta già al</w:t>
            </w:r>
            <w:r>
              <w:t xml:space="preserve"> </w:t>
            </w:r>
            <w:r>
              <w:rPr>
                <w:b/>
                <w:bCs/>
              </w:rPr>
              <w:t xml:space="preserve">primo</w:t>
            </w:r>
            <w:r>
              <w:t xml:space="preserve"> </w:t>
            </w:r>
            <w:r>
              <w:t xml:space="preserve">livello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 carico prolungato allo schermo</w:t>
            </w:r>
          </w:p>
        </w:tc>
        <w:tc>
          <w:tcPr/>
          <w:p>
            <w:pPr>
              <w:pStyle w:val="Compact"/>
            </w:pPr>
            <w:r>
              <w:t xml:space="preserve">Cede solo ai livelli alti; decide la giornata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Sensibilizzato</w:t>
            </w:r>
          </w:p>
        </w:tc>
        <w:tc>
          <w:tcPr/>
          <w:p>
            <w:pPr>
              <w:pStyle w:val="Compact"/>
            </w:pPr>
            <w:r>
              <w:t xml:space="preserve">Almeno un test al letto positivo</w:t>
            </w:r>
          </w:p>
        </w:tc>
        <w:tc>
          <w:tcPr/>
          <w:p>
            <w:pPr>
              <w:pStyle w:val="Compact"/>
            </w:pPr>
            <w:r>
              <w:t xml:space="preserve">Abbastanza, altro bersaglio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 cifosi strutturata dell’anziano</w:t>
            </w:r>
          </w:p>
        </w:tc>
        <w:tc>
          <w:tcPr/>
          <w:p>
            <w:pPr>
              <w:pStyle w:val="Compact"/>
            </w:pPr>
            <w:r>
              <w:t xml:space="preserve">Statura persa, curva non riducibile</w:t>
            </w:r>
          </w:p>
        </w:tc>
        <w:tc>
          <w:tcPr/>
          <w:p>
            <w:pPr>
              <w:pStyle w:val="Compact"/>
            </w:pPr>
            <w:r>
              <w:t xml:space="preserve">Poco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Cancello: segni neurologici progressivi</w:t>
            </w:r>
          </w:p>
        </w:tc>
        <w:tc>
          <w:tcPr/>
          <w:p>
            <w:pPr>
              <w:pStyle w:val="Compact"/>
            </w:pPr>
            <w:r>
              <w:t xml:space="preserve">Mani goffe, andatura incerta</w:t>
            </w:r>
          </w:p>
        </w:tc>
        <w:tc>
          <w:tcPr/>
          <w:p>
            <w:pPr>
              <w:pStyle w:val="Compact"/>
            </w:pPr>
            <w:r>
              <w:t xml:space="preserve">Niente, invio</w:t>
            </w:r>
          </w:p>
        </w:tc>
      </w:tr>
    </w:tbl>
    <w:p>
      <w:pPr>
        <w:pStyle w:val="BodyText"/>
      </w:pPr>
      <w:r>
        <w:rPr>
          <w:b/>
          <w:bCs/>
        </w:rPr>
        <w:t xml:space="preserve">Le due ipotesi di riserva quando non risponde.</w:t>
      </w:r>
      <w:r>
        <w:t xml:space="preserve"> </w:t>
      </w:r>
      <w:r>
        <w:t xml:space="preserve">Il</w:t>
      </w:r>
      <w:r>
        <w:t xml:space="preserve"> </w:t>
      </w:r>
      <w:r>
        <w:rPr>
          <w:b/>
          <w:bCs/>
        </w:rPr>
        <w:t xml:space="preserve">vincolato davanti</w:t>
      </w:r>
      <w:r>
        <w:t xml:space="preserve">: apre la bocca per estendere il collo; e se respira con la bocca, la testa avanti compra via aerea — nelle apnee ostruttive l’estensione cranio-cervicale si accompagna a diametri faringei più larghi → ORL. Il</w:t>
      </w:r>
      <w:r>
        <w:t xml:space="preserve"> </w:t>
      </w:r>
      <w:r>
        <w:rPr>
          <w:b/>
          <w:bCs/>
        </w:rPr>
        <w:t xml:space="preserve">non contenuto</w:t>
      </w:r>
      <w:r>
        <w:t xml:space="preserve">: escursione sopra la norma, e aprirlo lo peggiora.</w:t>
      </w:r>
    </w:p>
    <w:bookmarkEnd w:id="11"/>
    <w:bookmarkStart w:id="12" w:name="X50e318bfd0dedaed46c90ed6b5b328eaa0ba5d4"/>
    <w:p>
      <w:pPr>
        <w:pStyle w:val="Heading2"/>
      </w:pPr>
      <w:r>
        <w:t xml:space="preserve">5. Cosa fa il paziente da solo — tre strumenti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Riallenamento dei flessori profondi + cingolo scapolo-toracico</w:t>
      </w:r>
      <w:r>
        <w:t xml:space="preserve"> </w:t>
      </w:r>
      <w:r>
        <w:t xml:space="preserve">— la leva meglio documentata. 7 RCT e 627 partecipanti, e una meta-analisi più recente su 10 RCT e 550 partecipanti (angolo +3,38°, IC 2,10-4,65; dolore −1,42;</w:t>
      </w:r>
      <w:r>
        <w:t xml:space="preserve"> </w:t>
      </w:r>
      <w:r>
        <w:rPr>
          <w:b/>
          <w:bCs/>
        </w:rPr>
        <w:t xml:space="preserve">certezza da bassa a moderata</w:t>
      </w:r>
      <w:r>
        <w:t xml:space="preserve">, e il guadagno sull’angolo è di poco sopra l’errore dello strumento). Sul dolore cervicale ci sono prove di qualità moderata (SMD −0,71, IC −1,33/−0,10),</w:t>
      </w:r>
      <w:r>
        <w:t xml:space="preserve"> </w:t>
      </w:r>
      <w:r>
        <w:rPr>
          <w:b/>
          <w:bCs/>
        </w:rPr>
        <w:t xml:space="preserve">ma gli autori dichiarano di non aver trovato prove di qualità alta</w:t>
      </w:r>
      <w:r>
        <w:t xml:space="preserve">. Aggancia il terzo meccanismo, in parte il secondo, e il</w:t>
      </w:r>
      <w:r>
        <w:t xml:space="preserve"> </w:t>
      </w:r>
      <w:r>
        <w:rPr>
          <w:b/>
          <w:bCs/>
        </w:rPr>
        <w:t xml:space="preserve">ramo propriocettivo del quarto</w:t>
      </w:r>
      <w:r>
        <w:t xml:space="preserve">: il riposizionamento è migliorato con quattro settimane di riallenamento propriocettivo. Allena la coordinazione più della forza, e la dissociazione è misurata: il lavoro a basso carico accende i profondi e spegne i superficiali,</w:t>
      </w:r>
      <w:r>
        <w:t xml:space="preserve"> </w:t>
      </w:r>
      <w:r>
        <w:rPr>
          <w:b/>
          <w:bCs/>
        </w:rPr>
        <w:t xml:space="preserve">il rinforzo dei flessori del collo non cambia i profondi</w:t>
      </w:r>
      <w:r>
        <w:t xml:space="preserve">.</w:t>
      </w:r>
      <w:r>
        <w:t xml:space="preserve"> </w:t>
      </w:r>
      <w:r>
        <w:rPr>
          <w:b/>
          <w:bCs/>
        </w:rPr>
        <w:t xml:space="preserve">PROBABILE.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Il respiro allenato</w:t>
      </w:r>
      <w:r>
        <w:t xml:space="preserve"> </w:t>
      </w:r>
      <w:r>
        <w:t xml:space="preserve">— 5 RCT e 204 pazienti selezionati per dolore cervicale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anteposizione: effetto moderato sull’angolo, limitato sul dolore,</w:t>
      </w:r>
      <w:r>
        <w:t xml:space="preserve"> </w:t>
      </w:r>
      <w:r>
        <w:rPr>
          <w:b/>
          <w:bCs/>
        </w:rPr>
        <w:t xml:space="preserve">certezza GRADE molto bassa</w:t>
      </w:r>
      <w:r>
        <w:t xml:space="preserve">.</w:t>
      </w:r>
      <w:r>
        <w:t xml:space="preserve"> </w:t>
      </w:r>
      <w:r>
        <w:rPr>
          <w:b/>
          <w:bCs/>
        </w:rPr>
        <w:t xml:space="preserve">PROBABILE.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 spiegazione</w:t>
      </w:r>
      <w:r>
        <w:t xml:space="preserve"> </w:t>
      </w:r>
      <w:r>
        <w:t xml:space="preserve">— sul quinto meccanismo è la leva</w:t>
      </w:r>
      <w:r>
        <w:t xml:space="preserve"> </w:t>
      </w:r>
      <w:r>
        <w:rPr>
          <w:b/>
          <w:bCs/>
        </w:rPr>
        <w:t xml:space="preserve">con la misura</w:t>
      </w:r>
      <w:r>
        <w:t xml:space="preserve">, mentre la quota manuale è IPOTESI</w:t>
      </w:r>
      <w:r>
        <w:t xml:space="preserve"> </w:t>
      </w:r>
      <w:r>
        <w:rPr>
          <w:i/>
          <w:iCs/>
        </w:rPr>
        <w:t xml:space="preserve">(prove contrarie)</w:t>
      </w:r>
      <w:r>
        <w:t xml:space="preserve">. 7 RCT e 479 pazienti: dolore e cinesiofobia giù, eterogeneità 89% e intervallo che sfiora lo zero. È misurata negli adulti,</w:t>
      </w:r>
      <w:r>
        <w:t xml:space="preserve"> </w:t>
      </w:r>
      <w:r>
        <w:rPr>
          <w:b/>
          <w:bCs/>
        </w:rPr>
        <w:t xml:space="preserve">non negli adolescenti</w:t>
      </w:r>
      <w:r>
        <w:t xml:space="preserve">, e nessuno ha seguito i pazienti dopo la fine dell’intervento. La quota comportamentale ha</w:t>
      </w:r>
      <w:r>
        <w:t xml:space="preserve"> </w:t>
      </w:r>
      <w:r>
        <w:rPr>
          <w:b/>
          <w:bCs/>
        </w:rPr>
        <w:t xml:space="preserve">due metà</w:t>
      </w:r>
      <w:r>
        <w:t xml:space="preserve">: questa ha la misura, l’</w:t>
      </w:r>
      <w:r>
        <w:rPr>
          <w:b/>
          <w:bCs/>
        </w:rPr>
        <w:t xml:space="preserve">esposizione graduata</w:t>
      </w:r>
      <w:r>
        <w:t xml:space="preserve"> </w:t>
      </w:r>
      <w:r>
        <w:t xml:space="preserve">no — vive nel cancello della parte attiva e nel quinto meccanismo.</w:t>
      </w:r>
      <w:r>
        <w:t xml:space="preserve"> </w:t>
      </w:r>
      <w:r>
        <w:rPr>
          <w:b/>
          <w:bCs/>
        </w:rPr>
        <w:t xml:space="preserve">PROBABILE.</w:t>
      </w:r>
    </w:p>
    <w:p>
      <w:pPr>
        <w:pStyle w:val="FirstParagraph"/>
      </w:pPr>
      <w:r>
        <w:t xml:space="preserve">Non toglie il carico della giornata: allena chi lo regge, e non funziona se cervicale alta e torace sono rigidi.</w:t>
      </w:r>
      <w:r>
        <w:t xml:space="preserve"> </w:t>
      </w:r>
      <w:r>
        <w:rPr>
          <w:b/>
          <w:bCs/>
        </w:rPr>
        <w:t xml:space="preserve">L’aderenza dipende da te:</w:t>
      </w:r>
      <w:r>
        <w:t xml:space="preserve"> </w:t>
      </w:r>
      <w:r>
        <w:t xml:space="preserve">i predittori misurati sono chiarire i dubbi e supervisionare l’apprendimento.</w:t>
      </w:r>
    </w:p>
    <w:bookmarkEnd w:id="12"/>
    <w:bookmarkStart w:id="13" w:name="le-bandiere-rosse"/>
    <w:p>
      <w:pPr>
        <w:pStyle w:val="Heading2"/>
      </w:pPr>
      <w:r>
        <w:t xml:space="preserve">6. Le bandiere rosse</w:t>
      </w:r>
    </w:p>
    <w:p>
      <w:pPr>
        <w:pStyle w:val="FirstParagraph"/>
      </w:pPr>
      <w:r>
        <w:rPr>
          <w:b/>
          <w:bCs/>
        </w:rPr>
        <w:t xml:space="preserve">→ 112:</w:t>
      </w:r>
      <w:r>
        <w:t xml:space="preserve"> </w:t>
      </w:r>
      <w:r>
        <w:t xml:space="preserve">cefalea a rombo di tuono · cefalea nuova con deficit neurologico · febbre alta con rigidità nucale · dolore «diverso da qualunque altro», con palpebra che cade o pupilla più piccola da un lato · visione doppia, difficoltà a parlare o a deglutire, svenimento col movimento del capo.</w:t>
      </w:r>
      <w:r>
        <w:t xml:space="preserve"> </w:t>
      </w:r>
      <w:r>
        <w:rPr>
          <w:b/>
          <w:bCs/>
        </w:rPr>
        <w:t xml:space="preserve">→ Invio, non attendere:</w:t>
      </w:r>
      <w:r>
        <w:t xml:space="preserve"> </w:t>
      </w:r>
      <w:r>
        <w:t xml:space="preserve">mani goffe e andatura incerta in mesi (neurochirurgia) · dolore continuo, progressivo, notturno o calo ponderale inspiegato (curante) · analgesici ≥15 giorni/mese, ≥10 se triptani o oppioidi, da oltre 3 mesi</w:t>
      </w:r>
      <w:r>
        <w:t xml:space="preserve"> </w:t>
      </w:r>
      <w:r>
        <w:rPr>
          <w:i/>
          <w:iCs/>
        </w:rPr>
        <w:t xml:space="preserve">(GIALLO prioritario)</w:t>
      </w:r>
      <w:r>
        <w:t xml:space="preserve">.</w:t>
      </w:r>
      <w:r>
        <w:t xml:space="preserve"> </w:t>
      </w:r>
      <w:r>
        <w:rPr>
          <w:b/>
          <w:bCs/>
        </w:rPr>
        <w:t xml:space="preserve">→ In giornata:</w:t>
      </w:r>
      <w:r>
        <w:t xml:space="preserve"> </w:t>
      </w:r>
      <w:r>
        <w:t xml:space="preserve">cefalea nuova</w:t>
      </w:r>
      <w:r>
        <w:t xml:space="preserve"> </w:t>
      </w:r>
      <w:r>
        <w:rPr>
          <w:b/>
          <w:bCs/>
        </w:rPr>
        <w:t xml:space="preserve">dopo i 50 anni</w:t>
      </w:r>
      <w:r>
        <w:t xml:space="preserve"> </w:t>
      </w:r>
      <w:r>
        <w:t xml:space="preserve">con dolore che compare masticando o annebbiamento visivo —</w:t>
      </w:r>
      <w:r>
        <w:t xml:space="preserve"> </w:t>
      </w:r>
      <w:r>
        <w:rPr>
          <w:i/>
          <w:iCs/>
        </w:rPr>
        <w:t xml:space="preserve">con disturbo visivo, pronto soccorso subito</w:t>
      </w:r>
      <w:r>
        <w:t xml:space="preserve"> </w:t>
      </w:r>
      <w:r>
        <w:t xml:space="preserve">· dolore notturno ingravescente in diabetico, immunodepresso, dializzato o dopo infezione recente,</w:t>
      </w:r>
      <w:r>
        <w:t xml:space="preserve"> </w:t>
      </w:r>
      <w:r>
        <w:rPr>
          <w:b/>
          <w:bCs/>
        </w:rPr>
        <w:t xml:space="preserve">anche senza febbre</w:t>
      </w:r>
      <w:r>
        <w:t xml:space="preserve">.</w:t>
      </w:r>
      <w:r>
        <w:t xml:space="preserve"> </w:t>
      </w:r>
      <w:r>
        <w:rPr>
          <w:b/>
          <w:bCs/>
        </w:rPr>
        <w:t xml:space="preserve">→ Urgente:</w:t>
      </w:r>
      <w:r>
        <w:t xml:space="preserve"> </w:t>
      </w:r>
      <w:r>
        <w:t xml:space="preserve">trauma cervicale recente (regola cervicale canadese).</w:t>
      </w:r>
      <w:r>
        <w:t xml:space="preserve"> </w:t>
      </w:r>
      <w:r>
        <w:rPr>
          <w:b/>
          <w:bCs/>
        </w:rPr>
        <w:t xml:space="preserve">→ Invio programmato, GIALLO prioritario:</w:t>
      </w:r>
      <w:r>
        <w:t xml:space="preserve"> </w:t>
      </w:r>
      <w:r>
        <w:t xml:space="preserve">artropatia infiammatoria, sindrome di Down o chirurgia craniocervicale pregressa (con imaging) · osso fragile noto con quadro stabile.</w:t>
      </w:r>
    </w:p>
    <w:p>
      <w:pPr>
        <w:pStyle w:val="BodyText"/>
      </w:pPr>
      <w:r>
        <w:t xml:space="preserve">Rete, non filtro: su 29 linee guida l’accordo mediano su quali bandiere usare è zero. Una riga presente ti ferma, tutte assenti non escludono niente.</w:t>
      </w:r>
    </w:p>
    <w:bookmarkEnd w:id="13"/>
    <w:bookmarkStart w:id="14" w:name="la-sicurezza-del-gesto-in-quattro-righe"/>
    <w:p>
      <w:pPr>
        <w:pStyle w:val="Heading2"/>
      </w:pPr>
      <w:r>
        <w:t xml:space="preserve">7. La sicurezza del gesto, in quattro righe</w:t>
      </w:r>
    </w:p>
    <w:p>
      <w:pPr>
        <w:pStyle w:val="FirstParagraph"/>
      </w:pPr>
      <w:r>
        <w:rPr>
          <w:b/>
          <w:bCs/>
        </w:rPr>
        <w:t xml:space="preserve">Rachide dorsale:</w:t>
      </w:r>
      <w:r>
        <w:t xml:space="preserve"> </w:t>
      </w:r>
      <w:r>
        <w:t xml:space="preserve">pneumotorace, fratture costali, rotture esofagee e aortiche e</w:t>
      </w:r>
      <w:r>
        <w:t xml:space="preserve"> </w:t>
      </w:r>
      <w:r>
        <w:rPr>
          <w:b/>
          <w:bCs/>
        </w:rPr>
        <w:t xml:space="preserve">lesioni midollari — l’evento grave più frequente nelle serie di casi</w:t>
      </w:r>
      <w:r>
        <w:t xml:space="preserve">, 13 su 21 con 4 decessi. L’incidenza non è stimabile. L’unico dato con denominatore (960.140 sedute, 2 eventi gravi) dice che entrambi erano</w:t>
      </w:r>
      <w:r>
        <w:t xml:space="preserve"> </w:t>
      </w:r>
      <w:r>
        <w:rPr>
          <w:b/>
          <w:bCs/>
        </w:rPr>
        <w:t xml:space="preserve">fratture costali in donne oltre i 60 anni con osteoporosi</w:t>
      </w:r>
      <w:r>
        <w:t xml:space="preserve">: non è una rassicurazione, è un profilo. Il rischio è della</w:t>
      </w:r>
      <w:r>
        <w:t xml:space="preserve"> </w:t>
      </w:r>
      <w:r>
        <w:rPr>
          <w:b/>
          <w:bCs/>
        </w:rPr>
        <w:t xml:space="preserve">forza di picco</w:t>
      </w:r>
      <w:r>
        <w:t xml:space="preserve">, non della zona.</w:t>
      </w:r>
      <w:r>
        <w:t xml:space="preserve"> </w:t>
      </w:r>
      <w:r>
        <w:rPr>
          <w:b/>
          <w:bCs/>
        </w:rPr>
        <w:t xml:space="preserve">Collo alto, filtro vascolare:</w:t>
      </w:r>
      <w:r>
        <w:t xml:space="preserve"> </w:t>
      </w:r>
      <w:r>
        <w:t xml:space="preserve">227 casi dopo manipolazione</w:t>
      </w:r>
      <w:r>
        <w:t xml:space="preserve"> </w:t>
      </w:r>
      <w:r>
        <w:rPr>
          <w:b/>
          <w:bCs/>
        </w:rPr>
        <w:t xml:space="preserve">o mobilizzazione</w:t>
      </w:r>
      <w:r>
        <w:t xml:space="preserve">, dissecazione nel 57%, età media 39 anni nelle donne. E</w:t>
      </w:r>
      <w:r>
        <w:t xml:space="preserve"> </w:t>
      </w:r>
      <w:r>
        <w:rPr>
          <w:b/>
          <w:bCs/>
        </w:rPr>
        <w:t xml:space="preserve">i test pre-manipolativi non identificano chi è a rischio</w:t>
      </w:r>
      <w:r>
        <w:t xml:space="preserve">: la selezione è anamnestica.</w:t>
      </w:r>
      <w:r>
        <w:t xml:space="preserve"> </w:t>
      </w:r>
      <w:r>
        <w:rPr>
          <w:b/>
          <w:bCs/>
        </w:rPr>
        <w:t xml:space="preserve">Collo alto, filtro legamentoso:</w:t>
      </w:r>
      <w:r>
        <w:t xml:space="preserve"> </w:t>
      </w:r>
      <w:r>
        <w:t xml:space="preserve">in artropatia infiammatoria, sindrome di Down o chirurgia craniocervicale pregressa l’instabilità atlanto-assiale è frequente e spesso muta.</w:t>
      </w:r>
      <w:r>
        <w:t xml:space="preserve"> </w:t>
      </w:r>
      <w:r>
        <w:rPr>
          <w:b/>
          <w:bCs/>
        </w:rPr>
        <w:t xml:space="preserve">Finché il canale medico non risponde, la cervicale alta non si porta a fine corsa — né come tecnica né come test di flessione-rotazione.</w:t>
      </w:r>
      <w:r>
        <w:t xml:space="preserve"> </w:t>
      </w:r>
      <w:r>
        <w:rPr>
          <w:b/>
          <w:bCs/>
        </w:rPr>
        <w:t xml:space="preserve">Osso fragile noto o sospetto:</w:t>
      </w:r>
      <w:r>
        <w:t xml:space="preserve"> </w:t>
      </w:r>
      <w:r>
        <w:t xml:space="preserve">si nomina in cartella, GIALLO PRIORITARIO, tetto a tre settimane.</w:t>
      </w:r>
    </w:p>
    <w:bookmarkEnd w:id="14"/>
    <w:bookmarkStart w:id="15" w:name="come-decidi-e-su-cosa-verifichi"/>
    <w:p>
      <w:pPr>
        <w:pStyle w:val="Heading2"/>
      </w:pPr>
      <w:r>
        <w:t xml:space="preserve">8. Come decidi, e su cosa verifichi</w:t>
      </w:r>
    </w:p>
    <w:p>
      <w:pPr>
        <w:pStyle w:val="FirstParagraph"/>
      </w:pPr>
      <w:r>
        <w:rPr>
          <w:b/>
          <w:bCs/>
        </w:rPr>
        <w:t xml:space="preserve">Road map:</w:t>
      </w:r>
      <w:r>
        <w:t xml:space="preserve"> </w:t>
      </w:r>
      <w:r>
        <w:t xml:space="preserve">passo 0, che cosa prende</w:t>
      </w:r>
      <w:r>
        <w:t xml:space="preserve"> </w:t>
      </w:r>
      <w:r>
        <w:rPr>
          <w:b/>
          <w:bCs/>
        </w:rPr>
        <w:t xml:space="preserve">in tutto</w:t>
      </w:r>
      <w:r>
        <w:t xml:space="preserve"> </w:t>
      </w:r>
      <w:r>
        <w:t xml:space="preserve">e quanti giorni al mese? → riga rossa? →</w:t>
      </w:r>
      <w:r>
        <w:t xml:space="preserve"> </w:t>
      </w:r>
      <w:r>
        <w:rPr>
          <w:b/>
          <w:bCs/>
        </w:rPr>
        <w:t xml:space="preserve">come modula il dolore</w:t>
      </w:r>
      <w:r>
        <w:t xml:space="preserve"> </w:t>
      </w:r>
      <w:r>
        <w:t xml:space="preserve">(2 criteri su 4)? → escursione del contenitore: ne manca</w:t>
      </w:r>
      <w:r>
        <w:t xml:space="preserve"> </w:t>
      </w:r>
      <w:r>
        <w:rPr>
          <w:b/>
          <w:bCs/>
        </w:rPr>
        <w:t xml:space="preserve">o ce n’è troppa</w:t>
      </w:r>
      <w:r>
        <w:t xml:space="preserve">? → il controllo profondo tiene? → che carico regge la persona, occhiali compresi?</w:t>
      </w:r>
      <w:r>
        <w:t xml:space="preserve"> </w:t>
      </w:r>
      <w:r>
        <w:rPr>
          <w:b/>
          <w:bCs/>
        </w:rPr>
        <w:t xml:space="preserve">Se il vincolo è la lente o l’altezza dello schermo, il primo bersaglio del ciclo è lì.</w:t>
      </w:r>
      <w:r>
        <w:t xml:space="preserve"> </w:t>
      </w:r>
      <w:r>
        <w:rPr>
          <w:b/>
          <w:bCs/>
        </w:rPr>
        <w:t xml:space="preserve">Quando più passi sono positivi, si apre dal numero più basso.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Soglia, con la direzione</w:t>
            </w:r>
          </w:p>
        </w:tc>
        <w:tc>
          <w:tcPr/>
          <w:p>
            <w:pPr>
              <w:pStyle w:val="Compact"/>
            </w:pPr>
            <w:r>
              <w:t xml:space="preserve">Da dove viene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Rotazione al test flessione-rotazione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 gradi</w:t>
            </w:r>
          </w:p>
        </w:tc>
        <w:tc>
          <w:tcPr/>
          <w:p>
            <w:pPr>
              <w:pStyle w:val="Compact"/>
            </w:pPr>
            <w:r>
              <w:t xml:space="preserve">Sopra l’errore di misura pubblicato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Livello al test cranio-cervicale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 mmHg</w:t>
            </w:r>
          </w:p>
        </w:tc>
        <w:tc>
          <w:tcPr/>
          <w:p>
            <w:pPr>
              <w:pStyle w:val="Compact"/>
            </w:pPr>
            <w:r>
              <w:t xml:space="preserve">Unità dello strumento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Minuti di tolleranza alla postazione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+30%</w:t>
            </w:r>
            <w:r>
              <w:t xml:space="preserve"> </w:t>
            </w:r>
            <w:r>
              <w:t xml:space="preserve">sul basale</w:t>
            </w:r>
          </w:p>
        </w:tc>
        <w:tc>
          <w:tcPr/>
          <w:p>
            <w:pPr>
              <w:pStyle w:val="Compact"/>
            </w:pPr>
            <w:r>
              <w:t xml:space="preserve">Convenzione dichiarata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Soglia dolorosa su sito remoto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+0,54 kg/cm²</w:t>
            </w:r>
            <w:r>
              <w:t xml:space="preserve"> </w:t>
            </w:r>
            <w:r>
              <w:t xml:space="preserve">(più alta = meglio)</w:t>
            </w:r>
          </w:p>
        </w:tc>
        <w:tc>
          <w:tcPr/>
          <w:p>
            <w:pPr>
              <w:pStyle w:val="Compact"/>
            </w:pPr>
            <w:r>
              <w:t xml:space="preserve">Cambiamento minimo pubblicato</w:t>
            </w:r>
          </w:p>
        </w:tc>
      </w:tr>
    </w:tbl>
    <w:p>
      <w:pPr>
        <w:pStyle w:val="BodyText"/>
      </w:pPr>
      <w:r>
        <w:rPr>
          <w:b/>
          <w:bCs/>
        </w:rPr>
        <w:t xml:space="preserve">Le mani entrano su quattro dei cinque meccanismi, e sul più solido — il conto della leva — non hanno presa diretta.</w:t>
      </w:r>
      <w:r>
        <w:t xml:space="preserve"> </w:t>
      </w:r>
      <w:r>
        <w:rPr>
          <w:b/>
          <w:bCs/>
        </w:rPr>
        <w:t xml:space="preserve">Nessun marker è fuori sistema in assoluto:</w:t>
      </w:r>
      <w:r>
        <w:t xml:space="preserve"> </w:t>
      </w:r>
      <w:r>
        <w:t xml:space="preserve">lo è rispetto al sistema che tratti oggi. La soglia dolorosa remota misura il quinto meccanismo, perché se la modulazione cambia, cambia in tutto il corpo. Senza algometro il marker fuori sistema è l’</w:t>
      </w:r>
      <w:r>
        <w:rPr>
          <w:b/>
          <w:bCs/>
        </w:rPr>
        <w:t xml:space="preserve">apertura della bocca</w:t>
      </w:r>
      <w:r>
        <w:t xml:space="preserve">, soglia un traverso di dito, RAGIONAMENTO.</w:t>
      </w:r>
    </w:p>
    <w:p>
      <w:pPr>
        <w:pStyle w:val="BodyText"/>
      </w:pPr>
      <w:r>
        <w:rPr>
          <w:b/>
          <w:bCs/>
        </w:rPr>
        <w:t xml:space="preserve">Il limite:</w:t>
      </w:r>
      <w:r>
        <w:t xml:space="preserve"> </w:t>
      </w:r>
      <w:r>
        <w:t xml:space="preserve">un marker che si muove è compatibile con trattamento, decorso naturale, regressione alla media e aspettativa insieme. E sull’ultima esiste un numero: nei trial placebo-controllati la quota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attribuibile all’effetto specifico della mobilizzazione è dell’88% sul dolore immediato, contro il 46% dell’esercizio.</w:t>
      </w:r>
      <w:r>
        <w:t xml:space="preserve"> </w:t>
      </w:r>
      <w:r>
        <w:rPr>
          <w:b/>
          <w:bCs/>
        </w:rPr>
        <w:t xml:space="preserve">L’angolo cranio-vertebrale non è un marker:</w:t>
      </w:r>
      <w:r>
        <w:t xml:space="preserve"> </w:t>
      </w:r>
      <w:r>
        <w:t xml:space="preserve">dove è stato misurato prima e dopo un ciclo, cefalea e mobilità sono migliorate e la postura non si è mossa.</w:t>
      </w:r>
    </w:p>
    <w:bookmarkEnd w:id="15"/>
    <w:bookmarkStart w:id="16" w:name="la-frase-per-il-paziente"/>
    <w:p>
      <w:pPr>
        <w:pStyle w:val="Heading2"/>
      </w:pPr>
      <w:r>
        <w:t xml:space="preserve">9. La frase per il paziente</w:t>
      </w:r>
    </w:p>
    <w:p>
      <w:pPr>
        <w:pStyle w:val="FirstParagraph"/>
      </w:pPr>
      <w:r>
        <w:rPr>
          <w:i/>
          <w:iCs/>
        </w:rPr>
        <w:t xml:space="preserve">«La tua testa pesa quattro chili e mezzo e sta un po’ più avanti di dove il corpo se l’aspetta. Sembra poco, ma è come una chiave inglese: sposti la mano di dieci centimetri e la forza cambia tutto. A tenerla su ci pensano i muscoli della nuca, tutto il giorno, senza pause — e in questa posizione il lavoro calcolato è tre-cinque volte quello della posizione dritta. Se sia questo a spiegare il tuo peso serale lo verifichiamo insieme: non lo do per scontato. Misuriamo prima e dopo. Non lavoriamo sulla fotografia.»</w:t>
      </w:r>
    </w:p>
    <w:p>
      <w:pPr>
        <w:pStyle w:val="BodyText"/>
      </w:pPr>
      <w:r>
        <w:t xml:space="preserve">E sempre, alla prima seduta:</w:t>
      </w:r>
      <w:r>
        <w:t xml:space="preserve"> </w:t>
      </w:r>
      <w:r>
        <w:rPr>
          <w:i/>
          <w:iCs/>
        </w:rPr>
        <w:t xml:space="preserve">«se nelle ore dopo ti viene un mal di testa esplosivo, vedi doppio, fai fatica a parlare o a deglutire, o senti un braccio debole: pronto soccorso, non mi telefoni.»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Perché ci sei tu.</w:t>
      </w:r>
      <w:r>
        <w:t xml:space="preserve"> </w:t>
      </w:r>
      <w:r>
        <w:t xml:space="preserve">La leva meglio documentata su questa condizione non è il tocco: è l’esercizio. E la parte con la misura sul quinto meccanismo è la spiegazione. Questo ti autorizza a mettere la parte attiva al centro del ciclo e a insegnarla tu. Non ti autorizza a chiamarla trattamento manuale, né a presentarla come certezza.</w:t>
      </w:r>
    </w:p>
    <w:p>
      <w:pPr>
        <w:pStyle w:val="BlockText"/>
      </w:pPr>
      <w:r>
        <w:rPr>
          <w:b/>
          <w:bCs/>
        </w:rPr>
        <w:t xml:space="preserve">DIMOSTRATO</w:t>
      </w:r>
      <w:r>
        <w:t xml:space="preserve"> </w:t>
      </w:r>
      <w:r>
        <w:t xml:space="preserve">studi sull’uomo, solidi ·</w:t>
      </w:r>
      <w:r>
        <w:t xml:space="preserve"> </w:t>
      </w:r>
      <w:r>
        <w:rPr>
          <w:b/>
          <w:bCs/>
        </w:rPr>
        <w:t xml:space="preserve">PROBABILE</w:t>
      </w:r>
      <w:r>
        <w:t xml:space="preserve"> </w:t>
      </w:r>
      <w:r>
        <w:t xml:space="preserve">razionale forte, prove parziali ·</w:t>
      </w:r>
      <w:r>
        <w:t xml:space="preserve"> </w:t>
      </w:r>
      <w:r>
        <w:rPr>
          <w:b/>
          <w:bCs/>
        </w:rPr>
        <w:t xml:space="preserve">IPOTESI</w:t>
      </w:r>
      <w:r>
        <w:t xml:space="preserve"> </w:t>
      </w:r>
      <w:r>
        <w:t xml:space="preserve">meccanismo coerente, nessuno studio —</w:t>
      </w:r>
      <w:r>
        <w:t xml:space="preserve"> </w:t>
      </w:r>
      <w:r>
        <w:rPr>
          <w:i/>
          <w:iCs/>
        </w:rPr>
        <w:t xml:space="preserve">oppure</w:t>
      </w:r>
      <w:r>
        <w:t xml:space="preserve"> </w:t>
      </w:r>
      <w:r>
        <w:rPr>
          <w:b/>
          <w:bCs/>
        </w:rPr>
        <w:t xml:space="preserve">prove contrarie</w:t>
      </w:r>
      <w:r>
        <w:t xml:space="preserve">, quando studi diretti hanno cercato l’effetto e non l’hanno trovato ·</w:t>
      </w:r>
      <w:r>
        <w:t xml:space="preserve"> </w:t>
      </w:r>
      <w:r>
        <w:rPr>
          <w:b/>
          <w:bCs/>
        </w:rPr>
        <w:t xml:space="preserve">RAGIONAMENTO</w:t>
      </w:r>
      <w:r>
        <w:t xml:space="preserve"> </w:t>
      </w:r>
      <w:r>
        <w:t xml:space="preserve">cornice clinica, non una prova</w:t>
      </w:r>
    </w:p>
    <w:p>
      <w:pPr>
        <w:pStyle w:val="FirstParagraph"/>
      </w:pPr>
      <w:r>
        <w:rPr>
          <w:i/>
          <w:iCs/>
        </w:rPr>
        <w:t xml:space="preserve">Deviazioni dichiarate: D-011, D-014, D-016, D-017, D-018, D-019, D-020, D-022, D-027, D-030, D-031, D-038, D-039, D-040, D-041, D-042, D-043, D-044, D-045, D-046, D-047, D-048, D-049, D-052, D-060, D-062.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2026-08-27T01:29:54Z</dcterms:created>
  <dcterms:modified xsi:type="dcterms:W3CDTF">2026-08-27T01:29:54Z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