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piattismo"/>
    <w:p>
      <w:pPr>
        <w:pStyle w:val="Heading1"/>
      </w:pPr>
      <w:r>
        <w:t xml:space="preserve">Mappa concettuale — Piattismo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Patrick O. McKeon (foot core)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Kelly e Lichtwark, University of Queensland ·</w:t>
      </w:r>
      <w:r>
        <w:t xml:space="preserve"> </w:t>
      </w:r>
      <w:r>
        <w:rPr>
          <w:b/>
          <w:bCs/>
        </w:rPr>
        <w:t xml:space="preserve">v7.0 (revisione di lingua) · 26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Arco longitudinale mediale che si abbassa sotto carico, con calcagno in eversione e avampiede abdotto.</w:t>
      </w:r>
      <w:r>
        <w:t xml:space="preserve"> </w:t>
      </w:r>
      <w:r>
        <w:t xml:space="preserve">Fra i 3 e i 6 anni il piede piatto flessibile passa dal 54% al 24% da solo. Nell’adulto la forma resta e in una parte dei casi progredisce. Su come evolve l’adulto sintomatico non trattato non esiste una coorte.</w:t>
      </w:r>
      <w:r>
        <w:t xml:space="preserve"> </w:t>
      </w:r>
      <w:r>
        <w:t xml:space="preserve">Flessibile o rigido è la prima domanda: cambia l’uscita del triage, il sottotipo e quanto puoi fare.</w:t>
      </w:r>
    </w:p>
    <w:bookmarkEnd w:id="9"/>
    <w:bookmarkStart w:id="10" w:name="la-catena-causale-ipotizzata"/>
    <w:p>
      <w:pPr>
        <w:pStyle w:val="Heading2"/>
      </w:pPr>
      <w:r>
        <w:t xml:space="preserve">2. La catena causale ipotizzata</w:t>
      </w:r>
    </w:p>
    <w:p>
      <w:pPr>
        <w:pStyle w:val="FirstParagraph"/>
      </w:pPr>
      <w:r>
        <w:rPr>
          <w:rStyle w:val="VerbatimChar"/>
        </w:rPr>
        <w:t xml:space="preserve">caviglia corta → il piede cerca dorsiflessione nel mediopiede → calcagno everte e assi di Chopart si allineano → mediopiede cede a ogni passo → fascia e legamento a molla sotto tensione più a lungo → dolore plantare e fatica serale</w:t>
      </w:r>
    </w:p>
    <w:p>
      <w:pPr>
        <w:pStyle w:val="BlockText"/>
      </w:pPr>
      <w:r>
        <w:rPr>
          <w:b/>
          <w:bCs/>
        </w:rPr>
        <w:t xml:space="preserve">IPOTESI</w:t>
      </w:r>
      <w:r>
        <w:t xml:space="preserve"> </w:t>
      </w:r>
      <w:r>
        <w:rPr>
          <w:i/>
          <w:iCs/>
        </w:rPr>
        <w:t xml:space="preserve">(meccanismo coerente, nessuno studio)</w:t>
      </w:r>
      <w:r>
        <w:t xml:space="preserve"> </w:t>
      </w:r>
      <w:r>
        <w:t xml:space="preserve">sul nesso causale: nessuno ha misurato l’arco prima e dopo aver allungato il polpaccio.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l’associazione fra dorsiflessione ridotta e dolore di piede.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p>
      <w:pPr>
        <w:pStyle w:val="FirstParagraph"/>
      </w:pPr>
      <w:r>
        <w:t xml:space="preserve">Prima di tutto:</w:t>
      </w:r>
      <w:r>
        <w:t xml:space="preserve"> </w:t>
      </w:r>
      <w:r>
        <w:rPr>
          <w:b/>
          <w:bCs/>
        </w:rPr>
        <w:t xml:space="preserve">che tipo di dolore è.</w:t>
      </w:r>
      <w:r>
        <w:t xml:space="preserve"> </w:t>
      </w:r>
      <w:r>
        <w:t xml:space="preserve">Nocicettivo, cioè con orologio, contatore e superficie → i cinque meccanismi. Nociplastico, cioè diffuso e senza orologio → sottotipo sensibilizzato. Neuropatico → bandiera rossa.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Caviglia corta</w:t>
            </w:r>
          </w:p>
        </w:tc>
        <w:tc>
          <w:tcPr/>
          <w:p>
            <w:pPr>
              <w:pStyle w:val="Compact"/>
            </w:pPr>
            <w:r>
              <w:t xml:space="preserve">Affondo sotto 10 gradi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Conto del carico</w:t>
            </w:r>
          </w:p>
        </w:tc>
        <w:tc>
          <w:tcPr/>
          <w:p>
            <w:pPr>
              <w:pStyle w:val="Compact"/>
            </w:pPr>
            <w:r>
              <w:t xml:space="preserve">Sintomo con orologio e contatore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Freno attivo che cede</w:t>
            </w:r>
          </w:p>
        </w:tc>
        <w:tc>
          <w:tcPr/>
          <w:p>
            <w:pPr>
              <w:pStyle w:val="Compact"/>
            </w:pPr>
            <w:r>
              <w:t xml:space="preserve">Crollo recente, dolore mediale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Argano che non ingrana</w:t>
            </w:r>
          </w:p>
        </w:tc>
        <w:tc>
          <w:tcPr/>
          <w:p>
            <w:pPr>
              <w:pStyle w:val="Compact"/>
            </w:pPr>
            <w:r>
              <w:t xml:space="preserve">Alluce esteso non alza la volta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 di partenza</w:t>
            </w:r>
          </w:p>
        </w:tc>
        <w:tc>
          <w:tcPr/>
          <w:p>
            <w:pPr>
              <w:pStyle w:val="Compact"/>
            </w:pPr>
            <w:r>
              <w:t xml:space="preserve">Arco basso da sempre, simmetrico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Sesto piano, non nel piede: il livello di attivazione.</w:t>
      </w:r>
      <w:r>
        <w:t xml:space="preserve"> </w:t>
      </w:r>
      <w:r>
        <w:t xml:space="preserve">Tre segni, e ne bastano due: sintomo sproporzionato al carico, esordio agganciato a un evento di vita, tessuto che si ritrae al contatto. Sulla leva del contatto l’etichetta è</w:t>
      </w:r>
      <w:r>
        <w:t xml:space="preserve"> </w:t>
      </w:r>
      <w:r>
        <w:rPr>
          <w:b/>
          <w:bCs/>
        </w:rPr>
        <w:t xml:space="preserve">IPOTESI</w:t>
      </w:r>
      <w:r>
        <w:t xml:space="preserve">, e c’è una prova contraria: in venti studi randomizzati la conduttanza cutanea</w:t>
      </w:r>
      <w:r>
        <w:t xml:space="preserve"> </w:t>
      </w:r>
      <w:r>
        <w:rPr>
          <w:b/>
          <w:bCs/>
        </w:rPr>
        <w:t xml:space="preserve">aumenta</w:t>
      </w:r>
      <w:r>
        <w:t xml:space="preserve">, cioè va verso l’attivazione (Gordon, 2025). Reggono meglio il linguaggio e l’esposizione graduata.</w:t>
      </w:r>
    </w:p>
    <w:p>
      <w:pPr>
        <w:pStyle w:val="BodyText"/>
      </w:pPr>
      <w:r>
        <w:rPr>
          <w:b/>
          <w:bCs/>
        </w:rPr>
        <w:t xml:space="preserve">E l’argano.</w:t>
      </w:r>
      <w:r>
        <w:t xml:space="preserve"> </w:t>
      </w:r>
      <w:r>
        <w:t xml:space="preserve">Si guasta preferenzialmente nel piede pronato (Lucas, 2017). Ma quello che il test misura in piedi e in passivo non è quello che l’argano fa camminando: altezza e flessibilità statica dell’arco</w:t>
      </w:r>
      <w:r>
        <w:t xml:space="preserve"> </w:t>
      </w:r>
      <w:r>
        <w:rPr>
          <w:b/>
          <w:bCs/>
        </w:rPr>
        <w:t xml:space="preserve">non predicono</w:t>
      </w:r>
      <w:r>
        <w:t xml:space="preserve"> </w:t>
      </w:r>
      <w:r>
        <w:t xml:space="preserve">l’accoppiamento dinamico (Williams, 2022).</w:t>
      </w:r>
    </w:p>
    <w:bookmarkEnd w:id="11"/>
    <w:bookmarkStart w:id="12" w:name="i-sottotipi-e-chi-comanda"/>
    <w:p>
      <w:pPr>
        <w:pStyle w:val="Heading2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Cedevole sotto carico</w:t>
            </w:r>
          </w:p>
        </w:tc>
        <w:tc>
          <w:tcPr/>
          <w:p>
            <w:pPr>
              <w:pStyle w:val="Compact"/>
            </w:pPr>
            <w:r>
              <w:t xml:space="preserve">Arco compare in scarico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caviglia corta</w:t>
            </w:r>
          </w:p>
        </w:tc>
        <w:tc>
          <w:tcPr/>
          <w:p>
            <w:pPr>
              <w:pStyle w:val="Compact"/>
            </w:pPr>
            <w:r>
              <w:t xml:space="preserve">Affondo sotto 10 gradi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Tibiale posteriore</w:t>
            </w:r>
          </w:p>
        </w:tc>
        <w:tc>
          <w:tcPr/>
          <w:p>
            <w:pPr>
              <w:pStyle w:val="Compact"/>
            </w:pPr>
            <w:r>
              <w:t xml:space="preserve">Crollo recente, dolore mediale</w:t>
            </w:r>
          </w:p>
        </w:tc>
        <w:tc>
          <w:tcPr/>
          <w:p>
            <w:pPr>
              <w:pStyle w:val="Compact"/>
            </w:pPr>
            <w:r>
              <w:t xml:space="preserve">Poco, in parallelo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Sensibilizzato</w:t>
            </w:r>
          </w:p>
        </w:tc>
        <w:tc>
          <w:tcPr/>
          <w:p>
            <w:pPr>
              <w:pStyle w:val="Compact"/>
            </w:pPr>
            <w:r>
              <w:t xml:space="preserve">Dolore diffuso, senza orologio</w:t>
            </w:r>
          </w:p>
        </w:tc>
        <w:tc>
          <w:tcPr/>
          <w:p>
            <w:pPr>
              <w:pStyle w:val="Compact"/>
            </w:pPr>
            <w:r>
              <w:t xml:space="preserve">Molto, non sul tessuto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Rigido</w:t>
            </w:r>
          </w:p>
        </w:tc>
        <w:tc>
          <w:tcPr/>
          <w:p>
            <w:pPr>
              <w:pStyle w:val="Compact"/>
            </w:pPr>
            <w:r>
              <w:t xml:space="preserve">Arco assente anche in scarico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Asintomatico</w:t>
            </w:r>
          </w:p>
        </w:tc>
        <w:tc>
          <w:tcPr/>
          <w:p>
            <w:pPr>
              <w:pStyle w:val="Compact"/>
            </w:pPr>
            <w:r>
              <w:t xml:space="preserve">Arco basso, nessun sintomo</w:t>
            </w:r>
          </w:p>
        </w:tc>
        <w:tc>
          <w:tcPr/>
          <w:p>
            <w:pPr>
              <w:pStyle w:val="Compact"/>
            </w:pPr>
            <w:r>
              <w:t xml:space="preserve">Niente da trattare</w:t>
            </w:r>
          </w:p>
        </w:tc>
      </w:tr>
    </w:tbl>
    <w:p>
      <w:pPr>
        <w:pStyle w:val="BodyText"/>
      </w:pPr>
      <w:r>
        <w:t xml:space="preserve">Nella caviglia corta: recupero a ginocchio flesso significa muscolo; nessun recupero significa articolazione. Se due sottotipi coesistono, comanda il segnale sproporzionato.</w:t>
      </w:r>
    </w:p>
    <w:bookmarkEnd w:id="12"/>
    <w:bookmarkStart w:id="13" w:name="cosa-fa-il-paziente-da-solo"/>
    <w:p>
      <w:pPr>
        <w:pStyle w:val="Heading2"/>
      </w:pPr>
      <w:r>
        <w:t xml:space="preserve">5. Cosa fa il paziente da solo</w:t>
      </w:r>
    </w:p>
    <w:p>
      <w:pPr>
        <w:pStyle w:val="FirstParagraph"/>
      </w:pPr>
      <w:r>
        <w:t xml:space="preserve">Mobilità di caviglia · controllo dei muscoli dentro il piede ·</w:t>
      </w:r>
      <w:r>
        <w:t xml:space="preserve"> </w:t>
      </w:r>
      <w:r>
        <w:rPr>
          <w:b/>
          <w:bCs/>
        </w:rPr>
        <w:t xml:space="preserve">carico progressivo</w:t>
      </w:r>
      <w:r>
        <w:t xml:space="preserve"> </w:t>
      </w:r>
      <w:r>
        <w:t xml:space="preserve">sul tessuto che regge l’arco · rinforzo dell’anca · calzatura quotidiana ·</w:t>
      </w:r>
      <w:r>
        <w:t xml:space="preserve"> </w:t>
      </w:r>
      <w:r>
        <w:rPr>
          <w:b/>
          <w:bCs/>
        </w:rPr>
        <w:t xml:space="preserve">gestione del carico della giornata</w:t>
      </w:r>
      <w:r>
        <w:t xml:space="preserve">, cioè ore, superficie e pause. Sul sesto piano lo strumento attivo è l’</w:t>
      </w:r>
      <w:r>
        <w:rPr>
          <w:b/>
          <w:bCs/>
        </w:rPr>
        <w:t xml:space="preserve">esposizione graduata</w:t>
      </w:r>
      <w:r>
        <w:t xml:space="preserve">, con obiettivo in minuti di cammino.</w:t>
      </w:r>
      <w:r>
        <w:t xml:space="preserve"> </w:t>
      </w:r>
      <w:r>
        <w:t xml:space="preserve">È la leva con le prove migliori del documento:</w:t>
      </w:r>
      <w:r>
        <w:t xml:space="preserve"> </w:t>
      </w:r>
      <w:r>
        <w:rPr>
          <w:b/>
          <w:bCs/>
        </w:rPr>
        <w:t xml:space="preserve">DIMOSTRATO</w:t>
      </w:r>
      <w:r>
        <w:t xml:space="preserve"> </w:t>
      </w:r>
      <w:r>
        <w:t xml:space="preserve">su forza, equilibrio, posizione e funzione;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sul dolore, perché una sola meta-analisi lo trova ridotto e quella sugli intrinseci non trova superiorità.</w:t>
      </w:r>
      <w:r>
        <w:t xml:space="preserve"> </w:t>
      </w:r>
      <w:r>
        <w:t xml:space="preserve">Due orologi: 2-4 settimane per reclutamento, forza ed equilibrio; 8-12 per dimensione muscolare e tendine. E sul tendine comanda l’</w:t>
      </w:r>
      <w:r>
        <w:rPr>
          <w:b/>
          <w:bCs/>
        </w:rPr>
        <w:t xml:space="preserve">intensità del carico</w:t>
      </w:r>
      <w:r>
        <w:t xml:space="preserve">, non il tipo di contrazione (Bohm, 2015): un lavoro a basso carico non lo muove, per quanto a lungo si faccia.</w:t>
      </w:r>
      <w:r>
        <w:t xml:space="preserve"> </w:t>
      </w:r>
      <w:r>
        <w:t xml:space="preserve">Il vantaggio del lavoro sull’anca viene da una graduatoria. L’unico confronto testa a testa non ha trovato differenza fra tre programmi (Kamonseki, 2016).</w:t>
      </w:r>
      <w:r>
        <w:t xml:space="preserve"> </w:t>
      </w:r>
      <w:r>
        <w:t xml:space="preserve">Non alza l’arco in modo visibile: le misure statiche si muovono di 1-3 mm, dentro l’errore dello strumento, e il dolore non le segue.</w:t>
      </w:r>
      <w:r>
        <w:t xml:space="preserve"> </w:t>
      </w:r>
      <w:r>
        <w:t xml:space="preserve">Punto debole documentato:</w:t>
      </w:r>
      <w:r>
        <w:t xml:space="preserve"> </w:t>
      </w:r>
      <w:r>
        <w:rPr>
          <w:b/>
          <w:bCs/>
        </w:rPr>
        <w:t xml:space="preserve">l’aderenza</w:t>
      </w:r>
      <w:r>
        <w:t xml:space="preserve">, e nessuna strategia conosciuta la migliora a lungo termine.</w:t>
      </w:r>
      <w:r>
        <w:t xml:space="preserve"> </w:t>
      </w:r>
      <w:r>
        <w:t xml:space="preserve">La scarpa minimalista non è a costo zero. Nella transizione rapida sono documentati edema midollare osseo e fratture da stress, ed è esclusa nel diabetico, nel piede che non sente e nell’over-70 con equilibrio ridotto.</w:t>
      </w:r>
    </w:p>
    <w:bookmarkEnd w:id="13"/>
    <w:bookmarkStart w:id="14" w:name="le-bandiere-rosse"/>
    <w:p>
      <w:pPr>
        <w:pStyle w:val="Heading2"/>
      </w:pPr>
      <w:r>
        <w:t xml:space="preserve">6. Le bandiere rosse</w:t>
      </w:r>
    </w:p>
    <w:p>
      <w:pPr>
        <w:pStyle w:val="Compact"/>
        <w:numPr>
          <w:ilvl w:val="0"/>
          <w:numId w:val="1001"/>
        </w:numPr>
      </w:pPr>
      <w:r>
        <w:t xml:space="preserve">Piede caldo, rosso, gonfio con febbre → pronto soccorso →</w:t>
      </w:r>
      <w:r>
        <w:t xml:space="preserve"> </w:t>
      </w:r>
      <w:r>
        <w:rPr>
          <w:b/>
          <w:bCs/>
        </w:rPr>
        <w:t xml:space="preserve">in giornata</w:t>
      </w:r>
    </w:p>
    <w:p>
      <w:pPr>
        <w:pStyle w:val="Compact"/>
        <w:numPr>
          <w:ilvl w:val="0"/>
          <w:numId w:val="1001"/>
        </w:numPr>
      </w:pPr>
      <w:r>
        <w:t xml:space="preserve">Diabetico con piede gonfio e caldo, anche senza dolore → centro piede diabetico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Lesione cutanea in un piede che non sente → centro piede diabetico →</w:t>
      </w:r>
      <w:r>
        <w:t xml:space="preserve"> </w:t>
      </w:r>
      <w:r>
        <w:rPr>
          <w:b/>
          <w:bCs/>
        </w:rPr>
        <w:t xml:space="preserve">24-48 ore</w:t>
      </w:r>
    </w:p>
    <w:p>
      <w:pPr>
        <w:pStyle w:val="Compact"/>
        <w:numPr>
          <w:ilvl w:val="0"/>
          <w:numId w:val="1001"/>
        </w:numPr>
      </w:pPr>
      <w:r>
        <w:t xml:space="preserve">Piede freddo o pallido, polsi non palpabili → curante, vascolare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Non carica il peso dopo trauma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rPr>
          <w:i/>
          <w:iCs/>
        </w:rPr>
        <w:t xml:space="preserve">(Ottawa: l’unica riga con accuratezza misurata, e solo sul trauma acuto)</w:t>
      </w:r>
    </w:p>
    <w:p>
      <w:pPr>
        <w:pStyle w:val="Compact"/>
        <w:numPr>
          <w:ilvl w:val="0"/>
          <w:numId w:val="1001"/>
        </w:numPr>
      </w:pPr>
      <w:r>
        <w:t xml:space="preserve">Polpaccio dolente con gonfiore unilaterale → pronto soccorso →</w:t>
      </w:r>
      <w:r>
        <w:t xml:space="preserve"> </w:t>
      </w:r>
      <w:r>
        <w:rPr>
          <w:b/>
          <w:bCs/>
        </w:rPr>
        <w:t xml:space="preserve">oggi</w:t>
      </w:r>
    </w:p>
    <w:p>
      <w:pPr>
        <w:pStyle w:val="Compact"/>
        <w:numPr>
          <w:ilvl w:val="0"/>
          <w:numId w:val="1001"/>
        </w:numPr>
      </w:pPr>
      <w:r>
        <w:t xml:space="preserve">Crollo rapido con dolore mediale → ortopedico piede-caviglia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osseo focale senza trauma → ortopedico, RM o TC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rPr>
          <w:i/>
          <w:iCs/>
        </w:rPr>
        <w:t xml:space="preserve">(Ottawa non lo copre)</w:t>
      </w:r>
    </w:p>
    <w:p>
      <w:pPr>
        <w:pStyle w:val="Compact"/>
        <w:numPr>
          <w:ilvl w:val="0"/>
          <w:numId w:val="1001"/>
        </w:numPr>
      </w:pPr>
      <w:r>
        <w:t xml:space="preserve">Formicolio o perdita di sensibilità plantare → curante, neurologo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Rigidità mattutina oltre 30-45 minuti → curante, reumatologo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Piede piatto doloroso o asimmetrico in età evolutiva → ortopedico pediatrico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FirstParagraph"/>
      </w:pPr>
      <w:r>
        <w:t xml:space="preserve">Rete, non filtro: una riga presente ti ferma, tutte assenti non escludono niente.</w:t>
      </w:r>
      <w:r>
        <w:t xml:space="preserve"> </w:t>
      </w:r>
      <w:r>
        <w:t xml:space="preserve">E due quadri che nel cancello non hanno uscita. Il</w:t>
      </w:r>
      <w:r>
        <w:t xml:space="preserve"> </w:t>
      </w:r>
      <w:r>
        <w:rPr>
          <w:b/>
          <w:bCs/>
        </w:rPr>
        <w:t xml:space="preserve">piede rigido</w:t>
      </w:r>
      <w:r>
        <w:t xml:space="preserve"> </w:t>
      </w:r>
      <w:r>
        <w:t xml:space="preserve">si invia. Il</w:t>
      </w:r>
      <w:r>
        <w:t xml:space="preserve"> </w:t>
      </w:r>
      <w:r>
        <w:rPr>
          <w:b/>
          <w:bCs/>
        </w:rPr>
        <w:t xml:space="preserve">piede asintomatico</w:t>
      </w:r>
      <w:r>
        <w:t xml:space="preserve"> </w:t>
      </w:r>
      <w:r>
        <w:t xml:space="preserve">si misura e si spiega. In nessuno dei due si apre un ciclo, nemmeno con un reperto tuo positivo.</w:t>
      </w:r>
    </w:p>
    <w:bookmarkEnd w:id="14"/>
    <w:bookmarkStart w:id="15" w:name="la-sicurezza-del-gesto-in-quattro-righe"/>
    <w:p>
      <w:pPr>
        <w:pStyle w:val="Heading2"/>
      </w:pPr>
      <w:r>
        <w:t xml:space="preserve">7. La sicurezza del gesto, in quattro righe</w:t>
      </w:r>
    </w:p>
    <w:p>
      <w:pPr>
        <w:pStyle w:val="FirstParagraph"/>
      </w:pPr>
      <w:r>
        <w:t xml:space="preserve">Il rischio qui non è vascolare centrale né midollare. È il</w:t>
      </w:r>
      <w:r>
        <w:t xml:space="preserve"> </w:t>
      </w:r>
      <w:r>
        <w:rPr>
          <w:b/>
          <w:bCs/>
        </w:rPr>
        <w:t xml:space="preserve">piede insensibile</w:t>
      </w:r>
      <w:r>
        <w:t xml:space="preserve">: nel neuropatico la pressione che tolleri tu non è quella che tollera il suo tessuto, e lui non te lo dirà. Si guarda la pianta e si testa la sensibilità — monofilamento 10 g, diapason 128 Hz —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toccare.</w:t>
      </w:r>
      <w:r>
        <w:t xml:space="preserve"> </w:t>
      </w:r>
      <w:r>
        <w:t xml:space="preserve">E l’</w:t>
      </w:r>
      <w:r>
        <w:rPr>
          <w:b/>
          <w:bCs/>
        </w:rPr>
        <w:t xml:space="preserve">osso che non senti cedere</w:t>
      </w:r>
      <w:r>
        <w:t xml:space="preserve">: diabetico, osteoporotico, artrite in corso, lesione da stress non riconosciuta.</w:t>
      </w:r>
      <w:r>
        <w:t xml:space="preserve"> </w:t>
      </w:r>
      <w:r>
        <w:t xml:space="preserve">Sotto il retro-malleolo mediale — il bersaglio più citato — passa il fascio vascolo-nervoso del tunnel tarsale, e i</w:t>
      </w:r>
      <w:r>
        <w:t xml:space="preserve"> </w:t>
      </w:r>
      <w:r>
        <w:rPr>
          <w:b/>
          <w:bCs/>
        </w:rPr>
        <w:t xml:space="preserve">due polsi del piede si palpano sempre</w:t>
      </w:r>
      <w:r>
        <w:t xml:space="preserve">.</w:t>
      </w:r>
      <w:r>
        <w:t xml:space="preserve"> </w:t>
      </w:r>
      <w:r>
        <w:t xml:space="preserve">La leva che questo documento fa salire è il</w:t>
      </w:r>
      <w:r>
        <w:t xml:space="preserve"> </w:t>
      </w:r>
      <w:r>
        <w:rPr>
          <w:b/>
          <w:bCs/>
        </w:rPr>
        <w:t xml:space="preserve">carico</w:t>
      </w:r>
      <w:r>
        <w:t xml:space="preserve">: è la scelta giusta ed è anche l’unica che può rompere qualcosa.</w:t>
      </w:r>
    </w:p>
    <w:bookmarkEnd w:id="15"/>
    <w:bookmarkStart w:id="16" w:name="come-decidi-e-su-cosa-verifichi"/>
    <w:p>
      <w:pPr>
        <w:pStyle w:val="Heading2"/>
      </w:pPr>
      <w:r>
        <w:t xml:space="preserve">8. Come decidi, e su cosa verifichi</w:t>
      </w:r>
    </w:p>
    <w:p>
      <w:pPr>
        <w:pStyle w:val="FirstParagraph"/>
      </w:pPr>
      <w:r>
        <w:t xml:space="preserve">Su</w:t>
      </w:r>
      <w:r>
        <w:t xml:space="preserve"> </w:t>
      </w:r>
      <w:r>
        <w:rPr>
          <w:b/>
          <w:bCs/>
        </w:rPr>
        <w:t xml:space="preserve">due</w:t>
      </w:r>
      <w:r>
        <w:t xml:space="preserve"> </w:t>
      </w:r>
      <w:r>
        <w:t xml:space="preserve">dei cinque meccanismi la mano ha un bersaglio reale: caviglia corta e tessuto sovraccaricato. Su altri due lavora sul contorno, sul quinto non ha leva. Il tendine e il legamento a molla restano fuori bersaglio finché il medico non li ha inquadrati.</w:t>
      </w:r>
    </w:p>
    <w:p>
      <w:pPr>
        <w:pStyle w:val="BodyText"/>
      </w:pPr>
      <w:r>
        <w:t xml:space="preserve">Il sito dove il paziente</w:t>
      </w:r>
      <w:r>
        <w:t xml:space="preserve"> </w:t>
      </w:r>
      <w:r>
        <w:rPr>
          <w:b/>
          <w:bCs/>
        </w:rPr>
        <w:t xml:space="preserve">sente</w:t>
      </w:r>
      <w:r>
        <w:t xml:space="preserve"> </w:t>
      </w:r>
      <w:r>
        <w:t xml:space="preserve">non è il sito che</w:t>
      </w:r>
      <w:r>
        <w:t xml:space="preserve"> </w:t>
      </w:r>
      <w:r>
        <w:rPr>
          <w:b/>
          <w:bCs/>
        </w:rPr>
        <w:t xml:space="preserve">comanda</w:t>
      </w:r>
      <w:r>
        <w:t xml:space="preserve">: il mediopiede che cede è il compenso, la caviglia che non dà gradi è il comando.</w:t>
      </w:r>
    </w:p>
    <w:p>
      <w:pPr>
        <w:pStyle w:val="BodyText"/>
      </w:pPr>
      <w:r>
        <w:rPr>
          <w:b/>
          <w:bCs/>
        </w:rPr>
        <w:t xml:space="preserve">Indagine (segue la gerarchia):</w:t>
      </w:r>
      <w:r>
        <w:t xml:space="preserve"> </w:t>
      </w:r>
      <w:r>
        <w:t xml:space="preserve">rigido o flessibile? → crollo recente e monolaterale? → che tipo di dolore, e il livello di attivazione è alto? → quanto carico riceve il piede ogni giorno? → quanti gradi ha la caviglia, sui due lati e perché → l’argano ingrana? → cosa succede sopra.</w:t>
      </w:r>
    </w:p>
    <w:p>
      <w:pPr>
        <w:pStyle w:val="BodyText"/>
      </w:pPr>
      <w:r>
        <w:rPr>
          <w:b/>
          <w:bCs/>
        </w:rPr>
        <w:t xml:space="preserve">Azione (non segue la gerarchia, eccezione dichiarata):</w:t>
      </w:r>
      <w:r>
        <w:t xml:space="preserve"> </w:t>
      </w:r>
      <w:r>
        <w:t xml:space="preserve">carico → parte attiva → mano.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Da dove viene 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Dorsiflessione in carico</w:t>
            </w:r>
          </w:p>
        </w:tc>
        <w:tc>
          <w:tcPr/>
          <w:p>
            <w:pPr>
              <w:pStyle w:val="Compact"/>
            </w:pPr>
            <w:r>
              <w:t xml:space="preserve">8 gradi</w:t>
            </w:r>
          </w:p>
        </w:tc>
        <w:tc>
          <w:tcPr/>
          <w:p>
            <w:pPr>
              <w:pStyle w:val="Compact"/>
            </w:pPr>
            <w:r>
              <w:t xml:space="preserve">Errore intra-esaminatore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Tolleranza in piedi</w:t>
            </w:r>
          </w:p>
        </w:tc>
        <w:tc>
          <w:tcPr/>
          <w:p>
            <w:pPr>
              <w:pStyle w:val="Compact"/>
            </w:pPr>
            <w:r>
              <w:t xml:space="preserve">+20% baseline</w:t>
            </w:r>
          </w:p>
        </w:tc>
        <w:tc>
          <w:tcPr/>
          <w:p>
            <w:pPr>
              <w:pStyle w:val="Compact"/>
            </w:pPr>
            <w:r>
              <w:t xml:space="preserve">Convenzione dichiarata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Sollevamenti su un piede</w:t>
            </w:r>
          </w:p>
        </w:tc>
        <w:tc>
          <w:tcPr/>
          <w:p>
            <w:pPr>
              <w:pStyle w:val="Compact"/>
            </w:pPr>
            <w:r>
              <w:t xml:space="preserve">+5 ripetizioni</w:t>
            </w:r>
          </w:p>
        </w:tc>
        <w:tc>
          <w:tcPr/>
          <w:p>
            <w:pPr>
              <w:pStyle w:val="Compact"/>
            </w:pPr>
            <w:r>
              <w:t xml:space="preserve">Convenzione dichiarata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Estensione d’anca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Convenzione dichiarata</w:t>
            </w:r>
          </w:p>
        </w:tc>
      </w:tr>
    </w:tbl>
    <w:p>
      <w:pPr>
        <w:pStyle w:val="BodyText"/>
      </w:pPr>
      <w:r>
        <w:t xml:space="preserve">Il marker fuori piano è l’anca: si legge</w:t>
      </w:r>
      <w:r>
        <w:t xml:space="preserve"> </w:t>
      </w:r>
      <w:r>
        <w:rPr>
          <w:b/>
          <w:bCs/>
        </w:rPr>
        <w:t xml:space="preserve">dentro la seduta</w:t>
      </w:r>
      <w:r>
        <w:t xml:space="preserve">, vale solo in positivo, e decade appena l’anca entra nel lavoro attivo. La scadenza del GIALLO —</w:t>
      </w:r>
      <w:r>
        <w:t xml:space="preserve"> </w:t>
      </w:r>
      <w:r>
        <w:rPr>
          <w:b/>
          <w:bCs/>
        </w:rPr>
        <w:t xml:space="preserve">sei settimane, data scritta in cartella</w:t>
      </w:r>
      <w:r>
        <w:t xml:space="preserve"> </w:t>
      </w:r>
      <w:r>
        <w:t xml:space="preserve">— la governa la tolleranza in minuti. Navicular drop e Foot Posture Index</w:t>
      </w:r>
      <w:r>
        <w:t xml:space="preserve"> </w:t>
      </w:r>
      <w:r>
        <w:rPr>
          <w:b/>
          <w:bCs/>
        </w:rPr>
        <w:t xml:space="preserve">non sono marker</w:t>
      </w:r>
      <w:r>
        <w:t xml:space="preserve">. E attenzione alla regressione alla media: la seconda misura è mediamente migliore anche senza trattamento.</w:t>
      </w:r>
    </w:p>
    <w:bookmarkEnd w:id="16"/>
    <w:bookmarkStart w:id="17" w:name="la-frase-per-il-paziente"/>
    <w:p>
      <w:pPr>
        <w:pStyle w:val="Heading2"/>
      </w:pPr>
      <w:r>
        <w:t xml:space="preserve">9. La frase per il paziente</w:t>
      </w:r>
    </w:p>
    <w:p>
      <w:pPr>
        <w:pStyle w:val="FirstParagraph"/>
      </w:pPr>
      <w:r>
        <w:rPr>
          <w:i/>
          <w:iCs/>
        </w:rPr>
        <w:t xml:space="preserve">«Il suo piede è basso, e probabilmente lo è sempre stato. Quello che le fa male non è la forma: è il conto delle ore. La forma non gliela cambio. Quello su cui lavoriamo, e che rimisuriamo fra un mese, è quanto le costa la giornata.»</w:t>
      </w:r>
    </w:p>
    <w:p>
      <w:pPr>
        <w:pStyle w:val="BodyText"/>
      </w:pPr>
      <w:r>
        <w:rPr>
          <w:i/>
          <w:iCs/>
        </w:rPr>
        <w:t xml:space="preserve">«Io lavoro sulla componente meccanica che ho trovato. La forma del piede va comunque inquadrata dal suo medico, e nel frattempo io non aspetto.»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L’affermazione a certezza più alta di tutto il documento non riguarda l’arco. Negli ultrasessantenni della comunità l’esercizio che allena equilibrio, cammino e forza riduce il tasso di cadute del</w:t>
      </w:r>
      <w:r>
        <w:t xml:space="preserve"> </w:t>
      </w:r>
      <w:r>
        <w:rPr>
          <w:b/>
          <w:bCs/>
        </w:rPr>
        <w:t xml:space="preserve">23%</w:t>
      </w:r>
      <w:r>
        <w:t xml:space="preserve"> </w:t>
      </w:r>
      <w:r>
        <w:t xml:space="preserve">— 59 studi, 12.981 partecipanti, certezza alta (Sherrington, 2019).</w:t>
      </w:r>
      <w:r>
        <w:t xml:space="preserve"> </w:t>
      </w:r>
      <w:r>
        <w:rPr>
          <w:i/>
          <w:iCs/>
        </w:rPr>
        <w:t xml:space="preserve">Misurato su ultrasessantenni non selezionati per piede piatto, e con esercizi di equilibrio, cammino e forza — non con il lavoro sui muscoli dentro il piede.</w:t>
      </w:r>
      <w:r>
        <w:t xml:space="preserve"> </w:t>
      </w:r>
      <w:r>
        <w:t xml:space="preserve">Questo ti autorizza a insegnare tu la parte attiva, e a difenderla quando il paziente vuole solo le mani. Non ti autorizza a promettere che quel piede non cadrà.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2026-08-26T14:39:21Z</dcterms:created>
  <dcterms:modified xsi:type="dcterms:W3CDTF">2026-08-26T14:39:21Z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