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Endometriosi (supporto sintomatico)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6" w:name="X6947570b2b070d1a7ebb31384ccf6f9459b3474"/>
    <w:p>
      <w:pPr>
        <w:pStyle w:val="Heading1"/>
      </w:pPr>
      <w:r>
        <w:t xml:space="preserve">Endometriosi (supporto sintomatico) — la Bibbia</w:t>
      </w:r>
    </w:p>
    <w:p>
      <w:pPr>
        <w:pStyle w:val="FirstParagraph"/>
      </w:pPr>
      <w:r>
        <w:rPr>
          <w:b/>
          <w:bCs/>
        </w:rPr>
        <w:t xml:space="preserve">Condizione:</w:t>
      </w:r>
      <w:r>
        <w:t xml:space="preserve"> </w:t>
      </w:r>
      <w:r>
        <w:t xml:space="preserve">endometriosi, supporto sintomatico ·</w:t>
      </w:r>
      <w:r>
        <w:t xml:space="preserve"> </w:t>
      </w:r>
      <w:r>
        <w:rPr>
          <w:b/>
          <w:bCs/>
        </w:rPr>
        <w:t xml:space="preserve">Ancora clinica:</w:t>
      </w:r>
      <w:r>
        <w:t xml:space="preserve"> </w:t>
      </w:r>
      <w:r>
        <w:t xml:space="preserve">Simona Del Forno e il gruppo di Renato Seracchioli, Ginecologia e Fisiopatologia della Riproduzione Umana, IRCCS Policlinico Sant’Orsola, Università di Bologna ·</w:t>
      </w:r>
      <w:r>
        <w:t xml:space="preserve"> </w:t>
      </w:r>
      <w:r>
        <w:rPr>
          <w:b/>
          <w:bCs/>
        </w:rPr>
        <w:t xml:space="preserve">Ancora fisiologica:</w:t>
      </w:r>
      <w:r>
        <w:t xml:space="preserve"> </w:t>
      </w:r>
      <w:r>
        <w:t xml:space="preserve">Paul J. Yong, BC Women’s Centre for Pelvic Pain and Endometriosis, University of British Columbia ·</w:t>
      </w:r>
      <w:r>
        <w:t xml:space="preserve"> </w:t>
      </w:r>
      <w:r>
        <w:rPr>
          <w:b/>
          <w:bCs/>
        </w:rPr>
        <w:t xml:space="preserve">Versione:</w:t>
      </w:r>
      <w:r>
        <w:t xml:space="preserve"> </w:t>
      </w:r>
      <w:r>
        <w:t xml:space="preserve">v7 (finale — dopo il 6º livello di revisione: lingua) ·</w:t>
      </w:r>
      <w:r>
        <w:t xml:space="preserve"> </w:t>
      </w:r>
      <w:r>
        <w:rPr>
          <w:b/>
          <w:bCs/>
        </w:rPr>
        <w:t xml:space="preserve">Data:</w:t>
      </w:r>
      <w:r>
        <w:t xml:space="preserve"> </w:t>
      </w:r>
      <w:r>
        <w:t xml:space="preserve">29 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dice cosa sapere sull’endometriosi per lavorare bene sulla parte del dolore che è tua, e ti dice — riga per riga — quanto è solido ciò che stai leggendo.</w:t>
      </w:r>
    </w:p>
    <w:p>
      <w:pPr>
        <w:pStyle w:val="FirstParagraph"/>
      </w:pPr>
      <w:r>
        <w:rPr>
          <w:b/>
          <w:bCs/>
        </w:rPr>
        <w:t xml:space="preserve">A chi parla.</w:t>
      </w:r>
      <w:r>
        <w:t xml:space="preserve"> </w:t>
      </w:r>
      <w:r>
        <w:t xml:space="preserve">All’osteopata del team. Presuppone la tua formazione: non ti spiega cos’è il diaframma, ti spiega cosa fa il diaframma qui.</w:t>
      </w:r>
    </w:p>
    <w:p>
      <w:pPr>
        <w:pStyle w:val="BodyText"/>
      </w:pPr>
      <w:r>
        <w:rPr>
          <w:b/>
          <w:bCs/>
        </w:rPr>
        <w:t xml:space="preserve">Cosa c’è qui.</w:t>
      </w:r>
      <w:r>
        <w:t xml:space="preserve"> </w:t>
      </w:r>
      <w:r>
        <w:t xml:space="preserve">Che cos’è l’endometriosi. Perché fa male anche quando la malattia è curata. Quali meccanismi tengono in piedi il dolore, e quanto è solido ciascuno. Perché una mano può cambiare qualcosa.</w:t>
      </w:r>
    </w:p>
    <w:p>
      <w:pPr>
        <w:pStyle w:val="BodyText"/>
      </w:pPr>
      <w:r>
        <w:rPr>
          <w:b/>
          <w:bCs/>
        </w:rPr>
        <w:t xml:space="preserve">Cosa non c’è.</w:t>
      </w:r>
      <w:r>
        <w:t xml:space="preserve"> </w:t>
      </w:r>
      <w:r>
        <w:t xml:space="preserve">Tecniche, dosi, sequenze, minuti. Stanno nella Procedura dell’endometriosi: due pagine, documento separato.</w:t>
      </w:r>
    </w:p>
    <w:p>
      <w:pPr>
        <w:pStyle w:val="BodyText"/>
      </w:pPr>
      <w:r>
        <w:rPr>
          <w:b/>
          <w:bCs/>
        </w:rPr>
        <w:t xml:space="preserve">Il confine che regge tutto il documento.</w:t>
      </w:r>
      <w:r>
        <w:t xml:space="preserve"> </w:t>
      </w:r>
      <w:r>
        <w:t xml:space="preserve">Leggilo prima di ogni altra cosa. L’endometriosi è una malattia, e la malattia la cura il medico. Noi non trattiamo l’endometriosi. Trattiamo la componente muscolo-scheletrica e miofasciale del dolore di una donna che ha l’endometriosi. Quella componente esiste, si misura, e nessuno nel suo percorso ce l’ha in carico. Ogni riga che segue sta dentro questo confine.</w:t>
      </w:r>
    </w:p>
    <w:p>
      <w:pPr>
        <w:pStyle w:val="BodyText"/>
      </w:pPr>
      <w:r>
        <w:rPr>
          <w:b/>
          <w:bCs/>
        </w:rPr>
        <w:t xml:space="preserve">Come si leggono le etichette.</w:t>
      </w:r>
      <w:r>
        <w:t xml:space="preserve"> </w:t>
      </w:r>
      <w:r>
        <w:t xml:space="preserve">Ogni meccanismo, ogni modello e ogni leva porta un box</w:t>
      </w:r>
      <w:r>
        <w:t xml:space="preserve"> </w:t>
      </w:r>
      <w:r>
        <w:rPr>
          <w:rStyle w:val="VerbatimChar"/>
        </w:rPr>
        <w:t xml:space="preserve">&gt; **Quanto è solido:**</w:t>
      </w:r>
      <w:r>
        <w:t xml:space="preserve">. Le etichette sono quattro, sempre le stesse quattro.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Etichetta</w:t>
            </w:r>
          </w:p>
        </w:tc>
        <w:tc>
          <w:tcPr/>
          <w:p>
            <w:pPr>
              <w:pStyle w:val="Compact"/>
            </w:pPr>
            <w:r>
              <w:t xml:space="preserve">Glossa fissa</w:t>
            </w:r>
          </w:p>
        </w:tc>
        <w:tc>
          <w:tcPr/>
          <w:p>
            <w:pPr>
              <w:pStyle w:val="Compact"/>
            </w:pPr>
            <w:r>
              <w:t xml:space="preserve">Cosa vuol dire</w:t>
            </w:r>
          </w:p>
        </w:tc>
      </w:tr>
      <w:tr>
        <w:tc>
          <w:tcPr/>
          <w:p>
            <w:pPr>
              <w:pStyle w:val="Compact"/>
            </w:pPr>
            <w:r>
              <w:t xml:space="preserve">DIMOSTRATO</w:t>
            </w:r>
          </w:p>
        </w:tc>
        <w:tc>
          <w:tcPr/>
          <w:p>
            <w:pPr>
              <w:pStyle w:val="Compact"/>
            </w:pPr>
            <w:r>
              <w:rPr>
                <w:i/>
                <w:iCs/>
              </w:rPr>
              <w:t xml:space="preserve">(studi sull’uomo, solidi)</w:t>
            </w:r>
          </w:p>
        </w:tc>
        <w:tc>
          <w:tcPr/>
          <w:p>
            <w:pPr>
              <w:pStyle w:val="Compact"/>
            </w:pPr>
            <w:r>
              <w:t xml:space="preserve">studi controllati sull’uomo</w:t>
            </w:r>
          </w:p>
        </w:tc>
      </w:tr>
      <w:tr>
        <w:tc>
          <w:tcPr/>
          <w:p>
            <w:pPr>
              <w:pStyle w:val="Compact"/>
            </w:pPr>
            <w:r>
              <w:t xml:space="preserve">PROBABILE</w:t>
            </w:r>
          </w:p>
        </w:tc>
        <w:tc>
          <w:tcPr/>
          <w:p>
            <w:pPr>
              <w:pStyle w:val="Compact"/>
            </w:pPr>
            <w:r>
              <w:rPr>
                <w:i/>
                <w:iCs/>
              </w:rPr>
              <w:t xml:space="preserve">(razionale forte, prove parziali)</w:t>
            </w:r>
          </w:p>
        </w:tc>
        <w:tc>
          <w:tcPr/>
          <w:p>
            <w:pPr>
              <w:pStyle w:val="Compact"/>
            </w:pPr>
            <w:r>
              <w:t xml:space="preserve">prove parziali, indirette o piccole</w:t>
            </w:r>
          </w:p>
        </w:tc>
      </w:tr>
      <w:tr>
        <w:tc>
          <w:tcPr/>
          <w:p>
            <w:pPr>
              <w:pStyle w:val="Compact"/>
            </w:pPr>
            <w:r>
              <w:t xml:space="preserve">IPOTESI</w:t>
            </w:r>
          </w:p>
        </w:tc>
        <w:tc>
          <w:tcPr/>
          <w:p>
            <w:pPr>
              <w:pStyle w:val="Compact"/>
            </w:pPr>
            <w:r>
              <w:rPr>
                <w:i/>
                <w:iCs/>
              </w:rPr>
              <w:t xml:space="preserve">(meccanismo coerente, nessuno studio)</w:t>
            </w:r>
          </w:p>
        </w:tc>
        <w:tc>
          <w:tcPr/>
          <w:p>
            <w:pPr>
              <w:pStyle w:val="Compact"/>
            </w:pPr>
            <w:r>
              <w:t xml:space="preserve">coerente, nessuno ha misurato</w:t>
            </w:r>
          </w:p>
        </w:tc>
      </w:tr>
      <w:tr>
        <w:tc>
          <w:tcPr/>
          <w:p>
            <w:pPr>
              <w:pStyle w:val="Compact"/>
            </w:pPr>
            <w:r>
              <w:t xml:space="preserve">RAGIONAMENTO</w:t>
            </w:r>
          </w:p>
        </w:tc>
        <w:tc>
          <w:tcPr/>
          <w:p>
            <w:pPr>
              <w:pStyle w:val="Compact"/>
            </w:pPr>
            <w:r>
              <w:rPr>
                <w:i/>
                <w:iCs/>
              </w:rPr>
              <w:t xml:space="preserve">(cornice clinica, non una prova)</w:t>
            </w:r>
          </w:p>
        </w:tc>
        <w:tc>
          <w:tcPr/>
          <w:p>
            <w:pPr>
              <w:pStyle w:val="Compact"/>
            </w:pPr>
            <w:r>
              <w:t xml:space="preserve">è come ragiono, non è una prova</w:t>
            </w:r>
          </w:p>
        </w:tc>
      </w:tr>
    </w:tbl>
    <w:p>
      <w:pPr>
        <w:pStyle w:val="BodyText"/>
      </w:pPr>
      <w:r>
        <w:t xml:space="preserve">Due regole sulle etichette. Le dichiaro qui perché le incontrerai subito.</w:t>
      </w:r>
    </w:p>
    <w:p>
      <w:pPr>
        <w:pStyle w:val="BodyText"/>
      </w:pPr>
      <w:r>
        <w:rPr>
          <w:b/>
          <w:bCs/>
        </w:rPr>
        <w:t xml:space="preserve">La prima: l’etichetta non si declina.</w:t>
      </w:r>
      <w:r>
        <w:t xml:space="preserve"> </w:t>
      </w:r>
      <w:r>
        <w:t xml:space="preserve">A volte esistono studi diretti che vanno in direzione contraria. In quel caso l’etichetta resta quella che è, e la prova contraria si scrive nella frase, nominata e citata,</w:t>
      </w:r>
      <w:r>
        <w:t xml:space="preserve"> </w:t>
      </w:r>
      <w:r>
        <w:rPr>
          <w:b/>
          <w:bCs/>
        </w:rPr>
        <w:t xml:space="preserve">nella stessa riga della glossa</w:t>
      </w:r>
      <w:r>
        <w:t xml:space="preserve">. Su questa condizione succede quattro volte. Ogni volta la glossa dice</w:t>
      </w:r>
      <w:r>
        <w:t xml:space="preserve"> </w:t>
      </w:r>
      <w:r>
        <w:rPr>
          <w:i/>
          <w:iCs/>
        </w:rPr>
        <w:t xml:space="preserve">«nessuno studio»</w:t>
      </w:r>
      <w:r>
        <w:t xml:space="preserve"> </w:t>
      </w:r>
      <w:r>
        <w:t xml:space="preserve">e a sei parole di distanza c’è un PMID. Non è una contraddizione: la glossa parla del nostro gesto su questa malattia, la citazione accanto parla di chi ha misurato qualcosa di vicino e non l’ha trovato.</w:t>
      </w:r>
    </w:p>
    <w:p>
      <w:pPr>
        <w:pStyle w:val="BodyText"/>
      </w:pPr>
      <w:r>
        <w:rPr>
          <w:b/>
          <w:bCs/>
        </w:rPr>
        <w:t xml:space="preserve">La seconda: quando i pezzi di un’affermazione non hanno la stessa forza, l’etichetta si spezza.</w:t>
      </w:r>
      <w:r>
        <w:t xml:space="preserve"> </w:t>
      </w:r>
      <w:r>
        <w:t xml:space="preserve">Qui succede spesso, e per un motivo preciso. Quasi ogni bersaglio è ben misurato, e quasi nessun effetto della</w:t>
      </w:r>
      <w:r>
        <w:t xml:space="preserve"> </w:t>
      </w:r>
      <w:r>
        <w:rPr>
          <w:i/>
          <w:iCs/>
        </w:rPr>
        <w:t xml:space="preserve">nostra</w:t>
      </w:r>
      <w:r>
        <w:t xml:space="preserve"> </w:t>
      </w:r>
      <w:r>
        <w:t xml:space="preserve">mano lo è. Ogni volta che l’etichetta si spezza, il box lo dichiara in apertura.</w:t>
      </w:r>
    </w:p>
    <w:p>
      <w:pPr>
        <w:pStyle w:val="BodyText"/>
      </w:pPr>
      <w:r>
        <w:rPr>
          <w:b/>
          <w:bCs/>
        </w:rPr>
        <w:t xml:space="preserve">Dove sta il tetto, su questa condizione.</w:t>
      </w:r>
      <w:r>
        <w:t xml:space="preserve"> </w:t>
      </w:r>
      <w:r>
        <w:t xml:space="preserve">Sta nell’ultimo punto di questo capitolo, e va letto prima del resto. Quello che segue non è una campagna a favore delle mani. È la mappa di uno spazio stretto, reale e finora vuoto.</w:t>
      </w:r>
    </w:p>
    <w:bookmarkStart w:id="9" w:name="come-si-studia-questa-bibbia"/>
    <w:p>
      <w:pPr>
        <w:pStyle w:val="Heading3"/>
      </w:pPr>
      <w:r>
        <w:t xml:space="preserve">Come si studia questa Bibbia</w:t>
      </w:r>
    </w:p>
    <w:p>
      <w:pPr>
        <w:pStyle w:val="FirstParagraph"/>
      </w:pPr>
      <w:r>
        <w:rPr>
          <w:b/>
          <w:bCs/>
        </w:rPr>
        <w:t xml:space="preserve">La prova che conta è questa: chiudi il documento e di’ ad alta voce i sei meccanismi e da cosa si riconosce ciascuno.</w:t>
      </w:r>
      <w:r>
        <w:t xml:space="preserve"> </w:t>
      </w:r>
      <w:r>
        <w:t xml:space="preserve">Quello che non sai dire, non l’hai imparato.</w:t>
      </w:r>
    </w:p>
    <w:p>
      <w:pPr>
        <w:pStyle w:val="BodyText"/>
      </w:pPr>
      <w:r>
        <w:t xml:space="preserve">Ma quella prova dice che ricordi, non che sei autonomo.</w:t>
      </w:r>
      <w:r>
        <w:t xml:space="preserve"> </w:t>
      </w:r>
      <w:r>
        <w:rPr>
          <w:b/>
          <w:bCs/>
        </w:rPr>
        <w:t xml:space="preserve">L’autonomia si misura sui casi difficili.</w:t>
      </w:r>
      <w:r>
        <w:t xml:space="preserve"> </w:t>
      </w:r>
      <w:r>
        <w:t xml:space="preserve">Sei autonomo quando distingui senza esitare</w:t>
      </w:r>
      <w:r>
        <w:t xml:space="preserve"> </w:t>
      </w:r>
      <w:r>
        <w:rPr>
          <w:b/>
          <w:bCs/>
        </w:rPr>
        <w:t xml:space="preserve">la soglia abbassata dalla malattia che progredisce</w:t>
      </w:r>
      <w:r>
        <w:t xml:space="preserve">. Quando riconosci</w:t>
      </w:r>
      <w:r>
        <w:t xml:space="preserve"> </w:t>
      </w:r>
      <w:r>
        <w:rPr>
          <w:b/>
          <w:bCs/>
        </w:rPr>
        <w:t xml:space="preserve">la paziente su cui la tua mano può poco</w:t>
      </w:r>
      <w:r>
        <w:t xml:space="preserve">, e sai perché il rinvio è la parte più utile del tuo lavoro. E quando sai dire a un medico</w:t>
      </w:r>
      <w:r>
        <w:t xml:space="preserve"> </w:t>
      </w:r>
      <w:r>
        <w:rPr>
          <w:b/>
          <w:bCs/>
        </w:rPr>
        <w:t xml:space="preserve">cosa possiamo e cosa non possiamo affermare</w:t>
      </w:r>
      <w:r>
        <w:t xml:space="preserve">, senza riaprire «Cosa dice la scienza».</w:t>
      </w:r>
    </w:p>
    <w:p>
      <w:pPr>
        <w:pStyle w:val="BodyText"/>
      </w:pPr>
      <w:r>
        <w:rPr>
          <w:b/>
          <w:bCs/>
        </w:rPr>
        <w:t xml:space="preserve">Una nota di lessico.</w:t>
      </w:r>
      <w:r>
        <w:t xml:space="preserve"> </w:t>
      </w:r>
      <w:r>
        <w:t xml:space="preserve">Sette parole appartengono al metodo e non alla condizione: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Ciascuna compare in un box</w:t>
      </w:r>
      <w:r>
        <w:t xml:space="preserve"> </w:t>
      </w:r>
      <w:r>
        <w:rPr>
          <w:rStyle w:val="VerbatimChar"/>
        </w:rPr>
        <w:t xml:space="preserve">Definizione</w:t>
      </w:r>
      <w:r>
        <w:t xml:space="preserve"> </w:t>
      </w:r>
      <w:r>
        <w:t xml:space="preserve">alla prima comparsa in cui regge una regola di condotta. Il testo integrale sta in Appendice A.</w:t>
      </w:r>
    </w:p>
    <w:p>
      <w:pPr>
        <w:pStyle w:val="BodyText"/>
      </w:pPr>
      <w:r>
        <w:t xml:space="preserve">Buon nutrimento!</w:t>
      </w:r>
    </w:p>
    <w:p>
      <w:pPr>
        <w:pStyle w:val="BodyText"/>
      </w:pPr>
      <w:r>
        <w:rPr>
          <w:b/>
          <w:bCs/>
        </w:rPr>
        <w:t xml:space="preserve">Le tre cose da ricordare, più una</w:t>
      </w:r>
    </w:p>
    <w:p>
      <w:pPr>
        <w:pStyle w:val="Compact"/>
        <w:numPr>
          <w:ilvl w:val="0"/>
          <w:numId w:val="1001"/>
        </w:numPr>
      </w:pPr>
      <w:r>
        <w:t xml:space="preserve">La prosa afferma, l’onestà la porta il box: nessuna affermazione di questo documento è priva della sua etichetta.</w:t>
      </w:r>
    </w:p>
    <w:p>
      <w:pPr>
        <w:pStyle w:val="Compact"/>
        <w:numPr>
          <w:ilvl w:val="0"/>
          <w:numId w:val="1001"/>
        </w:numPr>
      </w:pPr>
      <w:r>
        <w:t xml:space="preserve">Il confine è netto due volte: qui c’è il perché e non il come, e qui c’è il dolore e non la malattia.</w:t>
      </w:r>
    </w:p>
    <w:p>
      <w:pPr>
        <w:pStyle w:val="Compact"/>
        <w:numPr>
          <w:ilvl w:val="0"/>
          <w:numId w:val="1001"/>
        </w:numPr>
      </w:pPr>
      <w:r>
        <w:t xml:space="preserve">Su questa condizione quasi ogni bersaglio è ben misurato e quasi nessun effetto della nostra mano lo è: le etichette spezzate sono la norma, non un’eccezione.</w:t>
      </w:r>
    </w:p>
    <w:p>
      <w:pPr>
        <w:pStyle w:val="Compact"/>
        <w:numPr>
          <w:ilvl w:val="0"/>
          <w:numId w:val="1001"/>
        </w:numPr>
      </w:pPr>
      <w:r>
        <w:rPr>
          <w:b/>
          <w:bCs/>
        </w:rPr>
        <w:t xml:space="preserve">Perché ci sei tu.</w:t>
      </w:r>
      <w:r>
        <w:t xml:space="preserve"> </w:t>
      </w:r>
      <w:r>
        <w:t xml:space="preserve">La sintesi più recente di fisioterapia sul dolore da endometriosi — sette studi nell’analisi quantitativa — trova una riduzione media di 1,97 punti sulla scala del dolore (IC 95% 2,99-0,95), e il contributo maggiore viene da apparecchi, non da mani (Can,</w:t>
      </w:r>
      <w:r>
        <w:t xml:space="preserve"> </w:t>
      </w:r>
      <w:r>
        <w:rPr>
          <w:i/>
          <w:iCs/>
        </w:rPr>
        <w:t xml:space="preserve">Pain Med</w:t>
      </w:r>
      <w:r>
        <w:t xml:space="preserve"> </w:t>
      </w:r>
      <w:r>
        <w:t xml:space="preserve">2026 — PMID 40705433). Questo ti autorizza a leggere ogni etichetta di questo documento sapendo dove sta il tetto. Non ti autorizza a dire a nessuno che</w:t>
      </w:r>
      <w:r>
        <w:t xml:space="preserve"> </w:t>
      </w:r>
      <w:r>
        <w:t xml:space="preserve">“la terapia manuale funziona sull’endometriosi”</w:t>
      </w:r>
      <w:r>
        <w:t xml:space="preserve">.</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donna che ha un nome per il suo dolore da poco e il dolore da sempre, che sta già facendo tutto quello che la medicina può offrirle, e che continua a stare male in punti che nessuno le ha mai palpato.</w:t>
      </w:r>
    </w:p>
    <w:bookmarkStart w:id="11" w:name="come-lo-racconta-lei"/>
    <w:p>
      <w:pPr>
        <w:pStyle w:val="Heading3"/>
      </w:pPr>
      <w:r>
        <w:t xml:space="preserve">Come lo racconta lei</w:t>
      </w:r>
    </w:p>
    <w:p>
      <w:pPr>
        <w:pStyle w:val="FirstParagraph"/>
      </w:pPr>
      <w:r>
        <w:t xml:space="preserve">Non dice</w:t>
      </w:r>
      <w:r>
        <w:t xml:space="preserve"> </w:t>
      </w:r>
      <w:r>
        <w:t xml:space="preserve">“endometriosi profonda infiltrante”</w:t>
      </w:r>
      <w:r>
        <w:t xml:space="preserve">. Dice cose più precise di così.</w:t>
      </w:r>
    </w:p>
    <w:p>
      <w:pPr>
        <w:pStyle w:val="BodyText"/>
      </w:pPr>
      <w:r>
        <w:rPr>
          <w:i/>
          <w:iCs/>
        </w:rPr>
        <w:t xml:space="preserve">“Ci sono voluti anni e decine di visite prima che qualcuno mi dicesse cos’avevo.”</w:t>
      </w:r>
      <w:r>
        <w:t xml:space="preserve"> </w:t>
      </w:r>
      <w:r>
        <w:t xml:space="preserve">—</w:t>
      </w:r>
      <w:r>
        <w:t xml:space="preserve"> </w:t>
      </w:r>
      <w:r>
        <w:rPr>
          <w:i/>
          <w:iCs/>
        </w:rPr>
        <w:t xml:space="preserve">“Me lo dicono da quando avevo quindici anni: è normale, sei una donna.”</w:t>
      </w:r>
      <w:r>
        <w:t xml:space="preserve"> </w:t>
      </w:r>
      <w:r>
        <w:t xml:space="preserve">—</w:t>
      </w:r>
      <w:r>
        <w:t xml:space="preserve"> </w:t>
      </w:r>
      <w:r>
        <w:rPr>
          <w:i/>
          <w:iCs/>
        </w:rPr>
        <w:t xml:space="preserve">“Non è solo il ciclo: fa male anche in mezzo al mese, la schiena, l’intestino, il bacino.”</w:t>
      </w:r>
      <w:r>
        <w:t xml:space="preserve"> </w:t>
      </w:r>
      <w:r>
        <w:t xml:space="preserve">—</w:t>
      </w:r>
      <w:r>
        <w:t xml:space="preserve"> </w:t>
      </w:r>
      <w:r>
        <w:rPr>
          <w:i/>
          <w:iCs/>
        </w:rPr>
        <w:t xml:space="preserve">“Sono andata a chiedere aiuto e mi hanno prescritto la pillola. Punto.”</w:t>
      </w:r>
      <w:r>
        <w:t xml:space="preserve"> </w:t>
      </w:r>
      <w:r>
        <w:t xml:space="preserve">—</w:t>
      </w:r>
      <w:r>
        <w:t xml:space="preserve"> </w:t>
      </w:r>
      <w:r>
        <w:rPr>
          <w:i/>
          <w:iCs/>
        </w:rPr>
        <w:t xml:space="preserve">“Guardo le date prima di dire sì a un viaggio.”</w:t>
      </w:r>
      <w:r>
        <w:t xml:space="preserve"> </w:t>
      </w:r>
      <w:r>
        <w:t xml:space="preserve">—</w:t>
      </w:r>
      <w:r>
        <w:t xml:space="preserve"> </w:t>
      </w:r>
      <w:r>
        <w:rPr>
          <w:i/>
          <w:iCs/>
        </w:rPr>
        <w:t xml:space="preserve">“Sono in riunione, davanti a un cliente, e dentro ho un dolore che mi toglie il fiato. E sorrido.”</w:t>
      </w:r>
    </w:p>
    <w:p>
      <w:pPr>
        <w:pStyle w:val="BodyText"/>
      </w:pPr>
      <w:r>
        <w:t xml:space="preserve">Poi ci sono due frasi che quasi nessuno le ha chiesto, e che lei quasi mai porta da sola. La prima riguarda i rapporti:</w:t>
      </w:r>
      <w:r>
        <w:t xml:space="preserve"> </w:t>
      </w:r>
      <w:r>
        <w:rPr>
          <w:i/>
          <w:iCs/>
        </w:rPr>
        <w:t xml:space="preserve">“è una cosa intima, che mi pesa in un modo che non racconto a nessuno, nemmeno a lui.”</w:t>
      </w:r>
      <w:r>
        <w:t xml:space="preserve"> </w:t>
      </w:r>
      <w:r>
        <w:t xml:space="preserve">La seconda riguarda i figli:</w:t>
      </w:r>
      <w:r>
        <w:t xml:space="preserve"> </w:t>
      </w:r>
      <w:r>
        <w:rPr>
          <w:i/>
          <w:iCs/>
        </w:rPr>
        <w:t xml:space="preserve">“mi hanno detto che potrebbe essere più difficile, e adesso ogni discorso sui figli è una ferita che si riapre.”</w:t>
      </w:r>
    </w:p>
    <w:p>
      <w:pPr>
        <w:pStyle w:val="BodyText"/>
      </w:pPr>
      <w:r>
        <w:t xml:space="preserve">L’ultima frase spiega perché arriva con quel tono:</w:t>
      </w:r>
      <w:r>
        <w:t xml:space="preserve"> </w:t>
      </w:r>
      <w:r>
        <w:rPr>
          <w:i/>
          <w:iCs/>
        </w:rPr>
        <w:t xml:space="preserve">“ci ho fatto l’abitudine, e questo è il peggio.”</w:t>
      </w:r>
      <w:r>
        <w:t xml:space="preserve"> </w:t>
      </w:r>
      <w:r>
        <w:t xml:space="preserve">Ha organizzato la vita intorno al dolore, e lo chiama</w:t>
      </w:r>
      <w:r>
        <w:t xml:space="preserve"> </w:t>
      </w:r>
      <w:r>
        <w:rPr>
          <w:i/>
          <w:iCs/>
        </w:rPr>
        <w:t xml:space="preserve">il mio normale</w:t>
      </w:r>
      <w:r>
        <w:t xml:space="preserve">.</w:t>
      </w:r>
    </w:p>
    <w:p>
      <w:pPr>
        <w:pStyle w:val="BodyText"/>
      </w:pPr>
      <w:r>
        <w:t xml:space="preserve">Il quadro che ti elenca ha una forma sua. Dolore mestruale sproporzionato, che i rimedi comuni non controllano. Dolore pelvico anche fuori dai giorni del flusso. Dolore profondo durante o dopo i rapporti. Dolore lombare e sacrale che accompagna o precede il ciclo. Disturbi intestinali ciclici: diarrea, stitichezza, gonfiore, dolore all’evacuazione. A volte bruciore a urinare nei giorni del ciclo. Una stanchezza sproporzionata a tutto il resto.</w:t>
      </w:r>
    </w:p>
    <w:p>
      <w:pPr>
        <w:pStyle w:val="BodyText"/>
      </w:pPr>
      <w:r>
        <w:t xml:space="preserve">E un addome che si distende in modo evidente,</w:t>
      </w:r>
      <w:r>
        <w:t xml:space="preserve"> </w:t>
      </w:r>
      <w:r>
        <w:rPr>
          <w:b/>
          <w:bCs/>
        </w:rPr>
        <w:t xml:space="preserve">a periodi</w:t>
      </w:r>
      <w:r>
        <w:t xml:space="preserve">. Qui il carattere è tutto. La distensione che va e viene appartiene al quadro. Quella diventata</w:t>
      </w:r>
      <w:r>
        <w:t xml:space="preserve"> </w:t>
      </w:r>
      <w:r>
        <w:rPr>
          <w:b/>
          <w:bCs/>
        </w:rPr>
        <w:t xml:space="preserve">persistente</w:t>
      </w:r>
      <w:r>
        <w:t xml:space="preserve">, con sazietà precoce o perdita di appetito, no: è una riga della tabella delle bandiere rosse (Bankhead,</w:t>
      </w:r>
      <w:r>
        <w:t xml:space="preserve"> </w:t>
      </w:r>
      <w:r>
        <w:rPr>
          <w:i/>
          <w:iCs/>
        </w:rPr>
        <w:t xml:space="preserve">BJOG</w:t>
      </w:r>
      <w:r>
        <w:t xml:space="preserve"> </w:t>
      </w:r>
      <w:r>
        <w:t xml:space="preserve">2008 — PMID 18651882).</w:t>
      </w:r>
    </w:p>
    <w:bookmarkEnd w:id="11"/>
    <w:bookmarkStart w:id="12" w:name="cosa-ha-già-fatto"/>
    <w:p>
      <w:pPr>
        <w:pStyle w:val="Heading3"/>
      </w:pPr>
      <w:r>
        <w:t xml:space="preserve">Cosa ha già fatto</w:t>
      </w:r>
    </w:p>
    <w:p>
      <w:pPr>
        <w:pStyle w:val="FirstParagraph"/>
      </w:pPr>
      <w:r>
        <w:t xml:space="preserve">Antinfiammatori da quando era ragazza. Terapia ormonale — la pillola, o un progestinico come il dienogest — spesso presentata come la prima e unica risposta. Ecografia pelvica, spesso risonanza, in una parte dei casi una laparoscopia. Borsa calda e giornate a letto. Modifiche alimentari, integratori, attività fisica quando riesce. A volte un supporto psicologico, che aiuta sull’impatto della malattia. Almeno una volta lei l’ha vissuto come il sospetto che il dolore fosse nella sua testa.</w:t>
      </w:r>
    </w:p>
    <w:p>
      <w:pPr>
        <w:pStyle w:val="BodyText"/>
      </w:pPr>
      <w:r>
        <w:t xml:space="preserve">E una cosa che quasi nessuno le chiede:</w:t>
      </w:r>
      <w:r>
        <w:t xml:space="preserve"> </w:t>
      </w:r>
      <w:r>
        <w:rPr>
          <w:b/>
          <w:bCs/>
        </w:rPr>
        <w:t xml:space="preserve">sta cercando una gravidanza? è in stimolazione ovarica? è già gravida?</w:t>
      </w:r>
      <w:r>
        <w:t xml:space="preserve"> </w:t>
      </w:r>
      <w:r>
        <w:t xml:space="preserve">L’infertilità è uno dei due sintomi cardine della malattia. Una quota non piccola di queste donne è dentro un percorso di procreazione assistita mentre ti parla. La risposta cambia il triage prima ancora del trattamento.</w:t>
      </w:r>
    </w:p>
    <w:p>
      <w:pPr>
        <w:pStyle w:val="BodyText"/>
      </w:pPr>
      <w:r>
        <w:t xml:space="preserve">Due numeri dicono in che condizione arriva, e vanno letti nell’ordine giusto.</w:t>
      </w:r>
    </w:p>
    <w:p>
      <w:pPr>
        <w:pStyle w:val="BodyText"/>
      </w:pPr>
      <w:r>
        <w:t xml:space="preserve">Fra la comparsa dei sintomi e la diagnosi chirurgica passano in media</w:t>
      </w:r>
      <w:r>
        <w:t xml:space="preserve"> </w:t>
      </w:r>
      <w:r>
        <w:rPr>
          <w:b/>
          <w:bCs/>
        </w:rPr>
        <w:t xml:space="preserve">sei anni e otto mesi</w:t>
      </w:r>
      <w:r>
        <w:t xml:space="preserve">, e il ritardo si accumula soprattutto in medicina di base. Ogni donna con endometriosi perde in media</w:t>
      </w:r>
      <w:r>
        <w:t xml:space="preserve"> </w:t>
      </w:r>
      <w:r>
        <w:rPr>
          <w:b/>
          <w:bCs/>
        </w:rPr>
        <w:t xml:space="preserve">quasi undici ore di lavoro alla settimana</w:t>
      </w:r>
      <w:r>
        <w:t xml:space="preserve">, per lo più non perché si assenti, ma perché rende meno mentre lavora. Il dato viene da 1.418 donne di età compresa fra i 18 e i 45 anni, arruolate in sedici centri di dieci Paesi al momento di una laparoscopia.</w:t>
      </w:r>
      <w:r>
        <w:t xml:space="preserve"> </w:t>
      </w:r>
      <w:r>
        <w:rPr>
          <w:b/>
          <w:bCs/>
        </w:rPr>
        <w:t xml:space="preserve">Per te:</w:t>
      </w:r>
      <w:r>
        <w:t xml:space="preserve"> </w:t>
      </w:r>
      <w:r>
        <w:t xml:space="preserve">l’attesa media dice che quando arriva da te ha già consumato anni di credibilità, e che la sua diffidenza non è un tratto caratteriale ma un dato epidemiologico. Le undici ore ti danno la misura su cui vale la pena guardare il risultato — quanto riesce a fare in una settimana — invece del solo numero sulla scala del dolore.</w:t>
      </w:r>
      <w:r>
        <w:t xml:space="preserve"> </w:t>
      </w:r>
      <w:r>
        <w:t xml:space="preserve">(Nnoaham,</w:t>
      </w:r>
      <w:r>
        <w:t xml:space="preserve"> </w:t>
      </w:r>
      <w:r>
        <w:rPr>
          <w:i/>
          <w:iCs/>
        </w:rPr>
        <w:t xml:space="preserve">Fertil Steril</w:t>
      </w:r>
      <w:r>
        <w:t xml:space="preserve"> </w:t>
      </w:r>
      <w:r>
        <w:t xml:space="preserve">2011 — PMID 21718982)</w:t>
      </w:r>
    </w:p>
    <w:p>
      <w:pPr>
        <w:pStyle w:val="BodyText"/>
      </w:pPr>
      <w:r>
        <w:t xml:space="preserve">Una revisione sistematica più recente, su diciassette studi osservazionali, riporta tempi che vanno da quattro mesi a dodici anni. L’intervallo è largo per due ragioni: gli studi non contano dallo stesso punto di partenza, e i sistemi sanitari sono diversi.</w:t>
      </w:r>
      <w:r>
        <w:t xml:space="preserve"> </w:t>
      </w:r>
      <w:r>
        <w:rPr>
          <w:b/>
          <w:bCs/>
        </w:rPr>
        <w:t xml:space="preserve">Per te:</w:t>
      </w:r>
      <w:r>
        <w:t xml:space="preserve"> </w:t>
      </w:r>
      <w:r>
        <w:t xml:space="preserve">il numero che ti riguarda è il primo, perché le tue pazienti arrivano dal percorso italiano di medicina di base. Il secondo serve a una cosa sola: non citare mai</w:t>
      </w:r>
      <w:r>
        <w:t xml:space="preserve"> </w:t>
      </w:r>
      <w:r>
        <w:t xml:space="preserve">“sette anni”</w:t>
      </w:r>
      <w:r>
        <w:t xml:space="preserve"> </w:t>
      </w:r>
      <w:r>
        <w:t xml:space="preserve">come se fosse una legge di natura. (De Corte,</w:t>
      </w:r>
      <w:r>
        <w:t xml:space="preserve"> </w:t>
      </w:r>
      <w:r>
        <w:rPr>
          <w:i/>
          <w:iCs/>
        </w:rPr>
        <w:t xml:space="preserve">BJOG</w:t>
      </w:r>
      <w:r>
        <w:t xml:space="preserve"> </w:t>
      </w:r>
      <w:r>
        <w:t xml:space="preserve">2025 — PMID 39373298)</w:t>
      </w:r>
    </w:p>
    <w:bookmarkEnd w:id="12"/>
    <w:bookmarkStart w:id="13" w:name="cosa-nessuno-ha-guardato"/>
    <w:p>
      <w:pPr>
        <w:pStyle w:val="Heading3"/>
      </w:pPr>
      <w:r>
        <w:t xml:space="preserve">Cosa nessuno ha guardato</w:t>
      </w:r>
    </w:p>
    <w:p>
      <w:pPr>
        <w:pStyle w:val="FirstParagraph"/>
      </w:pPr>
      <w:r>
        <w:t xml:space="preserve">Il percorso standard è corretto e incompleto.</w:t>
      </w:r>
    </w:p>
    <w:p>
      <w:pPr>
        <w:pStyle w:val="BodyText"/>
      </w:pPr>
      <w:r>
        <w:t xml:space="preserve">È corretto perché la diagnosi e la terapia della malattia sono atto medico, perché la terapia ormonale ha un razionale solido, e perché la chirurgia ha indicazioni precise.</w:t>
      </w:r>
    </w:p>
    <w:p>
      <w:pPr>
        <w:pStyle w:val="BodyText"/>
      </w:pPr>
      <w:r>
        <w:t xml:space="preserve">È incompleto su tre punti, ed è lo spazio in cui lavori. Nessuno le ha palpato la</w:t>
      </w:r>
      <w:r>
        <w:t xml:space="preserve"> </w:t>
      </w:r>
      <w:r>
        <w:rPr>
          <w:b/>
          <w:bCs/>
        </w:rPr>
        <w:t xml:space="preserve">parete addominale sotto l’ombelico</w:t>
      </w:r>
      <w:r>
        <w:t xml:space="preserve"> </w:t>
      </w:r>
      <w:r>
        <w:t xml:space="preserve">cercando se il dolore che sente si riproduce da fuori. Nessuno ha misurato niente sulla</w:t>
      </w:r>
      <w:r>
        <w:t xml:space="preserve"> </w:t>
      </w:r>
      <w:r>
        <w:rPr>
          <w:b/>
          <w:bCs/>
        </w:rPr>
        <w:t xml:space="preserve">regione lombo-sacrale</w:t>
      </w:r>
      <w:r>
        <w:t xml:space="preserve">, che nel suo racconto è il secondo distretto dolente. E nessuno le ha spiegato perché continua a fare male quando l’immagine è stabile e la terapia è al massimo. Che è esattamente la domanda con cui è entrata.</w:t>
      </w:r>
    </w:p>
    <w:bookmarkEnd w:id="13"/>
    <w:bookmarkStart w:id="14" w:name="le-tre-domande-che-ti-farà"/>
    <w:p>
      <w:pPr>
        <w:pStyle w:val="Heading3"/>
      </w:pPr>
      <w:r>
        <w:t xml:space="preserve">Le tre domande che ti farà</w:t>
      </w:r>
    </w:p>
    <w:p>
      <w:pPr>
        <w:pStyle w:val="FirstParagraph"/>
      </w:pPr>
      <w:r>
        <w:rPr>
          <w:b/>
          <w:bCs/>
        </w:rPr>
        <w:t xml:space="preserve">“Se l’endometriosi non si cura con le mani, cosa venite a fare voi?”</w:t>
      </w:r>
      <w:r>
        <w:t xml:space="preserve"> </w:t>
      </w:r>
      <w:r>
        <w:t xml:space="preserve">— La risposta sta in «Perché le mani possono cambiare qualcosa», e va saputa dire in trenta secondi.</w:t>
      </w:r>
    </w:p>
    <w:p>
      <w:pPr>
        <w:pStyle w:val="BodyText"/>
      </w:pPr>
      <w:r>
        <w:rPr>
          <w:b/>
          <w:bCs/>
        </w:rPr>
        <w:t xml:space="preserve">“Perché mi fa male anche quando la terapia funziona?”</w:t>
      </w:r>
      <w:r>
        <w:t xml:space="preserve"> </w:t>
      </w:r>
      <w:r>
        <w:t xml:space="preserve">— Sta in «Cosa si rompe», ed è la parte che devi saper dire a memoria.</w:t>
      </w:r>
    </w:p>
    <w:p>
      <w:pPr>
        <w:pStyle w:val="BodyText"/>
      </w:pPr>
      <w:r>
        <w:rPr>
          <w:b/>
          <w:bCs/>
        </w:rPr>
        <w:t xml:space="preserve">“Se vengo da lei, posso ridurre la terapia ormonale?”</w:t>
      </w:r>
      <w:r>
        <w:t xml:space="preserve"> </w:t>
      </w:r>
      <w:r>
        <w:t xml:space="preserve">— Non è una decisione tua, mai. La frase esatta sta in «Cosa dire alla paziente».</w:t>
      </w:r>
    </w:p>
    <w:p>
      <w:pPr>
        <w:pStyle w:val="BodyText"/>
      </w:pPr>
      <w:r>
        <w:rPr>
          <w:b/>
          <w:bCs/>
        </w:rPr>
        <w:t xml:space="preserve">Le tre cose da ricordare, più una</w:t>
      </w:r>
    </w:p>
    <w:p>
      <w:pPr>
        <w:pStyle w:val="Compact"/>
        <w:numPr>
          <w:ilvl w:val="0"/>
          <w:numId w:val="1002"/>
        </w:numPr>
      </w:pPr>
      <w:r>
        <w:t xml:space="preserve">Arriva con anni di invalidazione alle spalle: la prima cosa che le porti di nuovo è una domanda che nessuno le ha fatto, non una tecnica.</w:t>
      </w:r>
    </w:p>
    <w:p>
      <w:pPr>
        <w:pStyle w:val="Compact"/>
        <w:numPr>
          <w:ilvl w:val="0"/>
          <w:numId w:val="1002"/>
        </w:numPr>
      </w:pPr>
      <w:r>
        <w:t xml:space="preserve">Il suo quadro non è il ciclo: dolore fuori dal flusso, rapporti, schiena bassa, intestino e vescica fanno parte del sintomo e nel percorso standard non hanno un titolare.</w:t>
      </w:r>
    </w:p>
    <w:p>
      <w:pPr>
        <w:pStyle w:val="Compact"/>
        <w:numPr>
          <w:ilvl w:val="0"/>
          <w:numId w:val="1002"/>
        </w:numPr>
      </w:pPr>
      <w:r>
        <w:t xml:space="preserve">Due sintomi non li porta da sola — il dolore nei rapporti e il tema dei figli: si nominano tu, con parole semplici, o restano fuori dalla cartella.</w:t>
      </w:r>
    </w:p>
    <w:p>
      <w:pPr>
        <w:pStyle w:val="Compact"/>
        <w:numPr>
          <w:ilvl w:val="0"/>
          <w:numId w:val="1002"/>
        </w:numPr>
      </w:pPr>
      <w:r>
        <w:rPr>
          <w:b/>
          <w:bCs/>
        </w:rPr>
        <w:t xml:space="preserve">Perché ci sei tu.</w:t>
      </w:r>
      <w:r>
        <w:t xml:space="preserve"> </w:t>
      </w:r>
      <w:r>
        <w:t xml:space="preserve">Fra la comparsa dei sintomi e la diagnosi chirurgica passano in media sei anni e otto mesi, e il ritardo si accumula soprattutto in medicina di base (Nnoaham 2011 — PMID 21718982). Questo ti autorizza a fare le due domande che nessuno le ha fatto — il dolore nei rapporti e i giorni di dolore fuori dal flusso — e a scriverle al curante. Non ti autorizza a formulare tu la diagnosi che gli altri non hanno formulato.</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l’endometriosi è una malattia infiammatoria cronica dipendente dagli ormoni, e la quantità di malattia che si vede non predice la quantità di dolore che si sente.</w:t>
      </w:r>
    </w:p>
    <w:bookmarkStart w:id="16" w:name="la-definizione"/>
    <w:p>
      <w:pPr>
        <w:pStyle w:val="Heading3"/>
      </w:pPr>
      <w:r>
        <w:t xml:space="preserve">La definizione</w:t>
      </w:r>
    </w:p>
    <w:p>
      <w:pPr>
        <w:pStyle w:val="FirstParagraph"/>
      </w:pPr>
      <w:r>
        <w:t xml:space="preserve">L’endometriosi è la presenza di tessuto simile all’endometrio fuori dalla cavità uterina, con una reazione infiammatoria cronica attorno. È una condizione cronica, e la varietà dei quadri è enorme: cambia la sede delle lesioni, cambiano i segni e i sintomi. I sintomi principali sono</w:t>
      </w:r>
      <w:r>
        <w:t xml:space="preserve"> </w:t>
      </w:r>
      <w:r>
        <w:rPr>
          <w:b/>
          <w:bCs/>
        </w:rPr>
        <w:t xml:space="preserve">dolore</w:t>
      </w:r>
      <w:r>
        <w:t xml:space="preserve"> </w:t>
      </w:r>
      <w:r>
        <w:t xml:space="preserve">e</w:t>
      </w:r>
      <w:r>
        <w:t xml:space="preserve"> </w:t>
      </w:r>
      <w:r>
        <w:rPr>
          <w:b/>
          <w:bCs/>
        </w:rPr>
        <w:t xml:space="preserve">infertilità</w:t>
      </w:r>
      <w:r>
        <w:t xml:space="preserve"> </w:t>
      </w:r>
      <w:r>
        <w:t xml:space="preserve">(Becker, ESHRE,</w:t>
      </w:r>
      <w:r>
        <w:t xml:space="preserve"> </w:t>
      </w:r>
      <w:r>
        <w:rPr>
          <w:i/>
          <w:iCs/>
        </w:rPr>
        <w:t xml:space="preserve">Hum Reprod Open</w:t>
      </w:r>
      <w:r>
        <w:t xml:space="preserve"> </w:t>
      </w:r>
      <w:r>
        <w:t xml:space="preserve">2022 — PMID 35350465).</w:t>
      </w:r>
    </w:p>
    <w:p>
      <w:pPr>
        <w:pStyle w:val="BodyText"/>
      </w:pPr>
      <w:r>
        <w:t xml:space="preserve">Per comodità clinica si distinguono tre forme, che spesso convivono. La</w:t>
      </w:r>
      <w:r>
        <w:t xml:space="preserve"> </w:t>
      </w:r>
      <w:r>
        <w:rPr>
          <w:b/>
          <w:bCs/>
        </w:rPr>
        <w:t xml:space="preserve">superficiale peritoneale</w:t>
      </w:r>
      <w:r>
        <w:t xml:space="preserve">. L’</w:t>
      </w:r>
      <w:r>
        <w:rPr>
          <w:b/>
          <w:bCs/>
        </w:rPr>
        <w:t xml:space="preserve">ovarica</w:t>
      </w:r>
      <w:r>
        <w:t xml:space="preserve">, cioè l’endometrioma. E la</w:t>
      </w:r>
      <w:r>
        <w:t xml:space="preserve"> </w:t>
      </w:r>
      <w:r>
        <w:rPr>
          <w:b/>
          <w:bCs/>
        </w:rPr>
        <w:t xml:space="preserve">profonda infiltrante</w:t>
      </w:r>
      <w:r>
        <w:t xml:space="preserve">, quando il tessuto invade oltre cinque millimetri sotto il peritoneo e può coinvolgere legamenti utero-sacrali, retto, vescica, ureteri (Del Forno,</w:t>
      </w:r>
      <w:r>
        <w:t xml:space="preserve"> </w:t>
      </w:r>
      <w:r>
        <w:rPr>
          <w:i/>
          <w:iCs/>
        </w:rPr>
        <w:t xml:space="preserve">Medicina</w:t>
      </w:r>
      <w:r>
        <w:t xml:space="preserve"> </w:t>
      </w:r>
      <w:r>
        <w:t xml:space="preserve">2023 — PMID 38256327).</w:t>
      </w:r>
    </w:p>
    <w:bookmarkEnd w:id="16"/>
    <w:bookmarkStart w:id="17" w:name="quanto-è-diffusa-e-chi-colpisce"/>
    <w:p>
      <w:pPr>
        <w:pStyle w:val="Heading3"/>
      </w:pPr>
      <w:r>
        <w:t xml:space="preserve">Quanto è diffusa e chi colpisce</w:t>
      </w:r>
    </w:p>
    <w:p>
      <w:pPr>
        <w:pStyle w:val="FirstParagraph"/>
      </w:pPr>
      <w:r>
        <w:t xml:space="preserve">Colpisce fino al</w:t>
      </w:r>
      <w:r>
        <w:t xml:space="preserve"> </w:t>
      </w:r>
      <w:r>
        <w:rPr>
          <w:b/>
          <w:bCs/>
        </w:rPr>
        <w:t xml:space="preserve">6-10% delle donne in età riproduttiva</w:t>
      </w:r>
      <w:r>
        <w:t xml:space="preserve"> </w:t>
      </w:r>
      <w:r>
        <w:t xml:space="preserve">(Del Forno, 2023 — PMID 38256327). La stima globale usata dalla letteratura recente è di circa</w:t>
      </w:r>
      <w:r>
        <w:t xml:space="preserve"> </w:t>
      </w:r>
      <w:r>
        <w:rPr>
          <w:b/>
          <w:bCs/>
        </w:rPr>
        <w:t xml:space="preserve">190 milioni di donne in età riproduttiva</w:t>
      </w:r>
      <w:r>
        <w:t xml:space="preserve"> </w:t>
      </w:r>
      <w:r>
        <w:t xml:space="preserve">(Can,</w:t>
      </w:r>
      <w:r>
        <w:t xml:space="preserve"> </w:t>
      </w:r>
      <w:r>
        <w:rPr>
          <w:i/>
          <w:iCs/>
        </w:rPr>
        <w:t xml:space="preserve">Pain Med</w:t>
      </w:r>
      <w:r>
        <w:t xml:space="preserve"> </w:t>
      </w:r>
      <w:r>
        <w:t xml:space="preserve">2026 — PMID 40705433).</w:t>
      </w:r>
    </w:p>
    <w:p>
      <w:pPr>
        <w:pStyle w:val="BodyText"/>
      </w:pPr>
      <w:r>
        <w:t xml:space="preserve">C’è un dato che cambia il modo in cui ascolti l’anamnesi giovanile. Fra le adolescenti portate in laparoscopia per dismenorrea,</w:t>
      </w:r>
      <w:r>
        <w:t xml:space="preserve"> </w:t>
      </w:r>
      <w:r>
        <w:rPr>
          <w:b/>
          <w:bCs/>
        </w:rPr>
        <w:t xml:space="preserve">sette su dieci</w:t>
      </w:r>
      <w:r>
        <w:t xml:space="preserve"> </w:t>
      </w:r>
      <w:r>
        <w:t xml:space="preserve">hanno endometriosi visibile.</w:t>
      </w:r>
      <w:r>
        <w:t xml:space="preserve"> </w:t>
      </w:r>
      <w:r>
        <w:rPr>
          <w:b/>
          <w:bCs/>
        </w:rPr>
        <w:t xml:space="preserve">Per te:</w:t>
      </w:r>
      <w:r>
        <w:t xml:space="preserve"> </w:t>
      </w:r>
      <w:r>
        <w:t xml:space="preserve">quando la tua paziente ti racconta che a sedici anni saltava scuola per il dolore e che nessuno indagò, non stai ascoltando un ricordo. Stai ascoltando il punto in cui il ritardo diagnostico è cominciato. Serve a scriverlo in cartella come fatto anamnestico —</w:t>
      </w:r>
      <w:r>
        <w:t xml:space="preserve"> </w:t>
      </w:r>
      <w:r>
        <w:rPr>
          <w:i/>
          <w:iCs/>
        </w:rPr>
        <w:t xml:space="preserve">dolore invalidante dall’adolescenza, mai indagato</w:t>
      </w:r>
      <w:r>
        <w:t xml:space="preserve"> </w:t>
      </w:r>
      <w:r>
        <w:t xml:space="preserve">— e a nominarlo in quei termini nella lettera, senza indicare da chi. Non serve a rifare oggi una diagnosi di allora. (Janssen,</w:t>
      </w:r>
      <w:r>
        <w:t xml:space="preserve"> </w:t>
      </w:r>
      <w:r>
        <w:rPr>
          <w:i/>
          <w:iCs/>
        </w:rPr>
        <w:t xml:space="preserve">Hum Reprod Update</w:t>
      </w:r>
      <w:r>
        <w:t xml:space="preserve"> </w:t>
      </w:r>
      <w:r>
        <w:t xml:space="preserve">2013 — PMID 23727940)</w:t>
      </w:r>
    </w:p>
    <w:bookmarkEnd w:id="17"/>
    <w:bookmarkStart w:id="18" w:name="come-evolve-se-non-fai-nulla"/>
    <w:p>
      <w:pPr>
        <w:pStyle w:val="Heading3"/>
      </w:pPr>
      <w:r>
        <w:t xml:space="preserve">Come evolve se non fai nulla</w:t>
      </w:r>
    </w:p>
    <w:p>
      <w:pPr>
        <w:pStyle w:val="FirstParagraph"/>
      </w:pPr>
      <w:r>
        <w:t xml:space="preserve">È una malattia cronica e recidivante. Il dolore fluttua con il ciclo, con la terapia, con i periodi della vita. Risponde alla soppressione ormonale e tende a ripresentarsi alla sospensione. Dopo la chirurgia una parte delle donne migliora molto, e una parte continua ad avere dolore pelvico</w:t>
      </w:r>
      <w:r>
        <w:t xml:space="preserve"> </w:t>
      </w:r>
      <w:r>
        <w:rPr>
          <w:b/>
          <w:bCs/>
        </w:rPr>
        <w:t xml:space="preserve">anche dopo la rimozione delle lesioni e con la terapia ormonale ottimizzata</w:t>
      </w:r>
      <w:r>
        <w:t xml:space="preserve"> </w:t>
      </w:r>
      <w:r>
        <w:t xml:space="preserve">(Phan,</w:t>
      </w:r>
      <w:r>
        <w:t xml:space="preserve"> </w:t>
      </w:r>
      <w:r>
        <w:rPr>
          <w:i/>
          <w:iCs/>
        </w:rPr>
        <w:t xml:space="preserve">Eur J Pain</w:t>
      </w:r>
      <w:r>
        <w:t xml:space="preserve"> </w:t>
      </w:r>
      <w:r>
        <w:t xml:space="preserve">2021 — PMID 33326662).</w:t>
      </w:r>
    </w:p>
    <w:p>
      <w:pPr>
        <w:pStyle w:val="BodyText"/>
      </w:pPr>
      <w:r>
        <w:t xml:space="preserve">Quanto fluttua da sola è stato misurato in cieco, e il numero è grande. In uno studio randomizzato in doppio cieco su 63 donne, il braccio a gestione d’attesa ha dato questo: il</w:t>
      </w:r>
      <w:r>
        <w:t xml:space="preserve"> </w:t>
      </w:r>
      <w:r>
        <w:rPr>
          <w:b/>
          <w:bCs/>
        </w:rPr>
        <w:t xml:space="preserve">22,6%</w:t>
      </w:r>
      <w:r>
        <w:t xml:space="preserve"> </w:t>
      </w:r>
      <w:r>
        <w:t xml:space="preserve">riferiva miglioramento a sei mesi senza sapere di non essere stata trattata (Sutton,</w:t>
      </w:r>
      <w:r>
        <w:t xml:space="preserve"> </w:t>
      </w:r>
      <w:r>
        <w:rPr>
          <w:i/>
          <w:iCs/>
        </w:rPr>
        <w:t xml:space="preserve">Fertil Steril</w:t>
      </w:r>
      <w:r>
        <w:t xml:space="preserve"> </w:t>
      </w:r>
      <w:r>
        <w:t xml:space="preserve">1994 — PMID 7926075). Con</w:t>
      </w:r>
      <w:r>
        <w:t xml:space="preserve"> </w:t>
      </w:r>
      <w:r>
        <w:rPr>
          <w:b/>
          <w:bCs/>
        </w:rPr>
        <w:t xml:space="preserve">chirurgia placebo</w:t>
      </w:r>
      <w:r>
        <w:t xml:space="preserve">, in cieco per paziente e valutatore,</w:t>
      </w:r>
      <w:r>
        <w:t xml:space="preserve"> </w:t>
      </w:r>
      <w:r>
        <w:rPr>
          <w:b/>
          <w:bCs/>
        </w:rPr>
        <w:t xml:space="preserve">sei donne su diciannove — il 32%</w:t>
      </w:r>
      <w:r>
        <w:t xml:space="preserve"> </w:t>
      </w:r>
      <w:r>
        <w:t xml:space="preserve">— sono migliorate dopo la sola laparoscopia diagnostica. Gli autori parlano di una risposta al placebo del 30%, indipendente dalla gravità (Abbott,</w:t>
      </w:r>
      <w:r>
        <w:t xml:space="preserve"> </w:t>
      </w:r>
      <w:r>
        <w:rPr>
          <w:i/>
          <w:iCs/>
        </w:rPr>
        <w:t xml:space="preserve">Fertil Steril</w:t>
      </w:r>
      <w:r>
        <w:t xml:space="preserve"> </w:t>
      </w:r>
      <w:r>
        <w:t xml:space="preserve">2004 — PMID 15482763).</w:t>
      </w:r>
      <w:r>
        <w:t xml:space="preserve"> </w:t>
      </w:r>
      <w:r>
        <w:rPr>
          <w:b/>
          <w:bCs/>
        </w:rPr>
        <w:t xml:space="preserve">Per te:</w:t>
      </w:r>
      <w:r>
        <w:t xml:space="preserve"> </w:t>
      </w:r>
      <w:r>
        <w:t xml:space="preserve">una donna su tre migliora anche con un intervento finto. Tutto il tuo apparato di verifica — otto settimane, 15% sull’algometro, due giorni sul calendario — sta sotto quella soglia di rumore. Quel rumore non rende inutile la verifica: la declassa da prova di efficacia a</w:t>
      </w:r>
      <w:r>
        <w:t xml:space="preserve"> </w:t>
      </w:r>
      <w:r>
        <w:rPr>
          <w:b/>
          <w:bCs/>
        </w:rPr>
        <w:t xml:space="preserve">condizione minima per continuare</w:t>
      </w:r>
      <w:r>
        <w:t xml:space="preserv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 Sutton 1994; Abbott 2004. Sulla malattia e non sul sintomo: le lesioni profonde non trattate progrediscono nel 21,4% dei casi (Bandini e Vercellini,</w:t>
      </w:r>
      <w:r>
        <w:t xml:space="preserve"> </w:t>
      </w:r>
      <w:r>
        <w:rPr>
          <w:i/>
          <w:iCs/>
        </w:rPr>
        <w:t xml:space="preserve">Acta Obstet Gynecol Scand</w:t>
      </w:r>
      <w:r>
        <w:t xml:space="preserve"> </w:t>
      </w:r>
      <w:r>
        <w:t xml:space="preserve">2024 — PMID 38867640).</w:t>
      </w:r>
    </w:p>
    <w:p>
      <w:pPr>
        <w:pStyle w:val="FirstParagraph"/>
      </w:pPr>
      <w:r>
        <w:t xml:space="preserve">Questa fluttuazione è la ragione per cui, su questa condizione, un miglioramento dopo tre sedute non prova niente da solo. Il ciclo successivo può essere più leggero per conto suo. La prova sta nel marker, non nell’impressione — e nemmeno il marker, da solo, è una prova.</w:t>
      </w:r>
    </w:p>
    <w:bookmarkEnd w:id="18"/>
    <w:bookmarkStart w:id="19" w:name="X6820c7f04c7379b5930bec9ad9aa3ee0e127e21"/>
    <w:p>
      <w:pPr>
        <w:pStyle w:val="Heading3"/>
      </w:pPr>
      <w:r>
        <w:t xml:space="preserve">Cosa dicono le etichette che porta, e cosa non dicono</w:t>
      </w:r>
    </w:p>
    <w:p>
      <w:pPr>
        <w:pStyle w:val="FirstParagraph"/>
      </w:pPr>
      <w:r>
        <w:rPr>
          <w:b/>
          <w:bCs/>
        </w:rPr>
        <w:t xml:space="preserve">Lo stadio ASRM (I-IV)</w:t>
      </w:r>
      <w:r>
        <w:t xml:space="preserve"> </w:t>
      </w:r>
      <w:r>
        <w:t xml:space="preserve">dice quanta malattia il chirurgo ha visto e quanto era aderente.</w:t>
      </w:r>
      <w:r>
        <w:t xml:space="preserve"> </w:t>
      </w:r>
      <w:r>
        <w:rPr>
          <w:b/>
          <w:bCs/>
        </w:rPr>
        <w:t xml:space="preserve">Non dice quanto fa male.</w:t>
      </w:r>
      <w:r>
        <w:t xml:space="preserve"> </w:t>
      </w:r>
      <w:r>
        <w:t xml:space="preserve">È il chilometraggio dell’auto: dice quanta strada ha fatto, non come cammina oggi. Il dolore profondo nei rapporti si associa alla dolorabilità del pavimento pelvico e della vescica sia nelle donne con stadio I-II sia in quelle con stadio III-IV, indipendentemente dai fattori legati alla malattia (Orr,</w:t>
      </w:r>
      <w:r>
        <w:t xml:space="preserve"> </w:t>
      </w:r>
      <w:r>
        <w:rPr>
          <w:i/>
          <w:iCs/>
        </w:rPr>
        <w:t xml:space="preserve">J Sex Med</w:t>
      </w:r>
      <w:r>
        <w:t xml:space="preserve"> </w:t>
      </w:r>
      <w:r>
        <w:t xml:space="preserve">2018, 411 donne con endometriosi confermata all’esame istologico — PMID 30078464).</w:t>
      </w:r>
    </w:p>
    <w:p>
      <w:pPr>
        <w:pStyle w:val="BodyText"/>
      </w:pPr>
      <w:r>
        <w:rPr>
          <w:b/>
          <w:bCs/>
        </w:rPr>
        <w:t xml:space="preserve">“Endometriosi profonda infiltrante”</w:t>
      </w:r>
      <w:r>
        <w:t xml:space="preserve"> </w:t>
      </w:r>
      <w:r>
        <w:t xml:space="preserve">dice dove la malattia arriva, e serve a chi opera. Per te cambia una cosa sola: alza la probabilità di un pavimento pelvico ipertonico, e alza l’attenzione sulle bandiere rosse intestinali e urinarie.</w:t>
      </w:r>
    </w:p>
    <w:p>
      <w:pPr>
        <w:pStyle w:val="BodyText"/>
      </w:pPr>
      <w:r>
        <w:rPr>
          <w:b/>
          <w:bCs/>
        </w:rPr>
        <w:t xml:space="preserve">“Ecografia negativa”</w:t>
      </w:r>
      <w:r>
        <w:t xml:space="preserve"> </w:t>
      </w:r>
      <w:r>
        <w:t xml:space="preserve">non dice niente sull’assenza di malattia. Le linee guida europee lo scrivono come raccomandazione forte (Becker, 2022 — PMID 35350465). Quella inglese chiede di non escludere l’endometriosi nemmeno con esame obiettivo ed ecografia normali (NICE NG73).</w:t>
      </w:r>
    </w:p>
    <w:bookmarkEnd w:id="19"/>
    <w:bookmarkStart w:id="20" w:name="cosa-non-è"/>
    <w:p>
      <w:pPr>
        <w:pStyle w:val="Heading3"/>
      </w:pPr>
      <w:r>
        <w:t xml:space="preserve">Cosa non è</w:t>
      </w:r>
    </w:p>
    <w:p>
      <w:pPr>
        <w:pStyle w:val="Compact"/>
        <w:numPr>
          <w:ilvl w:val="0"/>
          <w:numId w:val="1003"/>
        </w:numPr>
      </w:pPr>
      <w:r>
        <w:rPr>
          <w:b/>
          <w:bCs/>
        </w:rPr>
        <w:t xml:space="preserve">La dismenorrea primaria.</w:t>
      </w:r>
      <w:r>
        <w:t xml:space="preserve"> </w:t>
      </w:r>
      <w:r>
        <w:t xml:space="preserve">Dolore mestruale senza causa organica, che comincia con i primi cicli e non peggiora anno dopo anno. Vedi la Bibbia del ciclo doloroso: condivide con questa il territorio somatico e la parete addominale, non la storia naturale.</w:t>
      </w:r>
    </w:p>
    <w:p>
      <w:pPr>
        <w:pStyle w:val="Compact"/>
        <w:numPr>
          <w:ilvl w:val="0"/>
          <w:numId w:val="1003"/>
        </w:numPr>
      </w:pPr>
      <w:r>
        <w:rPr>
          <w:b/>
          <w:bCs/>
        </w:rPr>
        <w:t xml:space="preserve">L’adenomiosi.</w:t>
      </w:r>
      <w:r>
        <w:t xml:space="preserve"> </w:t>
      </w:r>
      <w:r>
        <w:t xml:space="preserve">Tessuto endometriale dentro il miometrio. Dà flussi abbondanti e utero globoso, spesso convive con l’endometriosi, e si vede in ecografia e risonanza.</w:t>
      </w:r>
    </w:p>
    <w:p>
      <w:pPr>
        <w:pStyle w:val="Compact"/>
        <w:numPr>
          <w:ilvl w:val="0"/>
          <w:numId w:val="1003"/>
        </w:numPr>
      </w:pPr>
      <w:r>
        <w:rPr>
          <w:b/>
          <w:bCs/>
        </w:rPr>
        <w:t xml:space="preserve">La sindrome dell’intestino irritabile.</w:t>
      </w:r>
      <w:r>
        <w:t xml:space="preserve"> </w:t>
      </w:r>
      <w:r>
        <w:t xml:space="preserve">Convive spessissimo, e i sintomi intestinali ciclici sono il punto in cui le due si confondono. Il criterio che orienta è il legame con il flusso, non con i pasti.</w:t>
      </w:r>
    </w:p>
    <w:p>
      <w:pPr>
        <w:pStyle w:val="Compact"/>
        <w:numPr>
          <w:ilvl w:val="0"/>
          <w:numId w:val="1003"/>
        </w:numPr>
      </w:pPr>
      <w:r>
        <w:rPr>
          <w:b/>
          <w:bCs/>
        </w:rPr>
        <w:t xml:space="preserve">La sindrome della vescica dolorosa.</w:t>
      </w:r>
      <w:r>
        <w:t xml:space="preserve"> </w:t>
      </w:r>
      <w:r>
        <w:t xml:space="preserve">Anch’essa frequente in queste donne, e associata in modo indipendente al dolore profondo nei rapporti (Orr, 2018 — PMID 30078464).</w:t>
      </w:r>
    </w:p>
    <w:p>
      <w:pPr>
        <w:pStyle w:val="Compact"/>
        <w:numPr>
          <w:ilvl w:val="0"/>
          <w:numId w:val="1003"/>
        </w:numPr>
      </w:pPr>
      <w:r>
        <w:rPr>
          <w:b/>
          <w:bCs/>
        </w:rPr>
        <w:t xml:space="preserve">La sindrome da intrappolamento del nervo cutaneo anteriore (ACNES).</w:t>
      </w:r>
      <w:r>
        <w:t xml:space="preserve"> </w:t>
      </w:r>
      <w:r>
        <w:t xml:space="preserve">È l’intrappolamento del ramo cutaneo anteriore di un nervo intercostale, al margine laterale del retto. Colpisce soprattutto donne giovani e dà Carnett positivo esattamente come un punto miofasciale (Scheltinga e Roumen,</w:t>
      </w:r>
      <w:r>
        <w:t xml:space="preserve"> </w:t>
      </w:r>
      <w:r>
        <w:rPr>
          <w:i/>
          <w:iCs/>
        </w:rPr>
        <w:t xml:space="preserve">Hernia</w:t>
      </w:r>
      <w:r>
        <w:t xml:space="preserve"> </w:t>
      </w:r>
      <w:r>
        <w:t xml:space="preserve">2018 — PMID 29270882). È la diagnosi differenziale del bersaglio raggiungibile migliore di questo documento, e ha un destinatario suo: terapia del dolore, o chirurgia della parete.</w:t>
      </w:r>
    </w:p>
    <w:p>
      <w:pPr>
        <w:pStyle w:val="Compact"/>
        <w:numPr>
          <w:ilvl w:val="0"/>
          <w:numId w:val="1003"/>
        </w:numPr>
      </w:pPr>
      <w:r>
        <w:rPr>
          <w:b/>
          <w:bCs/>
        </w:rPr>
        <w:t xml:space="preserve">L’endometriosi della parete addominale su cicatrice</w:t>
      </w:r>
      <w:r>
        <w:t xml:space="preserve">, tipicamente da taglio cesareo. È un nodulo doloroso ciclicamente, dentro la cicatrice. Ha un rilievo pratico enorme per noi: è l’unico quadro in cui una massa palpabile in parete non è un punto miofasciale. Vedi la Bibbia delle cicatrici da cesareo.</w:t>
      </w:r>
    </w:p>
    <w:p>
      <w:pPr>
        <w:pStyle w:val="FirstParagraph"/>
      </w:pPr>
      <w:r>
        <w:rPr>
          <w:b/>
          <w:bCs/>
        </w:rPr>
        <w:t xml:space="preserve">Le tre cose da ricordare, più una</w:t>
      </w:r>
    </w:p>
    <w:p>
      <w:pPr>
        <w:pStyle w:val="Compact"/>
        <w:numPr>
          <w:ilvl w:val="0"/>
          <w:numId w:val="1004"/>
        </w:numPr>
      </w:pPr>
      <w:r>
        <w:t xml:space="preserve">Lo stadio dice quanta malattia si vede, non quanto fa male: non usarlo per stimare quanto puoi fare.</w:t>
      </w:r>
    </w:p>
    <w:p>
      <w:pPr>
        <w:pStyle w:val="Compact"/>
        <w:numPr>
          <w:ilvl w:val="0"/>
          <w:numId w:val="1004"/>
        </w:numPr>
      </w:pPr>
      <w:r>
        <w:t xml:space="preserve">La malattia fluttua da sola, quindi un miglioramento senza marker non è una prova.</w:t>
      </w:r>
    </w:p>
    <w:p>
      <w:pPr>
        <w:pStyle w:val="Compact"/>
        <w:numPr>
          <w:ilvl w:val="0"/>
          <w:numId w:val="1004"/>
        </w:numPr>
      </w:pPr>
      <w:r>
        <w:t xml:space="preserve">I sintomi intestinali e urinari ciclici appartengono al quadro: cercarli non è invadere il campo di nessuno, è completare l’anamnesi.</w:t>
      </w:r>
    </w:p>
    <w:p>
      <w:pPr>
        <w:pStyle w:val="Compact"/>
        <w:numPr>
          <w:ilvl w:val="0"/>
          <w:numId w:val="1004"/>
        </w:numPr>
      </w:pPr>
      <w:r>
        <w:rPr>
          <w:b/>
          <w:bCs/>
        </w:rPr>
        <w:t xml:space="preserve">Perché ci sei tu.</w:t>
      </w:r>
      <w:r>
        <w:t xml:space="preserve"> </w:t>
      </w:r>
      <w:r>
        <w:t xml:space="preserve">Le linee guida europee raccomandano in modo forte che un’immagine negativa non escluda l’endometriosi, e la linea guida inglese chiede di non escluderla nemmeno con esame obiettivo ed ecografia normali (Becker, 2022 — PMID 35350465; NICE NG73). Questo ti autorizza a tenere aperto il canale medico su una donna che ti dice</w:t>
      </w:r>
      <w:r>
        <w:t xml:space="preserve"> </w:t>
      </w:r>
      <w:r>
        <w:t xml:space="preserve">“ho già fatto tutto e sono a posto”</w:t>
      </w:r>
      <w:r>
        <w:t xml:space="preserve">. Non ti autorizza a dirle che ce l’ha: la frase che puoi dire è che quell’esame non l’ha esclusa.</w:t>
      </w:r>
    </w:p>
    <w:p>
      <w:r>
        <w:pict>
          <v:rect style="width:0;height:1.5pt" o:hralign="center" o:hrstd="t" o:hr="t"/>
        </w:pict>
      </w:r>
    </w:p>
    <w:bookmarkEnd w:id="20"/>
    <w:bookmarkEnd w:id="21"/>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l’utero non è raggiungibile dalle tue mani, ma il territorio in cui manda il suo dolore lo è quasi per intero — ed è lì che questa Bibbia lavora.</w:t>
      </w:r>
    </w:p>
    <w:bookmarkStart w:id="22" w:name="le-vie-del-dolore-uterino-t10-l1-e-s2-s4"/>
    <w:p>
      <w:pPr>
        <w:pStyle w:val="Heading3"/>
      </w:pPr>
      <w:r>
        <w:t xml:space="preserve">1. Le vie del dolore uterino — T10-L1 e S2-S4</w:t>
      </w:r>
    </w:p>
    <w:p>
      <w:pPr>
        <w:pStyle w:val="FirstParagraph"/>
      </w:pPr>
      <w:r>
        <w:rPr>
          <w:b/>
          <w:bCs/>
        </w:rPr>
        <w:t xml:space="preserve">Cos’è.</w:t>
      </w:r>
      <w:r>
        <w:t xml:space="preserve"> </w:t>
      </w:r>
      <w:r>
        <w:t xml:space="preserve">Il corpo dell’utero manda i suoi segnali dolorosi lungo i</w:t>
      </w:r>
      <w:r>
        <w:t xml:space="preserve"> </w:t>
      </w:r>
      <w:r>
        <w:rPr>
          <w:b/>
          <w:bCs/>
        </w:rPr>
        <w:t xml:space="preserve">nervi ipogastrici</w:t>
      </w:r>
      <w:r>
        <w:t xml:space="preserve">, fino ai segmenti midollari</w:t>
      </w:r>
      <w:r>
        <w:t xml:space="preserve"> </w:t>
      </w:r>
      <w:r>
        <w:rPr>
          <w:b/>
          <w:bCs/>
        </w:rPr>
        <w:t xml:space="preserve">da T10 a L1</w:t>
      </w:r>
      <w:r>
        <w:t xml:space="preserve">. La vagina e il collo dell’utero li mandano lungo i</w:t>
      </w:r>
      <w:r>
        <w:t xml:space="preserve"> </w:t>
      </w:r>
      <w:r>
        <w:rPr>
          <w:b/>
          <w:bCs/>
        </w:rPr>
        <w:t xml:space="preserve">nervi pelvici</w:t>
      </w:r>
      <w:r>
        <w:t xml:space="preserve">, fino a</w:t>
      </w:r>
      <w:r>
        <w:t xml:space="preserve"> </w:t>
      </w:r>
      <w:r>
        <w:rPr>
          <w:b/>
          <w:bCs/>
        </w:rPr>
        <w:t xml:space="preserve">S2-S4</w:t>
      </w:r>
      <w:r>
        <w:t xml:space="preserve"> </w:t>
      </w:r>
      <w:r>
        <w:t xml:space="preserve">(Ameer e Peterson,</w:t>
      </w:r>
      <w:r>
        <w:t xml:space="preserve"> </w:t>
      </w:r>
      <w:r>
        <w:rPr>
          <w:i/>
          <w:iCs/>
        </w:rPr>
        <w:t xml:space="preserve">StatPearls</w:t>
      </w:r>
      <w:r>
        <w:t xml:space="preserve"> </w:t>
      </w:r>
      <w:r>
        <w:t xml:space="preserve">— PMID 29262069).</w:t>
      </w:r>
    </w:p>
    <w:p>
      <w:pPr>
        <w:pStyle w:val="BodyText"/>
      </w:pPr>
      <w:r>
        <w:rPr>
          <w:b/>
          <w:bCs/>
        </w:rPr>
        <w:t xml:space="preserve">Cosa fa.</w:t>
      </w:r>
      <w:r>
        <w:t xml:space="preserve"> </w:t>
      </w:r>
      <w:r>
        <w:t xml:space="preserve">Distribuisce il dolore su un territorio somatico preciso. La via ipogastrica porta a parete addominale sotto l’ombelico, lombare bassa, piega inguinale e interno coscia. La via pelvica porta a sacro, gluteo e faccia posteriore della coscia.</w:t>
      </w:r>
    </w:p>
    <w:p>
      <w:pPr>
        <w:pStyle w:val="BodyText"/>
      </w:pPr>
      <w:r>
        <w:rPr>
          <w:b/>
          <w:bCs/>
        </w:rPr>
        <w:t xml:space="preserve">Il criterio che separa il riferito dal neuropatico.</w:t>
      </w:r>
      <w:r>
        <w:t xml:space="preserve"> </w:t>
      </w:r>
      <w:r>
        <w:t xml:space="preserve">La faccia posteriore della coscia è territorio di riferimento viscerale</w:t>
      </w:r>
      <w:r>
        <w:t xml:space="preserve"> </w:t>
      </w:r>
      <w:r>
        <w:rPr>
          <w:b/>
          <w:bCs/>
        </w:rPr>
        <w:t xml:space="preserve">e</w:t>
      </w:r>
      <w:r>
        <w:t xml:space="preserve"> </w:t>
      </w:r>
      <w:r>
        <w:t xml:space="preserve">sede della sciatalgia catameniale da endometriosi del nervo sciatico. Quest’ultima può dare dolore ciclico alla gamba per anni prima del deficit (Floyd,</w:t>
      </w:r>
      <w:r>
        <w:t xml:space="preserve"> </w:t>
      </w:r>
      <w:r>
        <w:rPr>
          <w:i/>
          <w:iCs/>
        </w:rPr>
        <w:t xml:space="preserve">J Neurosurg Spine</w:t>
      </w:r>
      <w:r>
        <w:t xml:space="preserve"> </w:t>
      </w:r>
      <w:r>
        <w:t xml:space="preserve">2011 — PMID 21184633; Arányi,</w:t>
      </w:r>
      <w:r>
        <w:t xml:space="preserve"> </w:t>
      </w:r>
      <w:r>
        <w:rPr>
          <w:i/>
          <w:iCs/>
        </w:rPr>
        <w:t xml:space="preserve">Muscle Nerve</w:t>
      </w:r>
      <w:r>
        <w:t xml:space="preserve"> </w:t>
      </w:r>
      <w:r>
        <w:t xml:space="preserve">2016 — PMID 27105020). Si distinguono così.</w:t>
      </w:r>
      <w:r>
        <w:t xml:space="preserve"> </w:t>
      </w:r>
      <w:r>
        <w:rPr>
          <w:b/>
          <w:bCs/>
        </w:rPr>
        <w:t xml:space="preserve">Riferito viscerale</w:t>
      </w:r>
      <w:r>
        <w:t xml:space="preserve"> </w:t>
      </w:r>
      <w:r>
        <w:t xml:space="preserve">= sordo, mal delimitato, nessun confine radicolare, nessuna alterazione di sensibilità o forza.</w:t>
      </w:r>
      <w:r>
        <w:t xml:space="preserve"> </w:t>
      </w:r>
      <w:r>
        <w:rPr>
          <w:b/>
          <w:bCs/>
        </w:rPr>
        <w:t xml:space="preserve">Neuropatico</w:t>
      </w:r>
      <w:r>
        <w:t xml:space="preserve"> </w:t>
      </w:r>
      <w:r>
        <w:t xml:space="preserve">= urente o lancinante, con distribuzione radicolare, con qualunque alterazione di sensibilità o forza. Il secondo non è nostro.</w:t>
      </w:r>
    </w:p>
    <w:p>
      <w:pPr>
        <w:pStyle w:val="BodyText"/>
      </w:pPr>
      <w:r>
        <w:rPr>
          <w:b/>
          <w:bCs/>
        </w:rPr>
        <w:t xml:space="preserve">Perché conta.</w:t>
      </w:r>
      <w:r>
        <w:t xml:space="preserve"> </w:t>
      </w:r>
      <w:r>
        <w:t xml:space="preserve">È la ragione anatomica per cui il dolore di questa malattia non resta dentro.</w:t>
      </w:r>
      <w:r>
        <w:t xml:space="preserve"> </w:t>
      </w:r>
      <w:r>
        <w:rPr>
          <w:b/>
          <w:bCs/>
        </w:rPr>
        <w:t xml:space="preserve">Il territorio di riferimento del dolore uterino è quasi identico alla mappa dei sintomi che la paziente ti elenca</w:t>
      </w:r>
      <w:r>
        <w:t xml:space="preserve">, e quel territorio è raggiungibile con le mani.</w:t>
      </w:r>
    </w:p>
    <w:p>
      <w:pPr>
        <w:pStyle w:val="BodyText"/>
      </w:pPr>
      <w:r>
        <w:t xml:space="preserve">Vale anche il contrario, e va detto con la stessa forza:</w:t>
      </w:r>
      <w:r>
        <w:t xml:space="preserve"> </w:t>
      </w:r>
      <w:r>
        <w:rPr>
          <w:b/>
          <w:bCs/>
        </w:rPr>
        <w:t xml:space="preserve">l’utero non proietta al collo, non proietta alla spalla, non proietta alla dorsale media.</w:t>
      </w:r>
      <w:r>
        <w:t xml:space="preserve"> </w:t>
      </w:r>
      <w:r>
        <w:t xml:space="preserve">Cercare lì una zona riflessa uterina è tempo perso. Ma non è un divieto di guardare, e le tre cose vanno tenute separate. Lì non si cerca un riferimento uterino. Lì si</w:t>
      </w:r>
      <w:r>
        <w:t xml:space="preserve"> </w:t>
      </w:r>
      <w:r>
        <w:rPr>
          <w:b/>
          <w:bCs/>
        </w:rPr>
        <w:t xml:space="preserve">misura</w:t>
      </w:r>
      <w:r>
        <w:t xml:space="preserve">, perché il trapezio è dove si legge la soglia abbassata a distanza. E la spalla destra ciclica è una bandiera rossa.</w:t>
      </w:r>
    </w:p>
    <w:bookmarkEnd w:id="22"/>
    <w:bookmarkStart w:id="23" w:name="X2b23e5916b1334f83d1a518975614e94c7b2430"/>
    <w:p>
      <w:pPr>
        <w:pStyle w:val="Heading3"/>
      </w:pPr>
      <w:r>
        <w:t xml:space="preserve">2. Il pavimento pelvico e lo iato dell’elevatore</w:t>
      </w:r>
    </w:p>
    <w:p>
      <w:pPr>
        <w:pStyle w:val="FirstParagraph"/>
      </w:pPr>
      <w:r>
        <w:rPr>
          <w:b/>
          <w:bCs/>
        </w:rPr>
        <w:t xml:space="preserve">Cos’è.</w:t>
      </w:r>
      <w:r>
        <w:t xml:space="preserve"> </w:t>
      </w:r>
      <w:r>
        <w:t xml:space="preserve">Il piano muscolare che chiude il bacino in basso, con l’</w:t>
      </w:r>
      <w:r>
        <w:rPr>
          <w:b/>
          <w:bCs/>
        </w:rPr>
        <w:t xml:space="preserve">elevatore dell’ano</w:t>
      </w:r>
      <w:r>
        <w:t xml:space="preserve"> </w:t>
      </w:r>
      <w:r>
        <w:t xml:space="preserve">come protagonista. L’apertura che delimita è lo</w:t>
      </w:r>
      <w:r>
        <w:t xml:space="preserve"> </w:t>
      </w:r>
      <w:r>
        <w:rPr>
          <w:b/>
          <w:bCs/>
        </w:rPr>
        <w:t xml:space="preserve">iato levatorio</w:t>
      </w:r>
      <w:r>
        <w:t xml:space="preserve">, la cui superficie si misura in ecografia transperineale tridimensionale. Sostiene i visceri, controlla la continenza, e si rilascia per permettere il rapporto, l’evacuazione e la minzione.</w:t>
      </w:r>
    </w:p>
    <w:p>
      <w:pPr>
        <w:pStyle w:val="BodyText"/>
      </w:pPr>
      <w:r>
        <w:rPr>
          <w:b/>
          <w:bCs/>
        </w:rPr>
        <w:t xml:space="preserve">Perché conta.</w:t>
      </w:r>
      <w:r>
        <w:t xml:space="preserve"> </w:t>
      </w:r>
      <w:r>
        <w:t xml:space="preserve">È la struttura con il reperto meglio documentato di tutto il quadro. L’endometriosi profonda si associa a</w:t>
      </w:r>
      <w:r>
        <w:t xml:space="preserve"> </w:t>
      </w:r>
      <w:r>
        <w:rPr>
          <w:b/>
          <w:bCs/>
        </w:rPr>
        <w:t xml:space="preserve">ipertono del pavimento pelvico</w:t>
      </w:r>
      <w:r>
        <w:t xml:space="preserve">, e quell’ipertono è misurabile in ecografia. L’area dello iato si è allargata sotto trattamento fisioterapico, e non da sola (Del Forno 2021 — PMID 33428320; descritto in «Cosa dice la scienza»). È un dato di trattamento, non di storia naturale.</w:t>
      </w:r>
    </w:p>
    <w:bookmarkEnd w:id="23"/>
    <w:bookmarkStart w:id="24" w:name="la-parete-addominale-sotto-lombelico"/>
    <w:p>
      <w:pPr>
        <w:pStyle w:val="Heading3"/>
      </w:pPr>
      <w:r>
        <w:t xml:space="preserve">3. La parete addominale sotto l’ombelico</w:t>
      </w:r>
    </w:p>
    <w:p>
      <w:pPr>
        <w:pStyle w:val="FirstParagraph"/>
      </w:pPr>
      <w:r>
        <w:rPr>
          <w:b/>
          <w:bCs/>
        </w:rPr>
        <w:t xml:space="preserve">Cos’è.</w:t>
      </w:r>
      <w:r>
        <w:t xml:space="preserve"> </w:t>
      </w:r>
      <w:r>
        <w:t xml:space="preserve">I</w:t>
      </w:r>
      <w:r>
        <w:t xml:space="preserve"> </w:t>
      </w:r>
      <w:r>
        <w:rPr>
          <w:b/>
          <w:bCs/>
        </w:rPr>
        <w:t xml:space="preserve">retti dell’addome</w:t>
      </w:r>
      <w:r>
        <w:t xml:space="preserve"> </w:t>
      </w:r>
      <w:r>
        <w:t xml:space="preserve">e i piani laterali, innervati dai nervi intercostali di T10-L1 — gli stessi segmenti che ricevono il dolore uterino. Reggono la pressione addominale e partecipano al respiro. Per quella coincidenza segmentaria sono il tessuto somatico che riceve per primo il traffico nocicettivo che sale dall’utero.</w:t>
      </w:r>
    </w:p>
    <w:p>
      <w:pPr>
        <w:pStyle w:val="BodyText"/>
      </w:pPr>
      <w:r>
        <w:rPr>
          <w:b/>
          <w:bCs/>
        </w:rPr>
        <w:t xml:space="preserve">Perché conta.</w:t>
      </w:r>
      <w:r>
        <w:t xml:space="preserve"> </w:t>
      </w:r>
      <w:r>
        <w:t xml:space="preserve">È il posto dove il dolore si trasferisce, ed è il posto che nessuno palpa. Due dati lo reggono. In queste donne i punti dolorosi miofasciali sono diffusi e le soglie di pressione sono basse (Phan 2021 — PMID 33326662). E il dolore di parete con test di Carnett positivo è frequente, e si associa in modo indipendente al dolore pelvico cronico, ma</w:t>
      </w:r>
      <w:r>
        <w:t xml:space="preserve"> </w:t>
      </w:r>
      <w:r>
        <w:rPr>
          <w:b/>
          <w:bCs/>
        </w:rPr>
        <w:t xml:space="preserve">non</w:t>
      </w:r>
      <w:r>
        <w:t xml:space="preserve"> </w:t>
      </w:r>
      <w:r>
        <w:t xml:space="preserve">a dismenorrea, dispareunia o sintomi intestinali e vescicali (Mui e Yong 2016 — PMID 27032740). Entrambi sono descritti in «Cosa dice la scienza». Insieme dicono perché questo è il bersaglio migliore</w:t>
      </w:r>
      <w:r>
        <w:t xml:space="preserve"> </w:t>
      </w:r>
      <w:r>
        <w:rPr>
          <w:b/>
          <w:bCs/>
        </w:rPr>
        <w:t xml:space="preserve">fra quelli che la tua mano raggiunge</w:t>
      </w:r>
      <w:r>
        <w:t xml:space="preserve">: la parete si comporta come</w:t>
      </w:r>
      <w:r>
        <w:t xml:space="preserve"> </w:t>
      </w:r>
      <w:r>
        <w:rPr>
          <w:b/>
          <w:bCs/>
        </w:rPr>
        <w:t xml:space="preserve">sorgente propria</w:t>
      </w:r>
      <w:r>
        <w:t xml:space="preserve">, non come eco dell’utero.</w:t>
      </w:r>
    </w:p>
    <w:p>
      <w:pPr>
        <w:pStyle w:val="BlockText"/>
      </w:pPr>
      <w:r>
        <w:rPr>
          <w:b/>
          <w:bCs/>
        </w:rPr>
        <w:t xml:space="preserve">Attenzione:</w:t>
      </w:r>
      <w:r>
        <w:t xml:space="preserve"> </w:t>
      </w:r>
      <w:r>
        <w:t xml:space="preserve">non tutto ciò che duole in parete è un punto miofasciale. Una massa dura, circoscritta, dolente ciclicamente dentro o accanto a una cicatrice</w:t>
      </w:r>
      <w:r>
        <w:t xml:space="preserve"> </w:t>
      </w:r>
      <w:r>
        <w:rPr>
          <w:b/>
          <w:bCs/>
        </w:rPr>
        <w:t xml:space="preserve">non si comprime</w:t>
      </w:r>
      <w:r>
        <w:t xml:space="preserve">: si documenta e si invia (vedi la Bibbia delle cicatrici da cesareo). L’altra eccezione, l’ACNES, è descritta in «Cosa si rompe».</w:t>
      </w:r>
    </w:p>
    <w:bookmarkEnd w:id="24"/>
    <w:bookmarkStart w:id="25" w:name="Xed580624d821ead5c5954d54769dcf092cca938"/>
    <w:p>
      <w:pPr>
        <w:pStyle w:val="Heading3"/>
      </w:pPr>
      <w:r>
        <w:t xml:space="preserve">4. I legamenti utero-sacrali e il cavo del Douglas</w:t>
      </w:r>
    </w:p>
    <w:p>
      <w:pPr>
        <w:pStyle w:val="FirstParagraph"/>
      </w:pPr>
      <w:r>
        <w:rPr>
          <w:b/>
          <w:bCs/>
        </w:rPr>
        <w:t xml:space="preserve">Cos’è.</w:t>
      </w:r>
      <w:r>
        <w:t xml:space="preserve"> </w:t>
      </w:r>
      <w:r>
        <w:t xml:space="preserve">Le due lamine fibrose che ancorano il collo dell’utero al sacro, e lo spazio fra utero e retto che chiudono posteriormente. Contengono fibre nervose autonomiche dirette al plesso ipogastrico inferiore.</w:t>
      </w:r>
    </w:p>
    <w:p>
      <w:pPr>
        <w:pStyle w:val="BodyText"/>
      </w:pPr>
      <w:r>
        <w:rPr>
          <w:b/>
          <w:bCs/>
        </w:rPr>
        <w:t xml:space="preserve">Perché conta.</w:t>
      </w:r>
      <w:r>
        <w:t xml:space="preserve"> </w:t>
      </w:r>
      <w:r>
        <w:t xml:space="preserve">Sono la sede elettiva della malattia profonda, ed è lì che il bacino perde lo scorrimento. L’obliterazione del cavo del Douglas si riconosce in ecografia transvaginale con il</w:t>
      </w:r>
      <w:r>
        <w:t xml:space="preserve"> </w:t>
      </w:r>
      <w:r>
        <w:rPr>
          <w:b/>
          <w:bCs/>
        </w:rPr>
        <w:t xml:space="preserve">segno dello scorrimento</w:t>
      </w:r>
      <w:r>
        <w:t xml:space="preserve">, cioè guardando se l’utero scivola sul retto. È un reperto comune, e però anche un ecografista esperto impara a vederlo solo con un tirocinio dedicato (Tammaa e Hudelist 2014 — PMID 24777849; descritto in «Dove finisce il nostro campo»).</w:t>
      </w:r>
    </w:p>
    <w:bookmarkEnd w:id="25"/>
    <w:bookmarkStart w:id="26" w:name="X7aa3889ecabbc4b98214b725c0adbacd73f0710"/>
    <w:p>
      <w:pPr>
        <w:pStyle w:val="Heading3"/>
      </w:pPr>
      <w:r>
        <w:t xml:space="preserve">5. Il complesso lombo-sacrale e le sacroiliache</w:t>
      </w:r>
    </w:p>
    <w:p>
      <w:pPr>
        <w:pStyle w:val="FirstParagraph"/>
      </w:pPr>
      <w:r>
        <w:rPr>
          <w:b/>
          <w:bCs/>
        </w:rPr>
        <w:t xml:space="preserve">Cos’è.</w:t>
      </w:r>
      <w:r>
        <w:t xml:space="preserve"> </w:t>
      </w:r>
      <w:r>
        <w:t xml:space="preserve">L’unità da L4 al coccige, con le due sacroiliache e la muscolatura profonda che le governa. Trasmette il carico fra tronco e arti inferiori, e ospita il territorio somatico di S2-S4.</w:t>
      </w:r>
    </w:p>
    <w:p>
      <w:pPr>
        <w:pStyle w:val="BodyText"/>
      </w:pPr>
      <w:r>
        <w:rPr>
          <w:b/>
          <w:bCs/>
        </w:rPr>
        <w:t xml:space="preserve">Perché conta.</w:t>
      </w:r>
      <w:r>
        <w:t xml:space="preserve"> </w:t>
      </w:r>
      <w:r>
        <w:t xml:space="preserve">È il secondo distretto dolente del racconto della paziente. Ed è l’unico in cui puoi produrre una misura funzionale ripetibile — un’escursione — invece di una soglia di dolore.</w:t>
      </w:r>
    </w:p>
    <w:bookmarkEnd w:id="26"/>
    <w:bookmarkStart w:id="27" w:name="il-diaframma"/>
    <w:p>
      <w:pPr>
        <w:pStyle w:val="Heading3"/>
      </w:pPr>
      <w:r>
        <w:t xml:space="preserve">6. Il diaframma</w:t>
      </w:r>
    </w:p>
    <w:p>
      <w:pPr>
        <w:pStyle w:val="FirstParagraph"/>
      </w:pPr>
      <w:r>
        <w:rPr>
          <w:b/>
          <w:bCs/>
        </w:rPr>
        <w:t xml:space="preserve">Cos’è.</w:t>
      </w:r>
      <w:r>
        <w:t xml:space="preserve"> </w:t>
      </w:r>
      <w:r>
        <w:t xml:space="preserve">La cupola muscolo-tendinea che separa torace e addome, innervata dal</w:t>
      </w:r>
      <w:r>
        <w:t xml:space="preserve"> </w:t>
      </w:r>
      <w:r>
        <w:rPr>
          <w:b/>
          <w:bCs/>
        </w:rPr>
        <w:t xml:space="preserve">nervo frenico</w:t>
      </w:r>
      <w:r>
        <w:t xml:space="preserve">, che nasce da C3-C4-C5. È il primo motore del respiro e il regolatore della pressione fra torace e addome.</w:t>
      </w:r>
    </w:p>
    <w:p>
      <w:pPr>
        <w:pStyle w:val="BodyText"/>
      </w:pPr>
      <w:r>
        <w:rPr>
          <w:b/>
          <w:bCs/>
        </w:rPr>
        <w:t xml:space="preserve">Perché conta, e questa è la chicca da ricordare.</w:t>
      </w:r>
      <w:r>
        <w:t xml:space="preserve"> </w:t>
      </w:r>
      <w:r>
        <w:t xml:space="preserve">L’endometriosi può depositarsi</w:t>
      </w:r>
      <w:r>
        <w:t xml:space="preserve"> </w:t>
      </w:r>
      <w:r>
        <w:rPr>
          <w:b/>
          <w:bCs/>
        </w:rPr>
        <w:t xml:space="preserve">sul diaframma</w:t>
      </w:r>
      <w:r>
        <w:t xml:space="preserve">, quasi sempre a destra. Quando succede, il dolore non compare in addome: compare</w:t>
      </w:r>
      <w:r>
        <w:t xml:space="preserve"> </w:t>
      </w:r>
      <w:r>
        <w:rPr>
          <w:b/>
          <w:bCs/>
        </w:rPr>
        <w:t xml:space="preserve">alla spalla e al torace</w:t>
      </w:r>
      <w:r>
        <w:t xml:space="preserve">, ciclicamente, perché il frenico riporta a C3-C5. La forma più frequente della sindrome toracica è il</w:t>
      </w:r>
      <w:r>
        <w:t xml:space="preserve"> </w:t>
      </w:r>
      <w:r>
        <w:rPr>
          <w:b/>
          <w:bCs/>
        </w:rPr>
        <w:t xml:space="preserve">pneumotorace catameniale</w:t>
      </w:r>
      <w:r>
        <w:t xml:space="preserve">, che colpisce donne in età fertile e nella casistica pubblicata è risultato destro in tutti i casi (Kubokura,</w:t>
      </w:r>
      <w:r>
        <w:t xml:space="preserve"> </w:t>
      </w:r>
      <w:r>
        <w:rPr>
          <w:i/>
          <w:iCs/>
        </w:rPr>
        <w:t xml:space="preserve">J Nippon Med Sch</w:t>
      </w:r>
      <w:r>
        <w:t xml:space="preserve"> </w:t>
      </w:r>
      <w:r>
        <w:t xml:space="preserve">2026 — PMID 40128971). Una paziente con dolore ciclico alla spalla destra non ti sta portando un compenso posturale: ti sta portando una bandiera rossa.</w:t>
      </w:r>
    </w:p>
    <w:p>
      <w:pPr>
        <w:pStyle w:val="BodyText"/>
      </w:pPr>
      <w:r>
        <w:rPr>
          <w:b/>
          <w:bCs/>
        </w:rPr>
        <w:t xml:space="preserve">Nell’ordine giusto, però.</w:t>
      </w:r>
      <w:r>
        <w:t xml:space="preserve"> </w:t>
      </w:r>
      <w:r>
        <w:t xml:space="preserve">Davanti a un affanno improvviso, o a un dolore toracico che peggiora col respiro, si esclude prima l’</w:t>
      </w:r>
      <w:r>
        <w:rPr>
          <w:b/>
          <w:bCs/>
        </w:rPr>
        <w:t xml:space="preserve">embolia polmonare</w:t>
      </w:r>
      <w:r>
        <w:t xml:space="preserve">. Quasi tutte queste donne assumono una terapia ormonale, che moltiplica il rischio di tromboembolismo (Lidegaard 2011 — PMID 22027398; il moltiplicatore è nel Passo 0 di «Come ragiono davanti a questa paziente»). Ancorarsi al pneumotorace catameniale davanti a una dispnea acuta fa perdere i minuti che contano.</w:t>
      </w:r>
    </w:p>
    <w:bookmarkEnd w:id="27"/>
    <w:bookmarkStart w:id="28" w:name="il-colon-sigma-e-la-vescica"/>
    <w:p>
      <w:pPr>
        <w:pStyle w:val="Heading3"/>
      </w:pPr>
      <w:r>
        <w:t xml:space="preserve">7. Il colon-sigma e la vescica</w:t>
      </w:r>
    </w:p>
    <w:p>
      <w:pPr>
        <w:pStyle w:val="FirstParagraph"/>
      </w:pPr>
      <w:r>
        <w:rPr>
          <w:b/>
          <w:bCs/>
        </w:rPr>
        <w:t xml:space="preserve">Cos’è.</w:t>
      </w:r>
      <w:r>
        <w:t xml:space="preserve"> </w:t>
      </w:r>
      <w:r>
        <w:t xml:space="preserve">I due organi cavi che confinano con i compartimenti posteriore e anteriore del bacino. Si riempiono e si svuotano, e il pavimento pelvico deve accompagnarli.</w:t>
      </w:r>
    </w:p>
    <w:p>
      <w:pPr>
        <w:pStyle w:val="BodyText"/>
      </w:pPr>
      <w:r>
        <w:rPr>
          <w:b/>
          <w:bCs/>
        </w:rPr>
        <w:t xml:space="preserve">Perché conta.</w:t>
      </w:r>
      <w:r>
        <w:t xml:space="preserve"> </w:t>
      </w:r>
      <w:r>
        <w:t xml:space="preserve">Sono la sede dei sintomi ciclici — dolore all’evacuazione, bruciore a urinare — e il punto in cui il quadro può diventare urgente. Fra queste donne la stitichezza cronica si associa a segni ecografici di ipertono del pavimento (Raimondo 2022 — PMID 34995357).</w:t>
      </w:r>
    </w:p>
    <w:p>
      <w:pPr>
        <w:pStyle w:val="BodyText"/>
      </w:pPr>
      <w:r>
        <w:rPr>
          <w:b/>
          <w:bCs/>
        </w:rPr>
        <w:t xml:space="preserve">Le tre cose da ricordare, più una</w:t>
      </w:r>
    </w:p>
    <w:p>
      <w:pPr>
        <w:pStyle w:val="Compact"/>
        <w:numPr>
          <w:ilvl w:val="0"/>
          <w:numId w:val="1005"/>
        </w:numPr>
      </w:pPr>
      <w:r>
        <w:t xml:space="preserve">L’utero manda il dolore a T10-L1 e a S2-S4: la parete sotto l’ombelico, la lombare bassa, l’inguine e il sacro sono il suo territorio di riferimento; il collo e la spalla non lo sono, ma restano territorio di misura, e la spalla destra ciclica è una bandiera rossa.</w:t>
      </w:r>
    </w:p>
    <w:p>
      <w:pPr>
        <w:pStyle w:val="Compact"/>
        <w:numPr>
          <w:ilvl w:val="0"/>
          <w:numId w:val="1005"/>
        </w:numPr>
      </w:pPr>
      <w:r>
        <w:t xml:space="preserve">Il pavimento pelvico è la struttura con il reperto meglio misurato del quadro, e la parete addominale è quella con il bersaglio più raggiungibile.</w:t>
      </w:r>
    </w:p>
    <w:p>
      <w:pPr>
        <w:pStyle w:val="Compact"/>
        <w:numPr>
          <w:ilvl w:val="0"/>
          <w:numId w:val="1005"/>
        </w:numPr>
      </w:pPr>
      <w:r>
        <w:t xml:space="preserve">Dolore ciclico alla spalla destra vuol dire diaframma, e vuol dire invio — ma se c’è affanno acuto, la prima ipotesi da escludere in urgenza è l’embolia, non l’endometriosi.</w:t>
      </w:r>
    </w:p>
    <w:p>
      <w:pPr>
        <w:pStyle w:val="Compact"/>
        <w:numPr>
          <w:ilvl w:val="0"/>
          <w:numId w:val="1005"/>
        </w:numPr>
      </w:pPr>
      <w:r>
        <w:rPr>
          <w:b/>
          <w:bCs/>
        </w:rPr>
        <w:t xml:space="preserve">Perché ci sei tu.</w:t>
      </w:r>
      <w:r>
        <w:t xml:space="preserve"> </w:t>
      </w:r>
      <w:r>
        <w:t xml:space="preserve">Il dolore del corpo dell’utero arriva ai segmenti da T10 a L1 e si riferisce alla parete addominale sotto l’ombelico, alla lombare bassa e all’interno coscia (Ameer e Peterson,</w:t>
      </w:r>
      <w:r>
        <w:t xml:space="preserve"> </w:t>
      </w:r>
      <w:r>
        <w:rPr>
          <w:i/>
          <w:iCs/>
        </w:rPr>
        <w:t xml:space="preserve">StatPearls</w:t>
      </w:r>
      <w:r>
        <w:t xml:space="preserve"> </w:t>
      </w:r>
      <w:r>
        <w:t xml:space="preserve">— PMID 29262069). Questo ti autorizza a lavorare su un territorio che è dentro la fisiopatologia del sintomo e non accanto ad essa. Non ti autorizza a dire che stai trattando l’utero: stai trattando il territorio in cui l’utero manda il proprio dolore.</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 bacino che funziona il traffico nocicettivo ciclico esiste, resta sotto la soglia della coscienza, e i muscoli che lo circondano si rilasciano fra un ciclo e l’altro.</w:t>
      </w:r>
    </w:p>
    <w:p>
      <w:pPr>
        <w:pStyle w:val="FirstParagraph"/>
      </w:pPr>
      <w:r>
        <w:t xml:space="preserve">Ecco la sequenza, in ordine.</w:t>
      </w:r>
    </w:p>
    <w:p>
      <w:pPr>
        <w:pStyle w:val="Compact"/>
        <w:numPr>
          <w:ilvl w:val="0"/>
          <w:numId w:val="1006"/>
        </w:numPr>
      </w:pPr>
      <w:r>
        <w:rPr>
          <w:b/>
          <w:bCs/>
        </w:rPr>
        <w:t xml:space="preserve">L’endometrio si sfalda e rilascia mediatori.</w:t>
      </w:r>
      <w:r>
        <w:t xml:space="preserve"> </w:t>
      </w:r>
      <w:r>
        <w:t xml:space="preserve">Prostaglandine e altre molecole infiammatorie compaiono a ogni mestruazione, anche in un utero sano: è il segnale che avvia le contrazioni.</w:t>
      </w:r>
    </w:p>
    <w:p>
      <w:pPr>
        <w:pStyle w:val="Compact"/>
        <w:numPr>
          <w:ilvl w:val="0"/>
          <w:numId w:val="1006"/>
        </w:numPr>
      </w:pPr>
      <w:r>
        <w:rPr>
          <w:b/>
          <w:bCs/>
        </w:rPr>
        <w:t xml:space="preserve">Il miometrio si contrae in modo ritmico</w:t>
      </w:r>
      <w:r>
        <w:t xml:space="preserve">, con contrazioni forti e brevi, e fra una e l’altra il muscolo si riperfonde.</w:t>
      </w:r>
    </w:p>
    <w:p>
      <w:pPr>
        <w:pStyle w:val="Compact"/>
        <w:numPr>
          <w:ilvl w:val="0"/>
          <w:numId w:val="1006"/>
        </w:numPr>
      </w:pPr>
      <w:r>
        <w:rPr>
          <w:b/>
          <w:bCs/>
        </w:rPr>
        <w:t xml:space="preserve">Il segnale sale, ma resta sotto soglia.</w:t>
      </w:r>
      <w:r>
        <w:t xml:space="preserve"> </w:t>
      </w:r>
      <w:r>
        <w:t xml:space="preserve">Le fibre nocicettive di T10-L1 e S2-S4 portano il traffico al midollo. In un sistema tarato bene la maggior parte non arriva alla coscienza, perché il guadagno lungo la via è basso. È la radio accesa con la manopola bassa: il segnale c’è, ma in casa non lo senti.</w:t>
      </w:r>
    </w:p>
    <w:p>
      <w:pPr>
        <w:pStyle w:val="Compact"/>
        <w:numPr>
          <w:ilvl w:val="0"/>
          <w:numId w:val="1006"/>
        </w:numPr>
      </w:pPr>
      <w:r>
        <w:rPr>
          <w:b/>
          <w:bCs/>
        </w:rPr>
        <w:t xml:space="preserve">Il pavimento pelvico si rilascia su richiesta.</w:t>
      </w:r>
      <w:r>
        <w:t xml:space="preserve"> </w:t>
      </w:r>
      <w:r>
        <w:t xml:space="preserve">Sotto ponzamento, durante il rapporto, all’evacuazione, l’elevatore dell’ano si allunga e lo iato si apre: è una funzione volontaria e riflessa insieme.</w:t>
      </w:r>
    </w:p>
    <w:p>
      <w:pPr>
        <w:pStyle w:val="Compact"/>
        <w:numPr>
          <w:ilvl w:val="0"/>
          <w:numId w:val="1006"/>
        </w:numPr>
      </w:pPr>
      <w:r>
        <w:rPr>
          <w:b/>
          <w:bCs/>
        </w:rPr>
        <w:t xml:space="preserve">Gli organi scorrono uno sull’altro</w:t>
      </w:r>
      <w:r>
        <w:t xml:space="preserve">, decine di migliaia di volte al giorno, mossi dal respiro, dai visceri e dal cammino.</w:t>
      </w:r>
    </w:p>
    <w:p>
      <w:pPr>
        <w:pStyle w:val="Compact"/>
        <w:numPr>
          <w:ilvl w:val="0"/>
          <w:numId w:val="1006"/>
        </w:numPr>
      </w:pPr>
      <w:r>
        <w:rPr>
          <w:b/>
          <w:bCs/>
        </w:rPr>
        <w:t xml:space="preserve">Il sistema torna a riposo fra un evento e l’altro.</w:t>
      </w:r>
      <w:r>
        <w:t xml:space="preserve"> </w:t>
      </w:r>
      <w:r>
        <w:t xml:space="preserve">Le soglie risalgono, i tessuti si rilasciano, e il mese ha giorni che non hanno nulla a che fare con il dolore.</w:t>
      </w:r>
    </w:p>
    <w:p>
      <w:pPr>
        <w:pStyle w:val="FirstParagraph"/>
      </w:pPr>
      <w:r>
        <w:t xml:space="preserve">I punti 4, 5 e 6 sono i tre che si guastano, ed è per questo che valeva la pena elencarli.</w:t>
      </w:r>
    </w:p>
    <w:p>
      <w:pPr>
        <w:pStyle w:val="BodyText"/>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Un po’ di traffico nocicettivo ciclico esiste anche in un bacino sano: la differenza non è la presenza del segnale, è quanto ne arriva.</w:t>
      </w:r>
    </w:p>
    <w:p>
      <w:pPr>
        <w:pStyle w:val="Compact"/>
        <w:numPr>
          <w:ilvl w:val="0"/>
          <w:numId w:val="1007"/>
        </w:numPr>
      </w:pPr>
      <w:r>
        <w:t xml:space="preserve">Il rilascio del pavimento pelvico è una funzione, non uno stato: si perde come si perde qualunque funzione poco usata.</w:t>
      </w:r>
    </w:p>
    <w:p>
      <w:pPr>
        <w:pStyle w:val="Compact"/>
        <w:numPr>
          <w:ilvl w:val="0"/>
          <w:numId w:val="1007"/>
        </w:numPr>
      </w:pPr>
      <w:r>
        <w:t xml:space="preserve">I giorni senza dolore fanno parte del funzionamento normale, e la loro scomparsa è il primo segno che il sistema ha cambiato taratura.</w:t>
      </w:r>
    </w:p>
    <w:p>
      <w:pPr>
        <w:pStyle w:val="Compact"/>
        <w:numPr>
          <w:ilvl w:val="0"/>
          <w:numId w:val="1007"/>
        </w:numPr>
      </w:pPr>
      <w:r>
        <w:rPr>
          <w:b/>
          <w:bCs/>
        </w:rPr>
        <w:t xml:space="preserve">Perché ci sei tu.</w:t>
      </w:r>
      <w:r>
        <w:t xml:space="preserve"> </w:t>
      </w:r>
      <w:r>
        <w:t xml:space="preserve">Le lesioni endometriosiche e il liquido peritoneale attorno hanno proprietà neuroangiogeniche: crescono dentro fibre nervose nuove e sovraesprimono fattori neurotrofici — ma la revisione che raccoglie questi dati conclude che una correlazione diretta fra densità delle fibre e dolore percepito non è confermata (Morotti,</w:t>
      </w:r>
      <w:r>
        <w:t xml:space="preserve"> </w:t>
      </w:r>
      <w:r>
        <w:rPr>
          <w:i/>
          <w:iCs/>
        </w:rPr>
        <w:t xml:space="preserve">Hum Reprod Update</w:t>
      </w:r>
      <w:r>
        <w:t xml:space="preserve"> </w:t>
      </w:r>
      <w:r>
        <w:t xml:space="preserve">2014 — PMID 24859987). Questo ti autorizza a spiegare alla paziente perché il dolore non segue l’immagine. Non ti autorizza a promettere che, lavorando sul territorio somatico, cambierai qualcosa dentro la lesione: quella parte non è tua e non la stai toccando.</w:t>
      </w:r>
    </w:p>
    <w:p>
      <w:r>
        <w:pict>
          <v:rect style="width:0;height:1.5pt" o:hralign="center" o:hrstd="t" o:hr="t"/>
        </w:pict>
      </w:r>
    </w:p>
    <w:bookmarkEnd w:id="30"/>
    <w:bookmarkStart w:id="37"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cose si rompono, e la malattia ne spiega direttamente solo una — le altre cinque sono la ragione per cui una donna curata bene continua a stare male.</w:t>
      </w:r>
    </w:p>
    <w:p>
      <w:pPr>
        <w:pStyle w:val="FirstParagraph"/>
      </w:pPr>
      <w:r>
        <w:t xml:space="preserve">I meccanismi sono ordinati dal più solido al meno solido. Un lettore critico che parte dal migliore è disposto a seguirti anche sull’ultimo.</w:t>
      </w:r>
    </w:p>
    <w:p>
      <w:pPr>
        <w:pStyle w:val="BodyText"/>
      </w:pPr>
      <w:r>
        <w:rPr>
          <w:b/>
          <w:bCs/>
        </w:rPr>
        <w:t xml:space="preserve">Attenzione a non confondere due ordini diversi.</w:t>
      </w:r>
      <w:r>
        <w:t xml:space="preserve"> </w:t>
      </w:r>
      <w:r>
        <w:t xml:space="preserve">Questo è l’ordine dell’evidenza, non l’ordine in cui si guardano in stanza. Quello sta nella Road Map di «Come ragiono davanti a questa paziente».</w:t>
      </w:r>
    </w:p>
    <w:p>
      <w:pPr>
        <w:pStyle w:val="BodyText"/>
      </w:pPr>
      <w:r>
        <w:rPr>
          <w:b/>
          <w:bCs/>
        </w:rPr>
        <w:t xml:space="preserve">E c’è un filo che li lega. Tienilo in mano mentre li leggi.</w:t>
      </w:r>
    </w:p>
    <w:p>
      <w:pPr>
        <w:pStyle w:val="Compact"/>
        <w:numPr>
          <w:ilvl w:val="0"/>
          <w:numId w:val="1008"/>
        </w:numPr>
      </w:pPr>
      <w:r>
        <w:t xml:space="preserve">Il dolore pelvico si ripete per anni.</w:t>
      </w:r>
    </w:p>
    <w:p>
      <w:pPr>
        <w:pStyle w:val="Compact"/>
        <w:numPr>
          <w:ilvl w:val="0"/>
          <w:numId w:val="1008"/>
        </w:numPr>
      </w:pPr>
      <w:r>
        <w:t xml:space="preserve">Il pavimento pelvico entra in difesa segmentale su S2-S4, e la soglia del neurone convergente su T10-L1 si abbassa.</w:t>
      </w:r>
    </w:p>
    <w:p>
      <w:pPr>
        <w:pStyle w:val="Compact"/>
        <w:numPr>
          <w:ilvl w:val="0"/>
          <w:numId w:val="1008"/>
        </w:numPr>
      </w:pPr>
      <w:r>
        <w:t xml:space="preserve">La parete addominale diventa sorgente propria, e rialimenta quel neurone.</w:t>
      </w:r>
    </w:p>
    <w:p>
      <w:pPr>
        <w:pStyle w:val="Compact"/>
        <w:numPr>
          <w:ilvl w:val="0"/>
          <w:numId w:val="1008"/>
        </w:numPr>
      </w:pPr>
      <w:r>
        <w:t xml:space="preserve">Le soglie si abbassano anche lontano dal bacino.</w:t>
      </w:r>
    </w:p>
    <w:p>
      <w:pPr>
        <w:pStyle w:val="Compact"/>
        <w:numPr>
          <w:ilvl w:val="0"/>
          <w:numId w:val="1008"/>
        </w:numPr>
      </w:pPr>
      <w:r>
        <w:t xml:space="preserve">Allarme ed evitamento si stringono.</w:t>
      </w:r>
    </w:p>
    <w:p>
      <w:pPr>
        <w:pStyle w:val="Compact"/>
        <w:numPr>
          <w:ilvl w:val="0"/>
          <w:numId w:val="1008"/>
        </w:numPr>
      </w:pPr>
      <w:r>
        <w:t xml:space="preserve">Il dolore continua anche con la terapia al massimo.</w:t>
      </w:r>
    </w:p>
    <w:p>
      <w:pPr>
        <w:pStyle w:val="FirstParagraph"/>
      </w:pPr>
      <w:r>
        <w:t xml:space="preserve">I sei meccanismi che seguono sono gli anelli di questa catena, elencati in un altro ordine.</w:t>
      </w:r>
    </w:p>
    <w:p>
      <w:pPr>
        <w:pStyle w:val="BodyText"/>
      </w:pPr>
      <w:r>
        <w:rPr>
          <w:b/>
          <w:bCs/>
        </w:rPr>
        <w:t xml:space="preserve">Una nota di vocabolario, che serve da qui in avanti.</w:t>
      </w:r>
      <w:r>
        <w:t xml:space="preserve"> </w:t>
      </w:r>
      <w:r>
        <w:t xml:space="preserve">La letteratura usa tre categorie, e il documento le adotta.</w:t>
      </w:r>
      <w:r>
        <w:t xml:space="preserve"> </w:t>
      </w:r>
      <w:r>
        <w:rPr>
          <w:b/>
          <w:bCs/>
        </w:rPr>
        <w:t xml:space="preserve">Nocicettivo</w:t>
      </w:r>
      <w:r>
        <w:t xml:space="preserve">: tessuto danneggiato o infiammato.</w:t>
      </w:r>
      <w:r>
        <w:t xml:space="preserve"> </w:t>
      </w:r>
      <w:r>
        <w:rPr>
          <w:b/>
          <w:bCs/>
        </w:rPr>
        <w:t xml:space="preserve">Neuropatico</w:t>
      </w:r>
      <w:r>
        <w:t xml:space="preserve">: nervo leso o compresso.</w:t>
      </w:r>
      <w:r>
        <w:t xml:space="preserve"> </w:t>
      </w:r>
      <w:r>
        <w:rPr>
          <w:b/>
          <w:bCs/>
        </w:rPr>
        <w:t xml:space="preserve">Nociplastico</w:t>
      </w:r>
      <w:r>
        <w:t xml:space="preserve">: ritaratura del sistema che elabora il segnale, senza un danno che lo spieghi. L’endometriosi si associa a tutte e tre, e la sensibilizzazione centrale è il meccanismo del terzo (Gentles e Yong,</w:t>
      </w:r>
      <w:r>
        <w:t xml:space="preserve"> </w:t>
      </w:r>
      <w:r>
        <w:rPr>
          <w:i/>
          <w:iCs/>
        </w:rPr>
        <w:t xml:space="preserve">J Clin Med</w:t>
      </w:r>
      <w:r>
        <w:t xml:space="preserve"> </w:t>
      </w:r>
      <w:r>
        <w:t xml:space="preserve">2024 — PMID 39768444).</w:t>
      </w:r>
    </w:p>
    <w:bookmarkStart w:id="31" w:name="il-pavimento-pelvico-che-non-molla"/>
    <w:p>
      <w:pPr>
        <w:pStyle w:val="Heading3"/>
      </w:pPr>
      <w:r>
        <w:t xml:space="preserve">1. Il pavimento pelvico che non molla</w:t>
      </w:r>
    </w:p>
    <w:p>
      <w:pPr>
        <w:pStyle w:val="FirstParagraph"/>
      </w:pPr>
      <w:r>
        <w:rPr>
          <w:b/>
          <w:bCs/>
        </w:rPr>
        <w:t xml:space="preserve">La sequenza</w:t>
      </w:r>
    </w:p>
    <w:p>
      <w:pPr>
        <w:pStyle w:val="Compact"/>
        <w:numPr>
          <w:ilvl w:val="0"/>
          <w:numId w:val="1009"/>
        </w:numPr>
      </w:pPr>
      <w:r>
        <w:t xml:space="preserve">Il dolore del compartimento posteriore — cervice, utero-sacrali, Douglas — entra a</w:t>
      </w:r>
      <w:r>
        <w:t xml:space="preserve"> </w:t>
      </w:r>
      <w:r>
        <w:rPr>
          <w:b/>
          <w:bCs/>
        </w:rPr>
        <w:t xml:space="preserve">S2-S4</w:t>
      </w:r>
      <w:r>
        <w:t xml:space="preserve">, gli stessi segmenti che comandano l’elevatore dell’ano. La difesa è segmentale: compare lì e non in parete. Il corpo dell’utero afferisce a T10-L1, e con l’elevatore non condivide segmento.</w:t>
      </w:r>
    </w:p>
    <w:p>
      <w:pPr>
        <w:pStyle w:val="Compact"/>
        <w:numPr>
          <w:ilvl w:val="0"/>
          <w:numId w:val="1009"/>
        </w:numPr>
      </w:pPr>
      <w:r>
        <w:t xml:space="preserve">L’elevatore resta in contrazione anche quando dovrebbe rilasciarsi. Lo iato si apre poco sotto ponzamento, il rapporto diventa doloroso all’ingresso, e la stessa rigidità si riflette sull’evacuazione — la</w:t>
      </w:r>
      <w:r>
        <w:t xml:space="preserve"> </w:t>
      </w:r>
      <w:r>
        <w:rPr>
          <w:b/>
          <w:bCs/>
        </w:rPr>
        <w:t xml:space="preserve">dischezia</w:t>
      </w:r>
      <w:r>
        <w:t xml:space="preserve">, cioè il dolore quando va di corpo — e sulla minzione.</w:t>
      </w:r>
    </w:p>
    <w:p>
      <w:pPr>
        <w:pStyle w:val="Compact"/>
        <w:numPr>
          <w:ilvl w:val="0"/>
          <w:numId w:val="1009"/>
        </w:numPr>
      </w:pPr>
      <w:r>
        <w:t xml:space="preserve">Il muscolo contratto diventa a sua volta una sorgente di dolore, indipendente dalla lesione che l’ha innescato.</w:t>
      </w:r>
    </w:p>
    <w:p>
      <w:pPr>
        <w:pStyle w:val="FirstParagraph"/>
      </w:pPr>
      <w:r>
        <w:t xml:space="preserve">Il dato che regge questo meccanismo non è una prevalenza, e non va spacciato per tale. Nello studio di Phan tutte e trenta le donne avevano spasmo del pavimento pelvico. Ma erano state selezionate per uno studio che richiedeva lo spasmo fra i criteri di inclusione (Phan,</w:t>
      </w:r>
      <w:r>
        <w:t xml:space="preserve"> </w:t>
      </w:r>
      <w:r>
        <w:rPr>
          <w:i/>
          <w:iCs/>
        </w:rPr>
        <w:t xml:space="preserve">Eur J Pain</w:t>
      </w:r>
      <w:r>
        <w:t xml:space="preserve"> </w:t>
      </w:r>
      <w:r>
        <w:t xml:space="preserve">2021 — PMID 33326662; campione dello studio NCT01553201). Quel «tutte e trenta» è vero e non informa: è un cerchio.</w:t>
      </w:r>
    </w:p>
    <w:p>
      <w:pPr>
        <w:pStyle w:val="BodyText"/>
      </w:pPr>
      <w:r>
        <w:t xml:space="preserve">Regge invece l’</w:t>
      </w:r>
      <w:r>
        <w:rPr>
          <w:b/>
          <w:bCs/>
        </w:rPr>
        <w:t xml:space="preserve">associazione</w:t>
      </w:r>
      <w:r>
        <w:t xml:space="preserve">, misurata su campioni grandi e non selezionati per il reperto. Dolorabilità del pavimento pelvico e dispareunia profonda a ogni stadio (Orr 2018 — PMID 30078464). Ipertono ecografico e stitichezza cronica (Raimondo 2022 — PMID 34995357).</w:t>
      </w:r>
      <w:r>
        <w:t xml:space="preserve"> </w:t>
      </w:r>
      <w:r>
        <w:rPr>
          <w:b/>
          <w:bCs/>
        </w:rPr>
        <w:t xml:space="preserve">Per te:</w:t>
      </w:r>
      <w:r>
        <w:t xml:space="preserve"> </w:t>
      </w:r>
      <w:r>
        <w:t xml:space="preserve">l’ipertono va cercato in ogni paziente, ma non sai in quante è presente e non devi dirlo. La domanda in anamnesi non è</w:t>
      </w:r>
      <w:r>
        <w:t xml:space="preserve"> </w:t>
      </w:r>
      <w:r>
        <w:rPr>
          <w:i/>
          <w:iCs/>
        </w:rPr>
        <w:t xml:space="preserve">“c’è anche dolore ai rapporti o all’evacuazione?”</w:t>
      </w:r>
      <w:r>
        <w:t xml:space="preserve"> </w:t>
      </w:r>
      <w:r>
        <w:t xml:space="preserve">ma</w:t>
      </w:r>
      <w:r>
        <w:t xml:space="preserve"> </w:t>
      </w:r>
      <w:r>
        <w:rPr>
          <w:i/>
          <w:iCs/>
        </w:rPr>
        <w:t xml:space="preserve">“quanto”</w:t>
      </w:r>
      <w:r>
        <w:t xml:space="preserve">.</w:t>
      </w:r>
    </w:p>
    <w:p>
      <w:pPr>
        <w:pStyle w:val="BodyText"/>
      </w:pPr>
      <w:r>
        <w:t xml:space="preserve">Una stima di frequenza con l’intervallo dichiarato esiste: mialgia del pavimento pelvico nel</w:t>
      </w:r>
      <w:r>
        <w:t xml:space="preserve"> </w:t>
      </w:r>
      <w:r>
        <w:rPr>
          <w:b/>
          <w:bCs/>
        </w:rPr>
        <w:t xml:space="preserve">73% (IC 95% 41,8-84,6%)</w:t>
      </w:r>
      <w:r>
        <w:t xml:space="preserve">. Due segnali la predicono meglio degli altri — la</w:t>
      </w:r>
      <w:r>
        <w:t xml:space="preserve"> </w:t>
      </w:r>
      <w:r>
        <w:rPr>
          <w:b/>
          <w:bCs/>
        </w:rPr>
        <w:t xml:space="preserve">dispareunia non ciclica</w:t>
      </w:r>
      <w:r>
        <w:t xml:space="preserve"> </w:t>
      </w:r>
      <w:r>
        <w:t xml:space="preserve">e lo</w:t>
      </w:r>
      <w:r>
        <w:t xml:space="preserve"> </w:t>
      </w:r>
      <w:r>
        <w:rPr>
          <w:b/>
          <w:bCs/>
        </w:rPr>
        <w:t xml:space="preserve">sforzo alla defecazione</w:t>
      </w:r>
      <w:r>
        <w:t xml:space="preserve"> </w:t>
      </w:r>
      <w:r>
        <w:t xml:space="preserve">— e nel 28% dei casi nessuno aveva esaminato il pavimento pelvico alla prima visita (Kapurubandara 2026 — PMID 42537749). È uno studio retrospettivo su una singola pratica privata di terzo livello, e l’intervallo va dal 42% all’85%:</w:t>
      </w:r>
      <w:r>
        <w:t xml:space="preserve"> </w:t>
      </w:r>
      <w:r>
        <w:rPr>
          <w:b/>
          <w:bCs/>
        </w:rPr>
        <w:t xml:space="preserve">il dato dice che il reperto è comune, non quanto lo sia.</w:t>
      </w:r>
      <w:r>
        <w:t xml:space="preserve"> </w:t>
      </w:r>
      <w:r>
        <w:rPr>
          <w:b/>
          <w:bCs/>
        </w:rPr>
        <w:t xml:space="preserve">Per te:</w:t>
      </w:r>
      <w:r>
        <w:t xml:space="preserve"> </w:t>
      </w:r>
      <w:r>
        <w:t xml:space="preserve">quei due segnali entrano in anamnesi come domande dirette, e il rinvio alla fisioterapista pelvi-perineale diventa la condotta ordinaria di questo pattern, non un’opzione.</w:t>
      </w:r>
    </w:p>
    <w:p>
      <w:pPr>
        <w:pStyle w:val="BlockText"/>
      </w:pPr>
      <w:r>
        <w:rPr>
          <w:b/>
          <w:bCs/>
        </w:rPr>
        <w:t xml:space="preserve">Definizione.</w:t>
      </w:r>
      <w:r>
        <w:t xml:space="preserve"> </w:t>
      </w:r>
      <w:r>
        <w:t xml:space="preserve">Il</w:t>
      </w:r>
      <w:r>
        <w:t xml:space="preserve"> </w:t>
      </w:r>
      <w:r>
        <w:rPr>
          <w:b/>
          <w:bCs/>
        </w:rPr>
        <w:t xml:space="preserve">salto</w:t>
      </w:r>
      <w:r>
        <w:t xml:space="preserve"> </w:t>
      </w:r>
      <w:r>
        <w:t xml:space="preserve">è la distanza fra lo studio che citi e la paziente che hai davanti. Si dichiara sempre, e dice di quanto la prova va scontata prima di appoggiarla al tuo caso. Le sei specie di salto sono in Appendice A.</w:t>
      </w:r>
    </w:p>
    <w:p>
      <w:pPr>
        <w:pStyle w:val="BlockText"/>
      </w:pPr>
      <w:r>
        <w:rPr>
          <w:b/>
          <w:bCs/>
        </w:rPr>
        <w:t xml:space="preserve">Quanto è solido:</w:t>
      </w:r>
      <w:r>
        <w:t xml:space="preserve"> </w:t>
      </w:r>
      <w:r>
        <w:t xml:space="preserve">l’etichetta si spezza. Che l’ipertono esista, sia misurabile e si associ ai sintomi:</w:t>
      </w:r>
      <w:r>
        <w:t xml:space="preserve"> </w:t>
      </w:r>
      <w:r>
        <w:rPr>
          <w:b/>
          <w:bCs/>
        </w:rPr>
        <w:t xml:space="preserve">DIMOSTRATO</w:t>
      </w:r>
      <w:r>
        <w:t xml:space="preserve"> </w:t>
      </w:r>
      <w:r>
        <w:rPr>
          <w:i/>
          <w:iCs/>
        </w:rPr>
        <w:t xml:space="preserve">(studi sull’uomo, solidi)</w:t>
      </w:r>
      <w:r>
        <w:t xml:space="preserve"> </w:t>
      </w:r>
      <w:r>
        <w:t xml:space="preserve">— Orr 2018 (PMID 30078464); Raimondo 2022 (PMID 34995357). Che sia modificabile:</w:t>
      </w:r>
      <w:r>
        <w:t xml:space="preserve"> </w:t>
      </w:r>
      <w:r>
        <w:rPr>
          <w:b/>
          <w:bCs/>
        </w:rPr>
        <w:t xml:space="preserve">PROBABILE</w:t>
      </w:r>
      <w:r>
        <w:t xml:space="preserve"> </w:t>
      </w:r>
      <w:r>
        <w:rPr>
          <w:i/>
          <w:iCs/>
        </w:rPr>
        <w:t xml:space="preserve">(razionale forte, prove parziali)</w:t>
      </w:r>
      <w:r>
        <w:t xml:space="preserve">, e</w:t>
      </w:r>
      <w:r>
        <w:t xml:space="preserve"> </w:t>
      </w:r>
      <w:r>
        <w:rPr>
          <w:b/>
          <w:bCs/>
        </w:rPr>
        <w:t xml:space="preserve">non da te</w:t>
      </w:r>
      <w:r>
        <w:t xml:space="preserve">. È un solo studio randomizzato, monocentrico, 30 analizzate, controllo senza intervento e quindi senza cieco, esito primario surrogato: un solo studio non regge una glossa che dice «studi», al plurale. E l’intervento è fisioterapia del pavimento pelvico</w:t>
      </w:r>
      <w:r>
        <w:t xml:space="preserve"> </w:t>
      </w:r>
      <w:r>
        <w:rPr>
          <w:b/>
          <w:bCs/>
        </w:rPr>
        <w:t xml:space="preserve">per via interna</w:t>
      </w:r>
      <w:r>
        <w:t xml:space="preserve">, erogata da fisioterapiste — salto di</w:t>
      </w:r>
      <w:r>
        <w:t xml:space="preserve"> </w:t>
      </w:r>
      <w:r>
        <w:rPr>
          <w:b/>
          <w:bCs/>
        </w:rPr>
        <w:t xml:space="preserve">erogatore e di via di accesso</w:t>
      </w:r>
      <w:r>
        <w:t xml:space="preserve"> </w:t>
      </w:r>
      <w:r>
        <w:t xml:space="preserve">(Del Forno 2021 — PMID 33428320). Che quel bersaglio si muova anche con il lavoro attivo della paziente:</w:t>
      </w:r>
      <w:r>
        <w:t xml:space="preserve"> </w:t>
      </w:r>
      <w:r>
        <w:rPr>
          <w:b/>
          <w:bCs/>
        </w:rPr>
        <w:t xml:space="preserve">PROBABILE</w:t>
      </w:r>
      <w:r>
        <w:t xml:space="preserve"> </w:t>
      </w:r>
      <w:r>
        <w:t xml:space="preserve">— vedi «Cosa può fare la paziente da sola». Che il</w:t>
      </w:r>
      <w:r>
        <w:t xml:space="preserve"> </w:t>
      </w:r>
      <w:r>
        <w:rPr>
          <w:i/>
          <w:iCs/>
        </w:rPr>
        <w:t xml:space="preserve">nostro</w:t>
      </w:r>
      <w:r>
        <w:t xml:space="preserve"> </w:t>
      </w:r>
      <w:r>
        <w:t xml:space="preserve">lavoro manuale esterno lo modifichi:</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alla paziente.</w:t>
      </w:r>
      <w:r>
        <w:t xml:space="preserve"> </w:t>
      </w:r>
      <w:r>
        <w:t xml:space="preserve">Dolore all’ingresso del rapporto più che in profondità. Dolore all’evacuazione nei giorni del flusso. Difficoltà a iniziare la minzione. Una chiusura del bacino che non si scioglie neanche da sdraiata. E, se glielo chiedi, l’ammissione che</w:t>
      </w:r>
      <w:r>
        <w:t xml:space="preserve"> </w:t>
      </w:r>
      <w:r>
        <w:t xml:space="preserve">“non riesco a mollare lì sotto”</w:t>
      </w:r>
      <w:r>
        <w:t xml:space="preserve">.</w:t>
      </w:r>
    </w:p>
    <w:p>
      <w:pPr>
        <w:pStyle w:val="BodyText"/>
      </w:pPr>
      <w:r>
        <w:rPr>
          <w:b/>
          <w:bCs/>
        </w:rPr>
        <w:t xml:space="preserve">È un pugno che non si apre: la mano funziona benissimo, ma sta chiusa da tanto tempo, e aprirla fa male.</w:t>
      </w:r>
    </w:p>
    <w:bookmarkEnd w:id="31"/>
    <w:bookmarkStart w:id="32" w:name="X37e0b690e884b3d5d8f2b255d97d7ba1381d9ca"/>
    <w:p>
      <w:pPr>
        <w:pStyle w:val="Heading3"/>
      </w:pPr>
      <w:r>
        <w:t xml:space="preserve">2. La parete addominale che diventa il posto dove fa male</w:t>
      </w:r>
    </w:p>
    <w:p>
      <w:pPr>
        <w:pStyle w:val="FirstParagraph"/>
      </w:pPr>
      <w:r>
        <w:rPr>
          <w:b/>
          <w:bCs/>
        </w:rPr>
        <w:t xml:space="preserve">La sequenza</w:t>
      </w:r>
    </w:p>
    <w:p>
      <w:pPr>
        <w:pStyle w:val="Compact"/>
        <w:numPr>
          <w:ilvl w:val="0"/>
          <w:numId w:val="1010"/>
        </w:numPr>
      </w:pPr>
      <w:r>
        <w:t xml:space="preserve">Il bombardamento nocicettivo ripetuto dell’utero abbassa la soglia del</w:t>
      </w:r>
      <w:r>
        <w:t xml:space="preserve"> </w:t>
      </w:r>
      <w:r>
        <w:rPr>
          <w:b/>
          <w:bCs/>
        </w:rPr>
        <w:t xml:space="preserve">neurone del corno posteriore</w:t>
      </w:r>
      <w:r>
        <w:t xml:space="preserve"> </w:t>
      </w:r>
      <w:r>
        <w:t xml:space="preserve">di T10-L1, che riceve insieme l’utero e la parete sotto l’ombelico. Il cambiamento non è nel tessuto: è nel neurone che li somma. Da lì il campo somatico di quel segmento diventa iperalgesico.</w:t>
      </w:r>
    </w:p>
    <w:p>
      <w:pPr>
        <w:pStyle w:val="Compact"/>
        <w:numPr>
          <w:ilvl w:val="0"/>
          <w:numId w:val="1010"/>
        </w:numPr>
      </w:pPr>
      <w:r>
        <w:t xml:space="preserve">Nella parete compaiono punti dolorosi che riproducono il sintomo alla pressione. E quei punti diventano a loro volta un</w:t>
      </w:r>
      <w:r>
        <w:t xml:space="preserve"> </w:t>
      </w:r>
      <w:r>
        <w:rPr>
          <w:b/>
          <w:bCs/>
        </w:rPr>
        <w:t xml:space="preserve">ingresso</w:t>
      </w:r>
      <w:r>
        <w:t xml:space="preserve"> </w:t>
      </w:r>
      <w:r>
        <w:t xml:space="preserve">che rialimenta lo stesso neurone e tiene alto il dolore viscerale. Non è una freccia sola: è un anello a due direzioni.</w:t>
      </w:r>
    </w:p>
    <w:p>
      <w:pPr>
        <w:pStyle w:val="Compact"/>
        <w:numPr>
          <w:ilvl w:val="0"/>
          <w:numId w:val="1010"/>
        </w:numPr>
      </w:pPr>
      <w:r>
        <w:t xml:space="preserve">Da quel momento una parte del dolore quotidiano non viene più dal bacino profondo. Viene dalla parete, ed è raggiungibile dall’esterno.</w:t>
      </w:r>
    </w:p>
    <w:p>
      <w:pPr>
        <w:pStyle w:val="FirstParagraph"/>
      </w:pPr>
      <w:r>
        <w:t xml:space="preserve">Che l’anello vada in entrambe le direzioni è dimostrato sull’uomo, sulla dismenorrea. Quando si inattivano i punti miofasciali dell’area riferita, i cicli dolorosi si riducono e le soglie misurate</w:t>
      </w:r>
      <w:r>
        <w:t xml:space="preserve"> </w:t>
      </w:r>
      <w:r>
        <w:rPr>
          <w:b/>
          <w:bCs/>
        </w:rPr>
        <w:t xml:space="preserve">sul retto dell’addome</w:t>
      </w:r>
      <w:r>
        <w:t xml:space="preserve"> </w:t>
      </w:r>
      <w:r>
        <w:t xml:space="preserve">si alzano, a un anno (Costantini e Giamberardino,</w:t>
      </w:r>
      <w:r>
        <w:t xml:space="preserve"> </w:t>
      </w:r>
      <w:r>
        <w:rPr>
          <w:i/>
          <w:iCs/>
        </w:rPr>
        <w:t xml:space="preserve">Eur J Pain</w:t>
      </w:r>
      <w:r>
        <w:t xml:space="preserve"> </w:t>
      </w:r>
      <w:r>
        <w:t xml:space="preserve">2020 — PMID 32034979). È il razionale che dà senso alla leva migliore</w:t>
      </w:r>
      <w:r>
        <w:t xml:space="preserve"> </w:t>
      </w:r>
      <w:r>
        <w:rPr>
          <w:b/>
          <w:bCs/>
        </w:rPr>
        <w:t xml:space="preserve">che hai</w:t>
      </w:r>
      <w:r>
        <w:t xml:space="preserve">: trattare la parete non è togliere una sorgente secondaria, è togliere un ingresso che tiene alto il guadagno. Il lucchetto: in quello studio l’inattivazione è</w:t>
      </w:r>
      <w:r>
        <w:t xml:space="preserve"> </w:t>
      </w:r>
      <w:r>
        <w:rPr>
          <w:b/>
          <w:bCs/>
        </w:rPr>
        <w:t xml:space="preserve">con anestetico</w:t>
      </w:r>
      <w:r>
        <w:t xml:space="preserve">, non con le mani.</w:t>
      </w:r>
    </w:p>
    <w:p>
      <w:pPr>
        <w:pStyle w:val="BodyText"/>
      </w:pPr>
      <w:r>
        <w:t xml:space="preserve">Nello stesso campione, due donne su tre descrivevano il proprio dolore come localizzato in un punto. All’esame, invece, i punti dolorosi miofasciali —</w:t>
      </w:r>
      <w:r>
        <w:t xml:space="preserve"> </w:t>
      </w:r>
      <w:r>
        <w:rPr>
          <w:b/>
          <w:bCs/>
        </w:rPr>
        <w:t xml:space="preserve">trigger point</w:t>
      </w:r>
      <w:r>
        <w:t xml:space="preserve">, punti che alla pressione riproducono il dolore della paziente — erano diffusi.</w:t>
      </w:r>
      <w:r>
        <w:t xml:space="preserve"> </w:t>
      </w:r>
      <w:r>
        <w:rPr>
          <w:b/>
          <w:bCs/>
        </w:rPr>
        <w:t xml:space="preserve">Per te:</w:t>
      </w:r>
      <w:r>
        <w:t xml:space="preserve"> </w:t>
      </w:r>
      <w:r>
        <w:t xml:space="preserve">il racconto sottostima la diffusione del problema, e lo fa sempre nella stessa direzione. Non fermarti dove indica il dito: mappa parete e paraspinali prima di scegliere il bersaglio, perché la sede che ti dà è quella che sente, non quella che genera.</w:t>
      </w:r>
      <w:r>
        <w:t xml:space="preserve"> </w:t>
      </w:r>
      <w:r>
        <w:t xml:space="preserve">(Phan,</w:t>
      </w:r>
      <w:r>
        <w:t xml:space="preserve"> </w:t>
      </w:r>
      <w:r>
        <w:rPr>
          <w:i/>
          <w:iCs/>
        </w:rPr>
        <w:t xml:space="preserve">Eur J Pain</w:t>
      </w:r>
      <w:r>
        <w:t xml:space="preserve"> </w:t>
      </w:r>
      <w:r>
        <w:t xml:space="preserve">2021 — PMID 33326662)</w:t>
      </w:r>
    </w:p>
    <w:p>
      <w:pPr>
        <w:pStyle w:val="BlockText"/>
      </w:pPr>
      <w:r>
        <w:rPr>
          <w:b/>
          <w:bCs/>
        </w:rPr>
        <w:t xml:space="preserve">Quanto è solido:</w:t>
      </w:r>
      <w:r>
        <w:t xml:space="preserve"> </w:t>
      </w:r>
      <w:r>
        <w:t xml:space="preserve">l’etichetta si spezza. Che i punti dolorosi di parete esistano e siano diffusi in questa popolazione:</w:t>
      </w:r>
      <w:r>
        <w:t xml:space="preserve"> </w:t>
      </w:r>
      <w:r>
        <w:rPr>
          <w:b/>
          <w:bCs/>
        </w:rPr>
        <w:t xml:space="preserve">DIMOSTRATO</w:t>
      </w:r>
      <w:r>
        <w:t xml:space="preserve"> </w:t>
      </w:r>
      <w:r>
        <w:rPr>
          <w:i/>
          <w:iCs/>
        </w:rPr>
        <w:t xml:space="preserve">(studi sull’uomo, solidi)</w:t>
      </w:r>
      <w:r>
        <w:t xml:space="preserve"> </w:t>
      </w:r>
      <w:r>
        <w:t xml:space="preserve">— Phan 2021. Che trattarli con le mani riduca il dolore:</w:t>
      </w:r>
      <w:r>
        <w:t xml:space="preserve"> </w:t>
      </w:r>
      <w:r>
        <w:rPr>
          <w:b/>
          <w:bCs/>
        </w:rPr>
        <w:t xml:space="preserve">IPOTESI</w:t>
      </w:r>
      <w:r>
        <w:t xml:space="preserve"> </w:t>
      </w:r>
      <w:r>
        <w:rPr>
          <w:i/>
          <w:iCs/>
        </w:rPr>
        <w:t xml:space="preserve">(meccanismo coerente, nessuno studio)</w:t>
      </w:r>
      <w:r>
        <w:t xml:space="preserve">, e con una prova diretta in direzione contraria da dichiarare — in donne con dolore pelvico cronico e punti dolorosi di parete, l’infiltrazione con anestetico locale ha dato risposta e sollievo migliori della compressione ischemica manuale, che non ha mostrato variazioni rilevanti (Montenegro 2015 — PMID 26628263). Il salto è di</w:t>
      </w:r>
      <w:r>
        <w:t xml:space="preserve"> </w:t>
      </w:r>
      <w:r>
        <w:rPr>
          <w:b/>
          <w:bCs/>
        </w:rPr>
        <w:t xml:space="preserve">popolazione</w:t>
      </w:r>
      <w:r>
        <w:t xml:space="preserve"> </w:t>
      </w:r>
      <w:r>
        <w:t xml:space="preserve">— dolore pelvico cronico, non endometriosi confermata —, di</w:t>
      </w:r>
      <w:r>
        <w:t xml:space="preserve"> </w:t>
      </w:r>
      <w:r>
        <w:rPr>
          <w:b/>
          <w:bCs/>
        </w:rPr>
        <w:t xml:space="preserve">tecnica</w:t>
      </w:r>
      <w:r>
        <w:t xml:space="preserve">, e di</w:t>
      </w:r>
      <w:r>
        <w:t xml:space="preserve"> </w:t>
      </w:r>
      <w:r>
        <w:rPr>
          <w:b/>
          <w:bCs/>
        </w:rPr>
        <w:t xml:space="preserve">intensità dell’ingresso</w:t>
      </w:r>
      <w:r>
        <w:t xml:space="preserve">: l’intervento negativo è la compressione ischemica, cioè un ingresso nocicettivo ad alta intensità ripetuto, che su un sistema con soglie basse ovunque è un modo plausibile di</w:t>
      </w:r>
      <w:r>
        <w:t xml:space="preserve"> </w:t>
      </w:r>
      <w:r>
        <w:rPr>
          <w:b/>
          <w:bCs/>
        </w:rPr>
        <w:t xml:space="preserve">mantenere</w:t>
      </w:r>
      <w:r>
        <w:t xml:space="preserve"> </w:t>
      </w:r>
      <w:r>
        <w:t xml:space="preserve">la sensibilizzazione. Letta così, la prova contraria non colpisce le mani in generale: colpisce una classe di ingresso. Ed è possibile che parte di quei punti fosse intrappolamento nervoso e non contrattura.</w:t>
      </w:r>
    </w:p>
    <w:p>
      <w:pPr>
        <w:pStyle w:val="FirstParagraph"/>
      </w:pPr>
      <w:r>
        <w:rPr>
          <w:b/>
          <w:bCs/>
        </w:rPr>
        <w:t xml:space="preserve">Come si vede addosso alla paziente.</w:t>
      </w:r>
      <w:r>
        <w:t xml:space="preserve"> </w:t>
      </w:r>
      <w:r>
        <w:t xml:space="preserve">Il dolore si riproduce premendo la parete, e la paziente dice</w:t>
      </w:r>
      <w:r>
        <w:t xml:space="preserve"> </w:t>
      </w:r>
      <w:r>
        <w:rPr>
          <w:i/>
          <w:iCs/>
        </w:rPr>
        <w:t xml:space="preserve">“ecco, è proprio questo”</w:t>
      </w:r>
      <w:r>
        <w:t xml:space="preserve">.</w:t>
      </w:r>
    </w:p>
    <w:p>
      <w:pPr>
        <w:pStyle w:val="BodyText"/>
      </w:pPr>
      <w:r>
        <w:t xml:space="preserve">Poi c’è una manovra che qualifica il reperto. Premi il punto dolente e le chiedi di contrarre l’addome. Se il dolore</w:t>
      </w:r>
      <w:r>
        <w:t xml:space="preserve"> </w:t>
      </w:r>
      <w:r>
        <w:rPr>
          <w:b/>
          <w:bCs/>
        </w:rPr>
        <w:t xml:space="preserve">aumenta o resta uguale</w:t>
      </w:r>
      <w:r>
        <w:t xml:space="preserve">, la sorgente è nella parete. Se si attenua, viene da dentro. Quella manovra si chiama</w:t>
      </w:r>
      <w:r>
        <w:t xml:space="preserve"> </w:t>
      </w:r>
      <w:r>
        <w:rPr>
          <w:b/>
          <w:bCs/>
        </w:rPr>
        <w:t xml:space="preserve">test di Carnett</w:t>
      </w:r>
      <w:r>
        <w:t xml:space="preserve">, e il medico che leggerà la tua lettera la riconosce: trasforma «le fa male la pancia» in un reperto binario, senza strumenti.</w:t>
      </w:r>
    </w:p>
    <w:p>
      <w:pPr>
        <w:pStyle w:val="BodyText"/>
      </w:pPr>
      <w:r>
        <w:t xml:space="preserve">Due punti si somigliano e non sono la stessa cosa. Il</w:t>
      </w:r>
      <w:r>
        <w:t xml:space="preserve"> </w:t>
      </w:r>
      <w:r>
        <w:rPr>
          <w:b/>
          <w:bCs/>
        </w:rPr>
        <w:t xml:space="preserve">miofasciale</w:t>
      </w:r>
      <w:r>
        <w:t xml:space="preserve"> </w:t>
      </w:r>
      <w:r>
        <w:t xml:space="preserve">è esteso e riproduce il dolore abituale. Il</w:t>
      </w:r>
      <w:r>
        <w:t xml:space="preserve"> </w:t>
      </w:r>
      <w:r>
        <w:rPr>
          <w:b/>
          <w:bCs/>
        </w:rPr>
        <w:t xml:space="preserve">neuropatico</w:t>
      </w:r>
      <w:r>
        <w:t xml:space="preserve"> </w:t>
      </w:r>
      <w:r>
        <w:t xml:space="preserve">da ACNES è puntiforme e urente. Entrambi danno Carnett positivo, e solo il primo è materia della nostra leva.</w:t>
      </w:r>
    </w:p>
    <w:p>
      <w:pPr>
        <w:pStyle w:val="BodyText"/>
      </w:pPr>
      <w:r>
        <w:rPr>
          <w:b/>
          <w:bCs/>
        </w:rPr>
        <w:t xml:space="preserve">È la parete della stanza accanto che si scalda perché il tubo che perde passa lì dentro: tocchi il muro, senti il calore, e la perdita è da un’altra parte.</w:t>
      </w:r>
    </w:p>
    <w:bookmarkEnd w:id="32"/>
    <w:bookmarkStart w:id="33" w:name="la-soglia-che-scende-in-tutto-il-corpo"/>
    <w:p>
      <w:pPr>
        <w:pStyle w:val="Heading3"/>
      </w:pPr>
      <w:r>
        <w:t xml:space="preserve">3. La soglia che scende in tutto il corpo</w:t>
      </w:r>
    </w:p>
    <w:p>
      <w:pPr>
        <w:pStyle w:val="FirstParagraph"/>
      </w:pPr>
      <w:r>
        <w:rPr>
          <w:b/>
          <w:bCs/>
        </w:rPr>
        <w:t xml:space="preserve">La sequenza</w:t>
      </w:r>
    </w:p>
    <w:p>
      <w:pPr>
        <w:pStyle w:val="Compact"/>
        <w:numPr>
          <w:ilvl w:val="0"/>
          <w:numId w:val="1011"/>
        </w:numPr>
      </w:pPr>
      <w:r>
        <w:t xml:space="preserve">Anni di traffico nocicettivo ripetuto</w:t>
      </w:r>
      <w:r>
        <w:t xml:space="preserve"> </w:t>
      </w:r>
      <w:r>
        <w:rPr>
          <w:b/>
          <w:bCs/>
        </w:rPr>
        <w:t xml:space="preserve">alzano il guadagno</w:t>
      </w:r>
      <w:r>
        <w:t xml:space="preserve"> </w:t>
      </w:r>
      <w:r>
        <w:t xml:space="preserve">del sistema che regola il dolore, e la soglia a cui uno stimolo diventa dolore</w:t>
      </w:r>
      <w:r>
        <w:t xml:space="preserve"> </w:t>
      </w:r>
      <w:r>
        <w:rPr>
          <w:b/>
          <w:bCs/>
        </w:rPr>
        <w:t xml:space="preserve">scende</w:t>
      </w:r>
      <w:r>
        <w:t xml:space="preserve">. È la</w:t>
      </w:r>
      <w:r>
        <w:t xml:space="preserve"> </w:t>
      </w:r>
      <w:r>
        <w:rPr>
          <w:b/>
          <w:bCs/>
        </w:rPr>
        <w:t xml:space="preserve">sensibilizzazione centrale</w:t>
      </w:r>
      <w:r>
        <w:t xml:space="preserve">. Le due cose vanno insieme e non sono la stessa: sale l’amplificazione, scende la soglia.</w:t>
      </w:r>
    </w:p>
    <w:p>
      <w:pPr>
        <w:pStyle w:val="Compact"/>
        <w:numPr>
          <w:ilvl w:val="0"/>
          <w:numId w:val="1011"/>
        </w:numPr>
      </w:pPr>
      <w:r>
        <w:t xml:space="preserve">Le soglie scendono anche in sedi lontane dal bacino — dorsali, cervicali, orofacciali. Il dolore compare fuori dai giorni del flusso, in punti che con l’utero non c’entrano.</w:t>
      </w:r>
    </w:p>
    <w:p>
      <w:pPr>
        <w:pStyle w:val="Compact"/>
        <w:numPr>
          <w:ilvl w:val="0"/>
          <w:numId w:val="1011"/>
        </w:numPr>
      </w:pPr>
      <w:r>
        <w:t xml:space="preserve">A quel punto il dolore ha una vita propria, e la quantità di malattia smette di predirlo. È il quadro che la letteratura chiama</w:t>
      </w:r>
      <w:r>
        <w:t xml:space="preserve"> </w:t>
      </w:r>
      <w:r>
        <w:rPr>
          <w:b/>
          <w:bCs/>
        </w:rPr>
        <w:t xml:space="preserve">nociplastico</w:t>
      </w:r>
      <w:r>
        <w:t xml:space="preserve">.</w:t>
      </w:r>
    </w:p>
    <w:p>
      <w:pPr>
        <w:pStyle w:val="FirstParagraph"/>
      </w:pPr>
      <w:r>
        <w:t xml:space="preserve">Il dato che chiude questo ragionamento è controintuitivo e va saputo. Le soglie di dolore sono più basse nelle donne con dolore pelvico persistente che nelle sane. E dentro il gruppo con dolore</w:t>
      </w:r>
      <w:r>
        <w:t xml:space="preserve"> </w:t>
      </w:r>
      <w:r>
        <w:rPr>
          <w:b/>
          <w:bCs/>
        </w:rPr>
        <w:t xml:space="preserve">non è stata osservata differenza fra chi aveva la biopsia positiva per endometriosi e chi l’aveva negativa</w:t>
      </w:r>
      <w:r>
        <w:t xml:space="preserve">. Attenzione a come si legge: è un confronto fra tredici e ventiquattro donne, cioè troppo piccolo per</w:t>
      </w:r>
      <w:r>
        <w:t xml:space="preserve"> </w:t>
      </w:r>
      <w:r>
        <w:rPr>
          <w:b/>
          <w:bCs/>
        </w:rPr>
        <w:t xml:space="preserve">escludere</w:t>
      </w:r>
      <w:r>
        <w:t xml:space="preserve"> </w:t>
      </w:r>
      <w:r>
        <w:t xml:space="preserve">una differenza, e non abbastanza grande per dimostrare un’equivalenza. E più a lungo durava il dolore, più le soglie erano basse.</w:t>
      </w:r>
      <w:r>
        <w:t xml:space="preserve"> </w:t>
      </w:r>
      <w:r>
        <w:rPr>
          <w:b/>
          <w:bCs/>
        </w:rPr>
        <w:t xml:space="preserve">Per te:</w:t>
      </w:r>
      <w:r>
        <w:t xml:space="preserve"> </w:t>
      </w:r>
      <w:r>
        <w:t xml:space="preserve">il bersaglio del tuo lavoro non è la lesione — buona notizia, perché la lesione non è tua. È la</w:t>
      </w:r>
      <w:r>
        <w:t xml:space="preserve"> </w:t>
      </w:r>
      <w:r>
        <w:rPr>
          <w:b/>
          <w:bCs/>
        </w:rPr>
        <w:t xml:space="preserve">durata del dolore</w:t>
      </w:r>
      <w:r>
        <w:t xml:space="preserve">, non lo stadio, la variabile che ti dice quanto sarà sensibile il sistema che hai davanti, e la durata la conosci prima di appoggiare le mani.</w:t>
      </w:r>
      <w:r>
        <w:t xml:space="preserve"> </w:t>
      </w:r>
      <w:r>
        <w:t xml:space="preserve">(Grundström,</w:t>
      </w:r>
      <w:r>
        <w:t xml:space="preserve"> </w:t>
      </w:r>
      <w:r>
        <w:rPr>
          <w:i/>
          <w:iCs/>
        </w:rPr>
        <w:t xml:space="preserve">Acta Obstet Gynecol Scand</w:t>
      </w:r>
      <w:r>
        <w:t xml:space="preserve"> </w:t>
      </w:r>
      <w:r>
        <w:t xml:space="preserve">2019 — PMID 30472739)</w:t>
      </w:r>
    </w:p>
    <w:p>
      <w:pPr>
        <w:pStyle w:val="BodyText"/>
      </w:pPr>
      <w:r>
        <w:t xml:space="preserve">C’è un secondo asse di questo meccanismo, ed è stato misurato</w:t>
      </w:r>
      <w:r>
        <w:t xml:space="preserve"> </w:t>
      </w:r>
      <w:r>
        <w:rPr>
          <w:b/>
          <w:bCs/>
        </w:rPr>
        <w:t xml:space="preserve">su queste donne</w:t>
      </w:r>
      <w:r>
        <w:t xml:space="preserve"> </w:t>
      </w:r>
      <w:r>
        <w:t xml:space="preserve">e non per analogia. Il tono vagale a riposo è ridotto nelle donne con endometriosi rispetto ai controlli (Hao 2021 — PMID 33446725). E dentro il gruppo, le donne con tono vagale più basso riferiscono dolore pelvico più intenso e più descrittori di dolore grave (de França Moreira 2021 — PMID 34719338). Entrambi sono descritti in «Cosa dice la scienza».</w:t>
      </w:r>
      <w:r>
        <w:t xml:space="preserve"> </w:t>
      </w:r>
      <w:r>
        <w:rPr>
          <w:b/>
          <w:bCs/>
        </w:rPr>
        <w:t xml:space="preserve">Per te:</w:t>
      </w:r>
      <w:r>
        <w:t xml:space="preserve"> </w:t>
      </w:r>
      <w:r>
        <w:t xml:space="preserve">l’asse autonomico non è un’analogia importata da altre popolazioni. È misurato qui, ed è la ragione per cui la leva sull’attivazione ha un bersaglio reale e non una metafora. Con due limiti da tenere in mano insieme al dato:</w:t>
      </w:r>
      <w:r>
        <w:t xml:space="preserve"> </w:t>
      </w:r>
      <w:r>
        <w:rPr>
          <w:b/>
          <w:bCs/>
        </w:rPr>
        <w:t xml:space="preserve">è un’associazione trasversale, e non dice se il tono basso produce il dolore o se il dolore abbassa il tono</w:t>
      </w:r>
      <w:r>
        <w:t xml:space="preserve">; e</w:t>
      </w:r>
      <w:r>
        <w:t xml:space="preserve"> </w:t>
      </w:r>
      <w:r>
        <w:rPr>
          <w:b/>
          <w:bCs/>
        </w:rPr>
        <w:t xml:space="preserve">di Hao entra solo il braccio umano — la parte terapeutica sulla stimolazione vagale è condotta su topi, e non riguarda né le mani né una paziente.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 fenomeno — Grundström 2019; e su misure di volume di sostanza grigia in aree coinvolte nell’elaborazione del dolore, ridotte nelle donne con dolore pelvico da endometriosi rispetto ai controlli, ma non nelle donne con endometriosi senza dolore (As-Sanie,</w:t>
      </w:r>
      <w:r>
        <w:t xml:space="preserve"> </w:t>
      </w:r>
      <w:r>
        <w:rPr>
          <w:i/>
          <w:iCs/>
        </w:rPr>
        <w:t xml:space="preserve">Pain</w:t>
      </w:r>
      <w:r>
        <w:t xml:space="preserve"> </w:t>
      </w:r>
      <w:r>
        <w:t xml:space="preserve">2012 — PMID 22387096).</w:t>
      </w:r>
      <w:r>
        <w:t xml:space="preserve"> </w:t>
      </w:r>
      <w:r>
        <w:rPr>
          <w:b/>
          <w:bCs/>
        </w:rPr>
        <w:t xml:space="preserve">DIMOSTRATO</w:t>
      </w:r>
      <w:r>
        <w:t xml:space="preserve"> </w:t>
      </w:r>
      <w:r>
        <w:rPr>
          <w:i/>
          <w:iCs/>
        </w:rPr>
        <w:t xml:space="preserve">(studi sull’uomo, solidi)</w:t>
      </w:r>
      <w:r>
        <w:t xml:space="preserve"> </w:t>
      </w:r>
      <w:r>
        <w:t xml:space="preserve">anche sull’</w:t>
      </w:r>
      <w:r>
        <w:rPr>
          <w:b/>
          <w:bCs/>
        </w:rPr>
        <w:t xml:space="preserve">associazione</w:t>
      </w:r>
      <w:r>
        <w:t xml:space="preserve"> </w:t>
      </w:r>
      <w:r>
        <w:t xml:space="preserve">fra tono vagale ridotto e dolore in questa popolazione, e solo su quella (Hao 2021 — PMID 33446725; de França Moreira 2021 — PMID 34719338): associazione trasversale, direzione di causa non stabilita.</w:t>
      </w:r>
      <w:r>
        <w:t xml:space="preserve"> </w:t>
      </w:r>
      <w:r>
        <w:rPr>
          <w:b/>
          <w:bCs/>
        </w:rPr>
        <w:t xml:space="preserve">IPOTESI</w:t>
      </w:r>
      <w:r>
        <w:t xml:space="preserve"> </w:t>
      </w:r>
      <w:r>
        <w:rPr>
          <w:i/>
          <w:iCs/>
        </w:rPr>
        <w:t xml:space="preserve">(meccanismo coerente, nessuno studio)</w:t>
      </w:r>
      <w:r>
        <w:t xml:space="preserve"> </w:t>
      </w:r>
      <w:r>
        <w:t xml:space="preserve">sul fatto che il nostro trattamento manuale sposti quella taratura in questa condizione.</w:t>
      </w:r>
    </w:p>
    <w:p>
      <w:pPr>
        <w:pStyle w:val="FirstParagraph"/>
      </w:pPr>
      <w:r>
        <w:rPr>
          <w:b/>
          <w:bCs/>
        </w:rPr>
        <w:t xml:space="preserve">Come si vede addosso alla paziente.</w:t>
      </w:r>
      <w:r>
        <w:t xml:space="preserve"> </w:t>
      </w:r>
      <w:r>
        <w:t xml:space="preserve">Dolore presente anche a metà mese. Dolorabilità alla pressione su trapezio, paraspinali dorsali e regioni lontane dal bacino. Cefalea ricorrente e dolore orofacciale: nelle trenta donne dello studio del 2021 erano presenti rispettivamente in ventitré e ventuno casi (Phan, 2021 — PMID 33326662). Sonno frammentato. Una reattività del tessuto che sobbalza appena appoggi le mani.</w:t>
      </w:r>
    </w:p>
    <w:p>
      <w:pPr>
        <w:pStyle w:val="BodyText"/>
      </w:pPr>
      <w:r>
        <w:rPr>
          <w:b/>
          <w:bCs/>
        </w:rPr>
        <w:t xml:space="preserve">È uno scoperto in banca: da quando ci sei dentro, ogni piccola spesa che prima passava inosservata fa scattare la commissione.</w:t>
      </w:r>
    </w:p>
    <w:bookmarkEnd w:id="33"/>
    <w:bookmarkStart w:id="34" w:name="X12e9c8ad1f78b54b83515662db6c1a4312414f4"/>
    <w:p>
      <w:pPr>
        <w:pStyle w:val="Heading3"/>
      </w:pPr>
      <w:r>
        <w:t xml:space="preserve">4. La lesione che si fabbrica i propri nervi</w:t>
      </w:r>
    </w:p>
    <w:p>
      <w:pPr>
        <w:pStyle w:val="FirstParagraph"/>
      </w:pPr>
      <w:r>
        <w:rPr>
          <w:b/>
          <w:bCs/>
        </w:rPr>
        <w:t xml:space="preserve">La sequenza</w:t>
      </w:r>
    </w:p>
    <w:p>
      <w:pPr>
        <w:pStyle w:val="Compact"/>
        <w:numPr>
          <w:ilvl w:val="0"/>
          <w:numId w:val="1012"/>
        </w:numPr>
      </w:pPr>
      <w:r>
        <w:t xml:space="preserve">Il tessuto endometriosico si impianta fuori dall’utero e innesca infiammazione cronica attorno a sé.</w:t>
      </w:r>
    </w:p>
    <w:p>
      <w:pPr>
        <w:pStyle w:val="Compact"/>
        <w:numPr>
          <w:ilvl w:val="0"/>
          <w:numId w:val="1012"/>
        </w:numPr>
      </w:pPr>
      <w:r>
        <w:t xml:space="preserve">Dentro e attorno alla lesione crescono insieme vasi e nervi nuovi. La lesione diventa una sorgente nocicettiva stabile, che non dipende da quanto è grande.</w:t>
      </w:r>
    </w:p>
    <w:p>
      <w:pPr>
        <w:pStyle w:val="Compact"/>
        <w:numPr>
          <w:ilvl w:val="0"/>
          <w:numId w:val="1012"/>
        </w:numPr>
      </w:pPr>
      <w:r>
        <w:t xml:space="preserve">Il dolore smette di seguire la mappa dell’immagine.</w:t>
      </w:r>
    </w:p>
    <w:p>
      <w:pPr>
        <w:pStyle w:val="BlockText"/>
      </w:pPr>
      <w:r>
        <w:rPr>
          <w:b/>
          <w:bCs/>
        </w:rPr>
        <w:t xml:space="preserve">Quanto è solido:</w:t>
      </w:r>
      <w:r>
        <w:t xml:space="preserve"> </w:t>
      </w:r>
      <w:r>
        <w:t xml:space="preserve">l’etichetta si spezza. Che le lesioni contengano fibre nervose nuove e sovraesprimano fattori neurotrofici, con densità maggiore nelle forme profonde e intestinali:</w:t>
      </w:r>
      <w:r>
        <w:t xml:space="preserve"> </w:t>
      </w:r>
      <w:r>
        <w:rPr>
          <w:b/>
          <w:bCs/>
        </w:rPr>
        <w:t xml:space="preserve">DIMOSTRATO</w:t>
      </w:r>
      <w:r>
        <w:t xml:space="preserve"> </w:t>
      </w:r>
      <w:r>
        <w:rPr>
          <w:i/>
          <w:iCs/>
        </w:rPr>
        <w:t xml:space="preserve">(studi sull’uomo, solidi)</w:t>
      </w:r>
      <w:r>
        <w:t xml:space="preserve"> </w:t>
      </w:r>
      <w:r>
        <w:t xml:space="preserve">— Morotti 2014 (PMID 24859987). Che la densità di quelle fibre spieghi quanto la donna sente male:</w:t>
      </w:r>
      <w:r>
        <w:t xml:space="preserve"> </w:t>
      </w:r>
      <w:r>
        <w:rPr>
          <w:b/>
          <w:bCs/>
        </w:rPr>
        <w:t xml:space="preserve">IPOTESI</w:t>
      </w:r>
      <w:r>
        <w:t xml:space="preserve"> </w:t>
      </w:r>
      <w:r>
        <w:rPr>
          <w:i/>
          <w:iCs/>
        </w:rPr>
        <w:t xml:space="preserve">(meccanismo coerente, nessuno studio)</w:t>
      </w:r>
      <w:r>
        <w:t xml:space="preserve"> </w:t>
      </w:r>
      <w:r>
        <w:t xml:space="preserve">— la stessa revisione dichiara che servono più dati per confermare una correlazione diretta, e che i livelli di neurotrofine non correlano con la gravità del dolore.</w:t>
      </w:r>
    </w:p>
    <w:p>
      <w:pPr>
        <w:pStyle w:val="FirstParagraph"/>
      </w:pPr>
      <w:r>
        <w:rPr>
          <w:b/>
          <w:bCs/>
        </w:rPr>
        <w:t xml:space="preserve">Come si vede addosso alla paziente.</w:t>
      </w:r>
      <w:r>
        <w:t xml:space="preserve"> </w:t>
      </w:r>
      <w:r>
        <w:t xml:space="preserve">Non si vede: è il meccanismo che spiega perché non vedi niente. È la risposta alla domanda</w:t>
      </w:r>
      <w:r>
        <w:t xml:space="preserve"> </w:t>
      </w:r>
      <w:r>
        <w:rPr>
          <w:i/>
          <w:iCs/>
        </w:rPr>
        <w:t xml:space="preserve">“perché mi fa male se la risonanza è stabile?”</w:t>
      </w:r>
      <w:r>
        <w:t xml:space="preserve">, ed è l’unico meccanismo del capitolo su cui non hai nessuna leva.</w:t>
      </w:r>
    </w:p>
    <w:p>
      <w:pPr>
        <w:pStyle w:val="BodyText"/>
      </w:pPr>
      <w:r>
        <w:rPr>
          <w:b/>
          <w:bCs/>
        </w:rPr>
        <w:t xml:space="preserve">È una casa abusiva che si è tirata da sola la linea elettrica: piccola, fuori mappa, e collegata alla rete.</w:t>
      </w:r>
    </w:p>
    <w:bookmarkEnd w:id="34"/>
    <w:bookmarkStart w:id="35" w:name="il-bacino-che-ha-perso-lo-scorrimento"/>
    <w:p>
      <w:pPr>
        <w:pStyle w:val="Heading3"/>
      </w:pPr>
      <w:r>
        <w:t xml:space="preserve">5. Il bacino che ha perso lo scorrimento</w:t>
      </w:r>
    </w:p>
    <w:p>
      <w:pPr>
        <w:pStyle w:val="FirstParagraph"/>
      </w:pPr>
      <w:r>
        <w:rPr>
          <w:b/>
          <w:bCs/>
        </w:rPr>
        <w:t xml:space="preserve">La sequenza</w:t>
      </w:r>
    </w:p>
    <w:p>
      <w:pPr>
        <w:pStyle w:val="Compact"/>
        <w:numPr>
          <w:ilvl w:val="0"/>
          <w:numId w:val="1013"/>
        </w:numPr>
      </w:pPr>
      <w:r>
        <w:t xml:space="preserve">L’infiammazione cronica e, quando c’è, la chirurgia lasciano aderenze fra le superfici che dovrebbero scivolare. Utero, retto e legamenti utero-sacrali perdono gradi di libertà l’uno rispetto all’altro.</w:t>
      </w:r>
    </w:p>
    <w:p>
      <w:pPr>
        <w:pStyle w:val="Compact"/>
        <w:numPr>
          <w:ilvl w:val="0"/>
          <w:numId w:val="1013"/>
        </w:numPr>
      </w:pPr>
      <w:r>
        <w:t xml:space="preserve">Il bacino si organizza attorno al punto che non si muove più. La regione lombo-sacrale e la parete assorbono il movimento che lui non fa più: è un</w:t>
      </w:r>
      <w:r>
        <w:t xml:space="preserve"> </w:t>
      </w:r>
      <w:r>
        <w:rPr>
          <w:b/>
          <w:bCs/>
        </w:rPr>
        <w:t xml:space="preserve">compenso</w:t>
      </w:r>
      <w:r>
        <w:t xml:space="preserve">, e ha un prezzo.</w:t>
      </w:r>
    </w:p>
    <w:p>
      <w:pPr>
        <w:pStyle w:val="Compact"/>
        <w:numPr>
          <w:ilvl w:val="0"/>
          <w:numId w:val="1013"/>
        </w:numPr>
      </w:pPr>
      <w:r>
        <w:t xml:space="preserve">Compare un dolore meccanico, che vive tutto il mese e cambia con la posizione. È diverso dal dolore ciclico.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costa qualcosa e regge finché può. Il sintomo compare spesso dove il compenso ha ceduto, non dove il problema è nato.</w:t>
      </w:r>
    </w:p>
    <w:p>
      <w:pPr>
        <w:pStyle w:val="FirstParagraph"/>
      </w:pPr>
      <w:r>
        <w:t xml:space="preserve">È il motivo per cui il punto che fa più male è quasi sempre quello che ha lavorato al posto di un altro. La</w:t>
      </w:r>
      <w:r>
        <w:t xml:space="preserve"> </w:t>
      </w:r>
      <w:r>
        <w:rPr>
          <w:b/>
          <w:bCs/>
        </w:rPr>
        <w:t xml:space="preserve">catena</w:t>
      </w:r>
      <w:r>
        <w:t xml:space="preserve"> </w:t>
      </w:r>
      <w:r>
        <w:t xml:space="preserve">che li unisce, qui, è quella del segmento condiviso e del contenitore addomino-pelvico.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spiega perché un problema in un punto può manifestarsi in un altro.</w:t>
      </w:r>
    </w:p>
    <w:p>
      <w:pPr>
        <w:pStyle w:val="BlockText"/>
      </w:pPr>
      <w:r>
        <w:rPr>
          <w:b/>
          <w:bCs/>
        </w:rPr>
        <w:t xml:space="preserve">Quanto è solido:</w:t>
      </w:r>
      <w:r>
        <w:t xml:space="preserve"> </w:t>
      </w:r>
      <w:r>
        <w:t xml:space="preserve">l’etichetta si spezza. Che le aderenze esistano, si misurino e siano frequenti:</w:t>
      </w:r>
      <w:r>
        <w:t xml:space="preserve"> </w:t>
      </w:r>
      <w:r>
        <w:rPr>
          <w:b/>
          <w:bCs/>
        </w:rPr>
        <w:t xml:space="preserve">DIMOSTRATO</w:t>
      </w:r>
      <w:r>
        <w:t xml:space="preserve"> </w:t>
      </w:r>
      <w:r>
        <w:rPr>
          <w:i/>
          <w:iCs/>
        </w:rPr>
        <w:t xml:space="preserve">(studi sull’uomo, solidi)</w:t>
      </w:r>
      <w:r>
        <w:t xml:space="preserve"> </w:t>
      </w:r>
      <w:r>
        <w:t xml:space="preserve">— l’obliterazione del cavo del Douglas risulta presente nel 27% delle pazienti di un centro di riferimento (Tammaa e Hudelist 2014 — PMID 24777849). Che il lavoro manuale esterno modifichi quelle aderenze:</w:t>
      </w:r>
      <w:r>
        <w:t xml:space="preserve"> </w:t>
      </w:r>
      <w:r>
        <w:rPr>
          <w:b/>
          <w:bCs/>
        </w:rPr>
        <w:t xml:space="preserve">IPOTESI</w:t>
      </w:r>
      <w:r>
        <w:t xml:space="preserve"> </w:t>
      </w:r>
      <w:r>
        <w:rPr>
          <w:i/>
          <w:iCs/>
        </w:rPr>
        <w:t xml:space="preserve">(meccanismo coerente, nessuno studio)</w:t>
      </w:r>
      <w:r>
        <w:t xml:space="preserve">. Uno studio randomizzato pilota su mobilizzazioni osteopatiche addominali dopo chirurgia per endometriosi è stato disegnato e pubblicato come protocollo, e i risultati non ci sono ancora (Comptour,</w:t>
      </w:r>
      <w:r>
        <w:t xml:space="preserve"> </w:t>
      </w:r>
      <w:r>
        <w:rPr>
          <w:i/>
          <w:iCs/>
        </w:rPr>
        <w:t xml:space="preserve">PLoS One</w:t>
      </w:r>
      <w:r>
        <w:t xml:space="preserve"> </w:t>
      </w:r>
      <w:r>
        <w:t xml:space="preserve">2025 — PMID 40338925).</w:t>
      </w:r>
    </w:p>
    <w:p>
      <w:pPr>
        <w:pStyle w:val="FirstParagraph"/>
      </w:pPr>
      <w:r>
        <w:rPr>
          <w:b/>
          <w:bCs/>
        </w:rPr>
        <w:t xml:space="preserve">Come si vede addosso alla paziente.</w:t>
      </w:r>
      <w:r>
        <w:t xml:space="preserve"> </w:t>
      </w:r>
      <w:r>
        <w:t xml:space="preserve">Dolore che cambia con la posizione e con il carico, non con il giorno del ciclo. Rigidità in flessione ed estensione del tronco. Sensazione di</w:t>
      </w:r>
      <w:r>
        <w:t xml:space="preserve"> </w:t>
      </w:r>
      <w:r>
        <w:t xml:space="preserve">“tirare dentro”</w:t>
      </w:r>
      <w:r>
        <w:t xml:space="preserve"> </w:t>
      </w:r>
      <w:r>
        <w:t xml:space="preserve">quando si allunga. Storia di uno o più interventi.</w:t>
      </w:r>
    </w:p>
    <w:p>
      <w:pPr>
        <w:pStyle w:val="BodyText"/>
      </w:pPr>
      <w:r>
        <w:rPr>
          <w:b/>
          <w:bCs/>
        </w:rPr>
        <w:t xml:space="preserve">È un cassetto con la colla asciugata sulle guide: il cassetto c’è tutto, ma esce a strappi.</w:t>
      </w:r>
    </w:p>
    <w:bookmarkEnd w:id="35"/>
    <w:bookmarkStart w:id="36" w:name="X0ce0bb79f736300c58b1ceddce69b6def00f4af"/>
    <w:p>
      <w:pPr>
        <w:pStyle w:val="Heading3"/>
      </w:pPr>
      <w:r>
        <w:t xml:space="preserve">6. L’allarme che si è costruito in anni di dolore non creduto</w:t>
      </w:r>
    </w:p>
    <w:p>
      <w:pPr>
        <w:pStyle w:val="FirstParagraph"/>
      </w:pPr>
      <w:r>
        <w:rPr>
          <w:b/>
          <w:bCs/>
        </w:rPr>
        <w:t xml:space="preserve">La sequenza</w:t>
      </w:r>
    </w:p>
    <w:p>
      <w:pPr>
        <w:pStyle w:val="Compact"/>
        <w:numPr>
          <w:ilvl w:val="0"/>
          <w:numId w:val="1014"/>
        </w:numPr>
      </w:pPr>
      <w:r>
        <w:t xml:space="preserve">Il dolore compare in adolescenza e viene ridimensionato per anni, anche dal percorso sanitario. Lei impara due cose insieme: che il dolore non si ferma, e che raccontarlo non serve.</w:t>
      </w:r>
    </w:p>
    <w:p>
      <w:pPr>
        <w:pStyle w:val="Compact"/>
        <w:numPr>
          <w:ilvl w:val="0"/>
          <w:numId w:val="1014"/>
        </w:numPr>
      </w:pPr>
      <w:r>
        <w:t xml:space="preserve">Il mese si organizza attorno a due date. Compaiono ipervigilanza sul sintomo ed evitamento di ciò che potrebbe scatenarlo: il movimento nei giorni del flusso, i rapporti, il cibo.</w:t>
      </w:r>
    </w:p>
    <w:p>
      <w:pPr>
        <w:pStyle w:val="Compact"/>
        <w:numPr>
          <w:ilvl w:val="0"/>
          <w:numId w:val="1014"/>
        </w:numPr>
      </w:pPr>
      <w:r>
        <w:t xml:space="preserve">L’evitamento riduce il dolore oggi e allarga il territorio della paura domani. È un anello che si stringe, e non ha più bisogno della malattia per girare.</w:t>
      </w:r>
    </w:p>
    <w:p>
      <w:pPr>
        <w:pStyle w:val="FirstParagraph"/>
      </w:pPr>
      <w:r>
        <w:t xml:space="preserve">Non è un contorno emotivo: è un piano con esiti misurati e modificabili. Fra queste donne la prevalenza aggregata di stress da lieve a elevato è del 68% (IC 95% 57-79%), con studi così diversi fra loro che quella media non descrive nessuna popolazione reale in particolare (Brasil 2020 — PMID 31755674).</w:t>
      </w:r>
      <w:r>
        <w:t xml:space="preserve"> </w:t>
      </w:r>
      <w:r>
        <w:rPr>
          <w:b/>
          <w:bCs/>
        </w:rPr>
        <w:t xml:space="preserve">Per te:</w:t>
      </w:r>
      <w:r>
        <w:t xml:space="preserve"> </w:t>
      </w:r>
      <w:r>
        <w:t xml:space="preserve">lo stress qui è la regola, non l’eccezione: non usarlo per selezionare, usalo per non presentare la componente comportamentale come una diagnosi che stai facendo a lei.</w:t>
      </w:r>
    </w:p>
    <w:p>
      <w:pPr>
        <w:pStyle w:val="BodyText"/>
      </w:pPr>
      <w:r>
        <w:t xml:space="preserve">E l’ipervigilanza qui non è</w:t>
      </w:r>
      <w:r>
        <w:t xml:space="preserve"> </w:t>
      </w:r>
      <w:r>
        <w:t xml:space="preserve">“sentire di più”</w:t>
      </w:r>
      <w:r>
        <w:t xml:space="preserve">: è una</w:t>
      </w:r>
      <w:r>
        <w:t xml:space="preserve"> </w:t>
      </w:r>
      <w:r>
        <w:rPr>
          <w:b/>
          <w:bCs/>
        </w:rPr>
        <w:t xml:space="preserve">dissociazione</w:t>
      </w:r>
      <w:r>
        <w:t xml:space="preserve">. Sono state misurate con compiti interocettivi — prove che dicono quanto una persona legge davvero i propri segnali interni. Queste donne vanno</w:t>
      </w:r>
      <w:r>
        <w:t xml:space="preserve"> </w:t>
      </w:r>
      <w:r>
        <w:rPr>
          <w:b/>
          <w:bCs/>
        </w:rPr>
        <w:t xml:space="preserve">peggio</w:t>
      </w:r>
      <w:r>
        <w:t xml:space="preserve"> </w:t>
      </w:r>
      <w:r>
        <w:t xml:space="preserve">su stomaco e vescica, e insieme hanno</w:t>
      </w:r>
      <w:r>
        <w:t xml:space="preserve"> </w:t>
      </w:r>
      <w:r>
        <w:rPr>
          <w:b/>
          <w:bCs/>
        </w:rPr>
        <w:t xml:space="preserve">convinzioni più alte</w:t>
      </w:r>
      <w:r>
        <w:t xml:space="preserve"> </w:t>
      </w:r>
      <w:r>
        <w:t xml:space="preserve">sui propri segnali vescicali; la percezione del battito cardiaco è invece conservata (Cantoni,</w:t>
      </w:r>
      <w:r>
        <w:t xml:space="preserve"> </w:t>
      </w:r>
      <w:r>
        <w:rPr>
          <w:i/>
          <w:iCs/>
        </w:rPr>
        <w:t xml:space="preserve">PLoS One</w:t>
      </w:r>
      <w:r>
        <w:t xml:space="preserve"> </w:t>
      </w:r>
      <w:r>
        <w:t xml:space="preserve">2025 — PMID 40323957). Sono compiti di laboratorio su trenta donne, non un esito di dolore e non dopo un trattamento:</w:t>
      </w:r>
      <w:r>
        <w:t xml:space="preserve"> </w:t>
      </w:r>
      <w:r>
        <w:rPr>
          <w:b/>
          <w:bCs/>
        </w:rPr>
        <w:t xml:space="preserve">dice come funziona la percezione, non che qualcuno l’abbia cambiata.</w:t>
      </w:r>
      <w:r>
        <w:t xml:space="preserve"> </w:t>
      </w:r>
      <w:r>
        <w:rPr>
          <w:b/>
          <w:bCs/>
        </w:rPr>
        <w:t xml:space="preserve">Per te:</w:t>
      </w:r>
      <w:r>
        <w:t xml:space="preserve"> </w:t>
      </w:r>
      <w:r>
        <w:t xml:space="preserve">il bersaglio della tua spiegazione non è «ascolta di più il tuo corpo» — l’accuratezza è già bassa, e quel consiglio alza la convinzione senza alzare la precisione. Il bersaglio è la</w:t>
      </w:r>
      <w:r>
        <w:t xml:space="preserve"> </w:t>
      </w:r>
      <w:r>
        <w:rPr>
          <w:b/>
          <w:bCs/>
        </w:rPr>
        <w:t xml:space="preserve">taratura</w:t>
      </w:r>
      <w:r>
        <w:t xml:space="preserve">: cosa quel segnale significa e cosa no.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catastrofizzazione, autoefficacia e qualità di vita siano piani</w:t>
      </w:r>
      <w:r>
        <w:t xml:space="preserve"> </w:t>
      </w:r>
      <w:r>
        <w:rPr>
          <w:b/>
          <w:bCs/>
        </w:rPr>
        <w:t xml:space="preserve">modificabili</w:t>
      </w:r>
      <w:r>
        <w:t xml:space="preserve"> </w:t>
      </w:r>
      <w:r>
        <w:t xml:space="preserve">in questa popolazione: terapia cognitivo-comportamentale a distanza superiore a un controllo</w:t>
      </w:r>
      <w:r>
        <w:t xml:space="preserve"> </w:t>
      </w:r>
      <w:r>
        <w:rPr>
          <w:b/>
          <w:bCs/>
        </w:rPr>
        <w:t xml:space="preserve">attivo</w:t>
      </w:r>
      <w:r>
        <w:t xml:space="preserve">, non a una lista d’attesa (Evans 2026, trial HaPPI — PMID 41717450; descritto in «Cosa dice la scienza»).</w:t>
      </w:r>
      <w:r>
        <w:t xml:space="preserve"> </w:t>
      </w:r>
      <w:r>
        <w:rPr>
          <w:b/>
          <w:bCs/>
        </w:rPr>
        <w:t xml:space="preserve">PROBABILE</w:t>
      </w:r>
      <w:r>
        <w:t xml:space="preserve"> </w:t>
      </w:r>
      <w:r>
        <w:rPr>
          <w:i/>
          <w:iCs/>
        </w:rPr>
        <w:t xml:space="preserve">(razionale forte, prove parziali)</w:t>
      </w:r>
      <w:r>
        <w:t xml:space="preserve"> </w:t>
      </w:r>
      <w:r>
        <w:t xml:space="preserve">che la percezione dei segnali interni sia</w:t>
      </w:r>
      <w:r>
        <w:t xml:space="preserve"> </w:t>
      </w:r>
      <w:r>
        <w:rPr>
          <w:b/>
          <w:bCs/>
        </w:rPr>
        <w:t xml:space="preserve">dissociata</w:t>
      </w:r>
      <w:r>
        <w:t xml:space="preserve"> </w:t>
      </w:r>
      <w:r>
        <w:t xml:space="preserve">in queste donne — accuratezza ridotta su stomaco e vescica, convinzione soggettiva alta (Cantoni 2025 — PMID 40323957): trenta contro trenta, monocentrico, compiti di laboratorio.</w:t>
      </w:r>
      <w:r>
        <w:t xml:space="preserve"> </w:t>
      </w:r>
      <w:r>
        <w:rPr>
          <w:b/>
          <w:bCs/>
        </w:rPr>
        <w:t xml:space="preserve">IPOTESI</w:t>
      </w:r>
      <w:r>
        <w:t xml:space="preserve"> </w:t>
      </w:r>
      <w:r>
        <w:rPr>
          <w:i/>
          <w:iCs/>
        </w:rPr>
        <w:t xml:space="preserve">(meccanismo coerente, nessuno studio)</w:t>
      </w:r>
      <w:r>
        <w:t xml:space="preserve"> </w:t>
      </w:r>
      <w:r>
        <w:t xml:space="preserve">che il nostro contatto e la nostra spiegazione muovano quegli stessi esiti: l’intervento studiato non è il nostro.</w:t>
      </w:r>
    </w:p>
    <w:p>
      <w:pPr>
        <w:pStyle w:val="FirstParagraph"/>
      </w:pPr>
      <w:r>
        <w:rPr>
          <w:b/>
          <w:bCs/>
        </w:rPr>
        <w:t xml:space="preserve">Come si vede addosso alla paziente.</w:t>
      </w:r>
      <w:r>
        <w:t xml:space="preserve"> </w:t>
      </w:r>
      <w:r>
        <w:t xml:space="preserve">Programma la vita sul calendario del dolore. Non nomina spontaneamente il dolore nei rapporti. Dice</w:t>
      </w:r>
      <w:r>
        <w:t xml:space="preserve"> </w:t>
      </w:r>
      <w:r>
        <w:t xml:space="preserve">“ci ho fatto l’abitudine”</w:t>
      </w:r>
      <w:r>
        <w:t xml:space="preserve">. Ha smesso di muoversi nei giorni del flusso, e poi anche negli altri. Verifica se le credi nei primi tre minuti.</w:t>
      </w:r>
    </w:p>
    <w:p>
      <w:pPr>
        <w:pStyle w:val="BodyText"/>
      </w:pPr>
      <w:r>
        <w:rPr>
          <w:b/>
          <w:bCs/>
        </w:rPr>
        <w:t xml:space="preserve">È una casa in cui è saltato il contatore una volta sola, e da allora nessuno accende più di un elettrodomestico per volta: l’impianto reggerebbe, ma la regola è rimasta.</w:t>
      </w:r>
    </w:p>
    <w:p>
      <w:pPr>
        <w:pStyle w:val="BodyText"/>
      </w:pPr>
      <w:r>
        <w:rPr>
          <w:b/>
          <w:bCs/>
        </w:rPr>
        <w:t xml:space="preserve">Le tre cose da ricordare, più una</w:t>
      </w:r>
    </w:p>
    <w:p>
      <w:pPr>
        <w:pStyle w:val="Compact"/>
        <w:numPr>
          <w:ilvl w:val="0"/>
          <w:numId w:val="1015"/>
        </w:numPr>
      </w:pPr>
      <w:r>
        <w:t xml:space="preserve">Dei sei meccanismi, la malattia spiega direttamente solo il quarto: gli altri cinque sono la ragione per cui una donna curata bene continua a stare male, e sono lo spazio in cui esisti.</w:t>
      </w:r>
    </w:p>
    <w:p>
      <w:pPr>
        <w:pStyle w:val="Compact"/>
        <w:numPr>
          <w:ilvl w:val="0"/>
          <w:numId w:val="1015"/>
        </w:numPr>
      </w:pPr>
      <w:r>
        <w:t xml:space="preserve">L’ipertono del pavimento pelvico è frequente e va cercato sempre, ma non sai in quante è presente: il «tutte e trenta» di Phan è un criterio di arruolamento, non una prevalenza.</w:t>
      </w:r>
    </w:p>
    <w:p>
      <w:pPr>
        <w:pStyle w:val="Compact"/>
        <w:numPr>
          <w:ilvl w:val="0"/>
          <w:numId w:val="1015"/>
        </w:numPr>
      </w:pPr>
      <w:r>
        <w:t xml:space="preserve">La sede che la paziente indica è quella che sente, non quella che genera: mappa prima di scegliere, e usa il test di Carnett per sapere se stai palpando la parete o quello che c’è sotto.</w:t>
      </w:r>
    </w:p>
    <w:p>
      <w:pPr>
        <w:pStyle w:val="Compact"/>
        <w:numPr>
          <w:ilvl w:val="0"/>
          <w:numId w:val="1015"/>
        </w:numPr>
      </w:pPr>
      <w:r>
        <w:rPr>
          <w:b/>
          <w:bCs/>
        </w:rPr>
        <w:t xml:space="preserve">Perché ci sei tu.</w:t>
      </w:r>
      <w:r>
        <w:t xml:space="preserve"> </w:t>
      </w:r>
      <w:r>
        <w:t xml:space="preserve">Su trenta donne con dolore pelvico da endometriosi, tutte e trenta avevano spasmo del pavimento pelvico e punti dolorosi miofasciali in oltre due terzi di ventisei regioni esaminate (Phan,</w:t>
      </w:r>
      <w:r>
        <w:t xml:space="preserve"> </w:t>
      </w:r>
      <w:r>
        <w:rPr>
          <w:i/>
          <w:iCs/>
        </w:rPr>
        <w:t xml:space="preserve">Eur J Pain</w:t>
      </w:r>
      <w:r>
        <w:t xml:space="preserve"> </w:t>
      </w:r>
      <w:r>
        <w:t xml:space="preserve">2021 — PMID 33326662). Questo ti autorizza a cercare e documentare una disfunzione miofasciale in ogni paziente con questa diagnosi, perché la probabilità a priori di trovarla è altissima. Non ti autorizza a concludere che quella disfunzione sia la causa del suo dolore: è una delle sorgenti, in un quadro che ne ha almeno sei.</w:t>
      </w:r>
    </w:p>
    <w:p>
      <w:r>
        <w:pict>
          <v:rect style="width:0;height:1.5pt" o:hralign="center" o:hrstd="t" o:hr="t"/>
        </w:pict>
      </w:r>
    </w:p>
    <w:bookmarkEnd w:id="36"/>
    <w:bookmarkEnd w:id="37"/>
    <w:bookmarkStart w:id="38"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con la stessa diagnosi scritta sul referto ti arrivano cinque pazienti diverse, e su due di loro il tuo spazio è piccolo o assente.</w:t>
      </w:r>
    </w:p>
    <w:p>
      <w:pPr>
        <w:pStyle w:val="FirstParagraph"/>
      </w:pPr>
      <w:r>
        <w:t xml:space="preserve">I sottotipi non sono etichette diagnostiche. Sono</w:t>
      </w:r>
      <w:r>
        <w:t xml:space="preserve"> </w:t>
      </w:r>
      <w:r>
        <w:rPr>
          <w:b/>
          <w:bCs/>
        </w:rPr>
        <w:t xml:space="preserve">pattern</w:t>
      </w:r>
      <w:r>
        <w:t xml:space="preserve">, cioè combinazioni ricorrenti di segnali che ti dicono quale meccanismo comanda in questa donna.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Miofasciale pelvico</w:t>
            </w:r>
          </w:p>
        </w:tc>
        <w:tc>
          <w:tcPr/>
          <w:p>
            <w:pPr>
              <w:pStyle w:val="Compact"/>
            </w:pPr>
            <w:r>
              <w:t xml:space="preserve">Dispareunia non ciclica; sforzo alla defecazione</w:t>
            </w:r>
          </w:p>
        </w:tc>
        <w:tc>
          <w:tcPr/>
          <w:p>
            <w:pPr>
              <w:pStyle w:val="Compact"/>
            </w:pPr>
            <w:r>
              <w:t xml:space="preserve">Pavimento pelvico</w:t>
            </w:r>
          </w:p>
        </w:tc>
        <w:tc>
          <w:tcPr/>
          <w:p>
            <w:pPr>
              <w:pStyle w:val="Compact"/>
            </w:pPr>
            <w:r>
              <w:t xml:space="preserve">Poco con le mani, molto col rinvio</w:t>
            </w:r>
          </w:p>
        </w:tc>
      </w:tr>
      <w:tr>
        <w:tc>
          <w:tcPr/>
          <w:p>
            <w:pPr>
              <w:pStyle w:val="Compact"/>
            </w:pPr>
            <w:r>
              <w:t xml:space="preserve">Parete addominale</w:t>
            </w:r>
          </w:p>
        </w:tc>
        <w:tc>
          <w:tcPr/>
          <w:p>
            <w:pPr>
              <w:pStyle w:val="Compact"/>
            </w:pPr>
            <w:r>
              <w:t xml:space="preserve">Dolore riprodotto premendo da fuori</w:t>
            </w:r>
          </w:p>
        </w:tc>
        <w:tc>
          <w:tcPr/>
          <w:p>
            <w:pPr>
              <w:pStyle w:val="Compact"/>
            </w:pPr>
            <w:r>
              <w:t xml:space="preserve">Parete somatica</w:t>
            </w:r>
          </w:p>
        </w:tc>
        <w:tc>
          <w:tcPr/>
          <w:p>
            <w:pPr>
              <w:pStyle w:val="Compact"/>
            </w:pPr>
            <w:r>
              <w:t xml:space="preserve">Abbastanza</w:t>
            </w:r>
          </w:p>
        </w:tc>
      </w:tr>
      <w:tr>
        <w:tc>
          <w:tcPr/>
          <w:p>
            <w:pPr>
              <w:pStyle w:val="Compact"/>
            </w:pPr>
            <w:r>
              <w:t xml:space="preserve">Soglia abbassata diffusa (nociplastico)</w:t>
            </w:r>
          </w:p>
        </w:tc>
        <w:tc>
          <w:tcPr/>
          <w:p>
            <w:pPr>
              <w:pStyle w:val="Compact"/>
            </w:pPr>
            <w:r>
              <w:t xml:space="preserve">Dolore lontano dal bacino</w:t>
            </w:r>
          </w:p>
        </w:tc>
        <w:tc>
          <w:tcPr/>
          <w:p>
            <w:pPr>
              <w:pStyle w:val="Compact"/>
            </w:pPr>
            <w:r>
              <w:t xml:space="preserve">Sensibilizzazione e allarme</w:t>
            </w:r>
          </w:p>
        </w:tc>
        <w:tc>
          <w:tcPr/>
          <w:p>
            <w:pPr>
              <w:pStyle w:val="Compact"/>
            </w:pPr>
            <w:r>
              <w:t xml:space="preserve">Abbastanza</w:t>
            </w:r>
          </w:p>
        </w:tc>
      </w:tr>
      <w:tr>
        <w:tc>
          <w:tcPr/>
          <w:p>
            <w:pPr>
              <w:pStyle w:val="Compact"/>
            </w:pPr>
            <w:r>
              <w:t xml:space="preserve">Meccanico post-chirurgico</w:t>
            </w:r>
          </w:p>
        </w:tc>
        <w:tc>
          <w:tcPr/>
          <w:p>
            <w:pPr>
              <w:pStyle w:val="Compact"/>
            </w:pPr>
            <w:r>
              <w:t xml:space="preserve">Dolore legato alla posizione</w:t>
            </w:r>
          </w:p>
        </w:tc>
        <w:tc>
          <w:tcPr/>
          <w:p>
            <w:pPr>
              <w:pStyle w:val="Compact"/>
            </w:pPr>
            <w:r>
              <w:t xml:space="preserve">Scorrimento perduto</w:t>
            </w:r>
          </w:p>
        </w:tc>
        <w:tc>
          <w:tcPr/>
          <w:p>
            <w:pPr>
              <w:pStyle w:val="Compact"/>
            </w:pPr>
            <w:r>
              <w:t xml:space="preserve">Poco</w:t>
            </w:r>
          </w:p>
        </w:tc>
      </w:tr>
      <w:tr>
        <w:tc>
          <w:tcPr/>
          <w:p>
            <w:pPr>
              <w:pStyle w:val="Compact"/>
            </w:pPr>
            <w:r>
              <w:t xml:space="preserve">Malattia attiva non controllata</w:t>
            </w:r>
          </w:p>
        </w:tc>
        <w:tc>
          <w:tcPr/>
          <w:p>
            <w:pPr>
              <w:pStyle w:val="Compact"/>
            </w:pPr>
            <w:r>
              <w:t xml:space="preserve">Peggioramento progressivo</w:t>
            </w:r>
          </w:p>
        </w:tc>
        <w:tc>
          <w:tcPr/>
          <w:p>
            <w:pPr>
              <w:pStyle w:val="Compact"/>
            </w:pPr>
            <w:r>
              <w:t xml:space="preserve">Lesione e infiammazione</w:t>
            </w:r>
          </w:p>
        </w:tc>
        <w:tc>
          <w:tcPr/>
          <w:p>
            <w:pPr>
              <w:pStyle w:val="Compact"/>
            </w:pPr>
            <w:r>
              <w:t xml:space="preserve">Niente sul sintomo pelvico, invio</w:t>
            </w:r>
          </w:p>
        </w:tc>
      </w:tr>
    </w:tbl>
    <w:p>
      <w:pPr>
        <w:pStyle w:val="BodyText"/>
      </w:pPr>
      <w:r>
        <w:rPr>
          <w:b/>
          <w:bCs/>
        </w:rPr>
        <w:t xml:space="preserve">I pattern si sommano, e quasi sempre convivono.</w:t>
      </w:r>
      <w:r>
        <w:t xml:space="preserve"> </w:t>
      </w:r>
      <w:r>
        <w:t xml:space="preserve">Il sottotipo non è una categoria pura: è quello che</w:t>
      </w:r>
      <w:r>
        <w:t xml:space="preserve"> </w:t>
      </w:r>
      <w:r>
        <w:rPr>
          <w:b/>
          <w:bCs/>
        </w:rPr>
        <w:t xml:space="preserve">comanda oggi</w:t>
      </w:r>
      <w:r>
        <w:t xml:space="preserve">. È la rata che scade per prima, non l’unico debito che hai. La tabella dice cosa riconosci, la Road Map dice in che ordine guardarli.</w:t>
      </w:r>
    </w:p>
    <w:p>
      <w:pPr>
        <w:pStyle w:val="BodyText"/>
      </w:pPr>
      <w:r>
        <w:rPr>
          <w:b/>
          <w:bCs/>
        </w:rPr>
        <w:t xml:space="preserve">Miofasciale pelvico.</w:t>
      </w:r>
      <w:r>
        <w:t xml:space="preserve"> </w:t>
      </w:r>
      <w:r>
        <w:t xml:space="preserve">I due segnali della tabella vanno chiesti a parole tue, perché nessuna paziente li porta con quei nomi:</w:t>
      </w:r>
      <w:r>
        <w:t xml:space="preserve"> </w:t>
      </w:r>
      <w:r>
        <w:rPr>
          <w:i/>
          <w:iCs/>
        </w:rPr>
        <w:t xml:space="preserve">non ciclica</w:t>
      </w:r>
      <w:r>
        <w:t xml:space="preserve"> </w:t>
      </w:r>
      <w:r>
        <w:t xml:space="preserve">vuol dire che non peggiora solo nei giorni del flusso (Kapurubandara 2026 — PMID 42537749).</w:t>
      </w:r>
    </w:p>
    <w:p>
      <w:pPr>
        <w:pStyle w:val="BodyText"/>
      </w:pPr>
      <w:r>
        <w:t xml:space="preserve">Questo pattern ha il bersaglio meglio documentato, e</w:t>
      </w:r>
      <w:r>
        <w:t xml:space="preserve"> </w:t>
      </w:r>
      <w:r>
        <w:rPr>
          <w:b/>
          <w:bCs/>
        </w:rPr>
        <w:t xml:space="preserve">la tua mano</w:t>
      </w:r>
      <w:r>
        <w:t xml:space="preserve"> </w:t>
      </w:r>
      <w:r>
        <w:t xml:space="preserve">non lo raggiunge. La prova migliore è fisioterapia del pavimento pelvico per via interna, fuori dal perimetro dell’osteopatia in Italia. Ma il bersaglio non è perduto: lo raggiungono la fisioterapista pelvi-perineale e il lavoro attivo della paziente. Tu lo riconosci, lo documenti, lavori su ciò che gli sta attorno e apri quelle due strade.</w:t>
      </w:r>
      <w:r>
        <w:t xml:space="preserve"> </w:t>
      </w:r>
      <w:r>
        <w:rPr>
          <w:b/>
          <w:bCs/>
        </w:rPr>
        <w:t xml:space="preserve">Non è uno scarico: è la parte più utile del tuo intervento su questa paziente.</w:t>
      </w:r>
    </w:p>
    <w:p>
      <w:pPr>
        <w:pStyle w:val="BodyText"/>
      </w:pPr>
      <w:r>
        <w:rPr>
          <w:b/>
          <w:bCs/>
        </w:rPr>
        <w:t xml:space="preserve">Parete addominale.</w:t>
      </w:r>
      <w:r>
        <w:t xml:space="preserve"> </w:t>
      </w:r>
      <w:r>
        <w:t xml:space="preserve">Il segnale vale se lei riconosce quel dolore come</w:t>
      </w:r>
      <w:r>
        <w:t xml:space="preserve"> </w:t>
      </w:r>
      <w:r>
        <w:rPr>
          <w:b/>
          <w:bCs/>
        </w:rPr>
        <w:t xml:space="preserve">il suo</w:t>
      </w:r>
      <w:r>
        <w:t xml:space="preserve">, non solo come dolore. È il pattern con il razionale migliore e la leva più diretta, ed è quello su cui misuri.</w:t>
      </w:r>
    </w:p>
    <w:p>
      <w:pPr>
        <w:pStyle w:val="BodyText"/>
      </w:pPr>
      <w:r>
        <w:rPr>
          <w:b/>
          <w:bCs/>
        </w:rPr>
        <w:t xml:space="preserve">Soglia abbassata diffusa — il pattern nociplastico.</w:t>
      </w:r>
      <w:r>
        <w:t xml:space="preserve"> </w:t>
      </w:r>
      <w:r>
        <w:rPr>
          <w:b/>
          <w:bCs/>
        </w:rPr>
        <w:t xml:space="preserve">Nociplastico</w:t>
      </w:r>
      <w:r>
        <w:t xml:space="preserve"> </w:t>
      </w:r>
      <w:r>
        <w:t xml:space="preserve">è la parola con cui l’algologo descriverà la stessa paziente: senza di essa le vostre lettere non si parlano. Quello che comanda non è un tessuto ma il</w:t>
      </w:r>
      <w:r>
        <w:t xml:space="preserve"> </w:t>
      </w:r>
      <w:r>
        <w:rPr>
          <w:b/>
          <w:bCs/>
        </w:rPr>
        <w:t xml:space="preserve">livello di attivazione</w:t>
      </w:r>
      <w:r>
        <w:t xml:space="preserve">, e con esso l’allarme costruito negli anni (meccanismo 6).</w:t>
      </w:r>
    </w:p>
    <w:p>
      <w:pPr>
        <w:pStyle w:val="BodyText"/>
      </w:pPr>
      <w:r>
        <w:t xml:space="preserve">Non è un capolinea. Se a comandare è l’attivazione, l’attivazione è il bersaglio: contatto lento, ritmo del respiro, tempo dedicato, e la spiegazione che le è mancata per anni. È il pattern in cui hai</w:t>
      </w:r>
      <w:r>
        <w:t xml:space="preserve"> </w:t>
      </w:r>
      <w:r>
        <w:rPr>
          <w:b/>
          <w:bCs/>
        </w:rPr>
        <w:t xml:space="preserve">più</w:t>
      </w:r>
      <w:r>
        <w:t xml:space="preserve"> </w:t>
      </w:r>
      <w:r>
        <w:t xml:space="preserve">da fare, non meno.</w:t>
      </w:r>
    </w:p>
    <w:p>
      <w:pPr>
        <w:pStyle w:val="BodyText"/>
      </w:pPr>
      <w:r>
        <w:rPr>
          <w:b/>
          <w:bCs/>
        </w:rPr>
        <w:t xml:space="preserve">Meccanico post-chirurgico.</w:t>
      </w:r>
      <w:r>
        <w:t xml:space="preserve"> </w:t>
      </w:r>
      <w:r>
        <w:t xml:space="preserve">Il razionale c’è, la prova no. Lavori sulla mobilità del tronco e del bacino, dichiari l’etichetta, e misuri un’escursione — non un’aderenza.</w:t>
      </w:r>
    </w:p>
    <w:p>
      <w:pPr>
        <w:pStyle w:val="BodyText"/>
      </w:pPr>
      <w:r>
        <w:rPr>
          <w:b/>
          <w:bCs/>
        </w:rPr>
        <w:t xml:space="preserve">Malattia attiva non controllata.</w:t>
      </w:r>
      <w:r>
        <w:t xml:space="preserve"> </w:t>
      </w:r>
      <w:r>
        <w:t xml:space="preserve">Al peggioramento progressivo si aggiungono sintomi nuovi e una terapia che non tiene più.</w:t>
      </w:r>
      <w:r>
        <w:t xml:space="preserve"> </w:t>
      </w:r>
      <w:r>
        <w:rPr>
          <w:b/>
          <w:bCs/>
        </w:rPr>
        <w:t xml:space="preserve">Sul sintomo pelvico qui non ci sei.</w:t>
      </w:r>
      <w:r>
        <w:t xml:space="preserve"> </w:t>
      </w:r>
      <w:r>
        <w:t xml:space="preserve">La condotta è identica a quella della tabella: invio prioritario e scritto</w:t>
      </w:r>
      <w:r>
        <w:t xml:space="preserve"> </w:t>
      </w:r>
      <w:r>
        <w:rPr>
          <w:b/>
          <w:bCs/>
        </w:rPr>
        <w:t xml:space="preserve">subito</w:t>
      </w:r>
      <w:r>
        <w:t xml:space="preserve">, nessun ciclo aperto su quel sintomo, e in quelle settimane si tratta soltanto ciò che non appartiene al quadro in peggioramento.</w:t>
      </w:r>
    </w:p>
    <w:p>
      <w:pPr>
        <w:pStyle w:val="BodyText"/>
      </w:pPr>
      <w:r>
        <w:t xml:space="preserve">Un’ultima cosa, perché questi quadri arrivano quasi sempre accompagnati. Se la paziente ha anche dolore mestruale senza inquadramento, vedi la Bibbia del</w:t>
      </w:r>
      <w:r>
        <w:t xml:space="preserve"> </w:t>
      </w:r>
      <w:r>
        <w:rPr>
          <w:b/>
          <w:bCs/>
        </w:rPr>
        <w:t xml:space="preserve">ciclo doloroso</w:t>
      </w:r>
      <w:r>
        <w:t xml:space="preserve">: condividono il territorio somatico T10-L1 e la parete addominale. Se ha sintomi intestinali che non seguono il flusso, vedi</w:t>
      </w:r>
      <w:r>
        <w:t xml:space="preserve"> </w:t>
      </w:r>
      <w:r>
        <w:rPr>
          <w:b/>
          <w:bCs/>
        </w:rPr>
        <w:t xml:space="preserve">colon irritabile</w:t>
      </w:r>
      <w:r>
        <w:t xml:space="preserve">. Se ha una cicatrice da taglio cesareo dolente, vedi</w:t>
      </w:r>
      <w:r>
        <w:t xml:space="preserve"> </w:t>
      </w:r>
      <w:r>
        <w:rPr>
          <w:b/>
          <w:bCs/>
        </w:rPr>
        <w:t xml:space="preserve">cicatrici da cesareo</w:t>
      </w:r>
      <w:r>
        <w:t xml:space="preserve">. Se il quadro è dominato da allarme e ipervigilanza, vedi</w:t>
      </w:r>
      <w:r>
        <w:t xml:space="preserve"> </w:t>
      </w:r>
      <w:r>
        <w:rPr>
          <w:b/>
          <w:bCs/>
        </w:rPr>
        <w:t xml:space="preserve">ansia somatizzata</w:t>
      </w:r>
      <w:r>
        <w:t xml:space="preserve">: lì il meccanismo condiviso è la soglia, non l’organo.</w:t>
      </w:r>
    </w:p>
    <w:p>
      <w:pPr>
        <w:pStyle w:val="BodyText"/>
      </w:pPr>
      <w:r>
        <w:rPr>
          <w:b/>
          <w:bCs/>
        </w:rPr>
        <w:t xml:space="preserve">Le tre cose da ricordare, più una</w:t>
      </w:r>
    </w:p>
    <w:p>
      <w:pPr>
        <w:pStyle w:val="Compact"/>
        <w:numPr>
          <w:ilvl w:val="0"/>
          <w:numId w:val="1016"/>
        </w:numPr>
      </w:pPr>
      <w:r>
        <w:t xml:space="preserve">Il sottotipo con il bersaglio meglio dimostrato è anche quello che non puoi trattare: riconoscerlo e rinviarlo è un atto clinico, non una rinuncia.</w:t>
      </w:r>
    </w:p>
    <w:p>
      <w:pPr>
        <w:pStyle w:val="Compact"/>
        <w:numPr>
          <w:ilvl w:val="0"/>
          <w:numId w:val="1016"/>
        </w:numPr>
      </w:pPr>
      <w:r>
        <w:t xml:space="preserve">Il sottotipo con soglia abbassata è quello in cui hai più da fare, non meno.</w:t>
      </w:r>
    </w:p>
    <w:p>
      <w:pPr>
        <w:pStyle w:val="Compact"/>
        <w:numPr>
          <w:ilvl w:val="0"/>
          <w:numId w:val="1016"/>
        </w:numPr>
      </w:pPr>
      <w:r>
        <w:t xml:space="preserve">Se il dolore peggiora ciclo dopo ciclo, il sintomo pelvico non è tuo: è una riga della tabella delle bandiere rosse, si invia subito e per iscritto, e non si apre nessun ciclo su quel sintomo.</w:t>
      </w:r>
    </w:p>
    <w:p>
      <w:pPr>
        <w:pStyle w:val="Compact"/>
        <w:numPr>
          <w:ilvl w:val="0"/>
          <w:numId w:val="1016"/>
        </w:numPr>
      </w:pPr>
      <w:r>
        <w:rPr>
          <w:b/>
          <w:bCs/>
        </w:rPr>
        <w:t xml:space="preserve">Perché ci sei tu.</w:t>
      </w:r>
      <w:r>
        <w:t xml:space="preserve"> </w:t>
      </w:r>
      <w:r>
        <w:t xml:space="preserve">Fra le adolescenti portate in laparoscopia per dismenorrea, sette su dieci avevano endometriosi visibile (Janssen,</w:t>
      </w:r>
      <w:r>
        <w:t xml:space="preserve"> </w:t>
      </w:r>
      <w:r>
        <w:rPr>
          <w:i/>
          <w:iCs/>
        </w:rPr>
        <w:t xml:space="preserve">Hum Reprod Update</w:t>
      </w:r>
      <w:r>
        <w:t xml:space="preserve"> </w:t>
      </w:r>
      <w:r>
        <w:t xml:space="preserve">2013 — PMID 23727940). Su questo sottotipo giovane e non ancora inquadrato non ci sei: quel numero ti autorizza a riconoscerlo e a spingerlo verso il ginecologo, non a tenerlo in trattamento mentre il tempo passa.</w:t>
      </w:r>
    </w:p>
    <w:p>
      <w:r>
        <w:pict>
          <v:rect style="width:0;height:1.5pt" o:hralign="center" o:hrstd="t" o:hr="t"/>
        </w:pict>
      </w:r>
    </w:p>
    <w:bookmarkEnd w:id="38"/>
    <w:bookmarkStart w:id="4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quasi tutto il peso — il neurologico e il comportamentale — e il biomeccanico regge il bersaglio raggiungibile.</w:t>
      </w:r>
    </w:p>
    <w:p>
      <w:pPr>
        <w:pStyle w:val="FirstParagraph"/>
      </w:pPr>
      <w:r>
        <w:t xml:space="preserve">Un modello dominante deve produrre un meccanismo e una leva, altrimenti la dominanza è una dichiarazione. Il neurologico genera il meccanismo 3 e la leva sull’attivazione. Il comportamentale genera il meccanismo 6 e la leva sulla spiegazione.</w:t>
      </w:r>
    </w:p>
    <w:p>
      <w:pPr>
        <w:pStyle w:val="BodyText"/>
      </w:pPr>
      <w:r>
        <w:t xml:space="preserve">I segnali elencati qui sotto sono scelti per una ragione precisa:</w:t>
      </w:r>
      <w:r>
        <w:t xml:space="preserve"> </w:t>
      </w:r>
      <w:r>
        <w:rPr>
          <w:b/>
          <w:bCs/>
        </w:rPr>
        <w:t xml:space="preserve">variano fra donne che hanno tutte la stessa diagnosi.</w:t>
      </w:r>
      <w:r>
        <w:t xml:space="preserve"> </w:t>
      </w:r>
      <w:r>
        <w:t xml:space="preserve">Un segnale presente in tutte non separa nessuno, e non serve al ragionamento.</w:t>
      </w:r>
    </w:p>
    <w:bookmarkStart w:id="39" w:name="biomeccanico-strutturale"/>
    <w:p>
      <w:pPr>
        <w:pStyle w:val="Heading3"/>
      </w:pPr>
      <w:r>
        <w:t xml:space="preserve">Biomeccanico-Strutturale</w:t>
      </w:r>
    </w:p>
    <w:p>
      <w:pPr>
        <w:pStyle w:val="FirstParagraph"/>
      </w:pPr>
      <w:r>
        <w:rPr>
          <w:b/>
          <w:bCs/>
        </w:rPr>
        <w:t xml:space="preserve">Cosa governa qui.</w:t>
      </w:r>
      <w:r>
        <w:t xml:space="preserve"> </w:t>
      </w:r>
      <w:r>
        <w:t xml:space="preserve">Due cose. Il bersaglio raggiungibile con le mani — parete sotto l’ombelico, complesso lombo-sacrale, mobilità di tronco e anche. E la meccanica del compartimento pelvico, cioè lo scorrimento fra gli organi e la sospensione legamentosa.</w:t>
      </w:r>
    </w:p>
    <w:p>
      <w:pPr>
        <w:pStyle w:val="BodyText"/>
      </w:pPr>
      <w:r>
        <w:rPr>
          <w:b/>
          <w:bCs/>
        </w:rPr>
        <w:t xml:space="preserve">Dove sta il viscerale, visto che non è un modello a sé.</w:t>
      </w:r>
      <w:r>
        <w:t xml:space="preserve"> </w:t>
      </w:r>
      <w:r>
        <w:t xml:space="preserve">La sua</w:t>
      </w:r>
      <w:r>
        <w:t xml:space="preserve"> </w:t>
      </w:r>
      <w:r>
        <w:rPr>
          <w:b/>
          <w:bCs/>
        </w:rPr>
        <w:t xml:space="preserve">meccanica</w:t>
      </w:r>
      <w:r>
        <w:t xml:space="preserve"> </w:t>
      </w:r>
      <w:r>
        <w:t xml:space="preserve">— scorrimento fra gli organi, sospensione legamentosa, posizione — vive qui, dentro il biomeccanico. Il suo</w:t>
      </w:r>
      <w:r>
        <w:t xml:space="preserve"> </w:t>
      </w:r>
      <w:r>
        <w:rPr>
          <w:b/>
          <w:bCs/>
        </w:rPr>
        <w:t xml:space="preserve">riflesso</w:t>
      </w:r>
      <w:r>
        <w:t xml:space="preserve"> </w:t>
      </w:r>
      <w:r>
        <w:t xml:space="preserve">— l’organo che cambia il tono del territorio somatico con cui condivide il segmento — vive nel Neurologico. Non esiste una casella separata, e cercarla porta a inventare un modello.</w:t>
      </w:r>
    </w:p>
    <w:p>
      <w:pPr>
        <w:pStyle w:val="BodyText"/>
      </w:pPr>
      <w:r>
        <w:rPr>
          <w:b/>
          <w:bCs/>
        </w:rPr>
        <w:t xml:space="preserve">I segnali che ti dicono che pesa in questa paziente.</w:t>
      </w:r>
      <w:r>
        <w:t xml:space="preserve"> </w:t>
      </w:r>
      <w:r>
        <w:t xml:space="preserve">Escursione lombare ridotta, e misurata. Storia chirurgica addominale. Per il resto valgono i segni dei meccanismi 2 e 5.</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 reperti miofasciali di parete siano presenti e diffusi in questa popolazione (Phan 2021 — PMID 33326662).</w:t>
      </w:r>
      <w:r>
        <w:t xml:space="preserve"> </w:t>
      </w:r>
      <w:r>
        <w:rPr>
          <w:b/>
          <w:bCs/>
        </w:rPr>
        <w:t xml:space="preserve">IPOTESI</w:t>
      </w:r>
      <w:r>
        <w:t xml:space="preserve"> </w:t>
      </w:r>
      <w:r>
        <w:rPr>
          <w:i/>
          <w:iCs/>
        </w:rPr>
        <w:t xml:space="preserve">(meccanismo coerente, nessuno studio)</w:t>
      </w:r>
      <w:r>
        <w:t xml:space="preserve"> </w:t>
      </w:r>
      <w:r>
        <w:t xml:space="preserve">che il lavoro manuale esterno su quei reperti modifichi il dolore in questa condizione.</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La pressione della cavità addominale, e come si distribuisce sul contenuto pelvico. Non tutto il modello è invocabile su questa condizione: il ritorno venoso e linfatico pelvico non ha, qui, nessuna misura che lo colleghi al sintomo.</w:t>
      </w:r>
      <w:r>
        <w:t xml:space="preserve"> </w:t>
      </w:r>
      <w:r>
        <w:rPr>
          <w:b/>
          <w:bCs/>
        </w:rPr>
        <w:t xml:space="preserve">Si usa la parte pressoria, non la parte fluidica.</w:t>
      </w:r>
    </w:p>
    <w:p>
      <w:pPr>
        <w:pStyle w:val="BodyText"/>
      </w:pPr>
      <w:r>
        <w:t xml:space="preserve">Gli attori sono le tre pareti della stessa cavità: diaframma, parete addominale, pavimento pelvico.</w:t>
      </w:r>
    </w:p>
    <w:p>
      <w:pPr>
        <w:pStyle w:val="BodyText"/>
      </w:pPr>
      <w:r>
        <w:rPr>
          <w:b/>
          <w:bCs/>
        </w:rPr>
        <w:t xml:space="preserve">I segnali che ti dicono che pesa in questa paziente.</w:t>
      </w:r>
      <w:r>
        <w:t xml:space="preserve"> </w:t>
      </w:r>
      <w:r>
        <w:t xml:space="preserve">Respiro alto e corto. Escursione costale bassa ridotta. Apnea quando parla del dolore. Addome che si distende progressivamente nella giornata. Impossibilità di espirare completamente senza dolore.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Il contenuto pressorio che questo modello dichiara di governare non ha, qui, nessuna misura propria. La prova sul respiro lento esiste ma è</w:t>
      </w:r>
      <w:r>
        <w:t xml:space="preserve"> </w:t>
      </w:r>
      <w:r>
        <w:rPr>
          <w:b/>
          <w:bCs/>
        </w:rPr>
        <w:t xml:space="preserve">autonomica</w:t>
      </w:r>
      <w:r>
        <w:t xml:space="preserve">, non pressoria, e sta nel modello Neurologico: un modello che raggiunge PROBABILE con l’evidenza di un altro non è un modello, è coerenza scambiata per prova.</w:t>
      </w:r>
    </w:p>
    <w:bookmarkEnd w:id="40"/>
    <w:bookmarkStart w:id="41" w:name="neurologico"/>
    <w:p>
      <w:pPr>
        <w:pStyle w:val="Heading3"/>
      </w:pPr>
      <w:r>
        <w:t xml:space="preserve">Neurologico</w:t>
      </w:r>
    </w:p>
    <w:p>
      <w:pPr>
        <w:pStyle w:val="FirstParagraph"/>
      </w:pPr>
      <w:r>
        <w:rPr>
          <w:b/>
          <w:bCs/>
        </w:rPr>
        <w:t xml:space="preserve">Cosa governa qui.</w:t>
      </w:r>
      <w:r>
        <w:t xml:space="preserve"> </w:t>
      </w:r>
      <w:r>
        <w:t xml:space="preserve">Il guadagno del sistema: quanta parte del traffico nocicettivo ciclico diventa dolore percepito. È il modello che spiega perché il dolore non segue la malattia.</w:t>
      </w:r>
    </w:p>
    <w:p>
      <w:pPr>
        <w:pStyle w:val="BodyText"/>
      </w:pPr>
      <w:r>
        <w:rPr>
          <w:b/>
          <w:bCs/>
        </w:rPr>
        <w:t xml:space="preserve">Un attore merita una riga in più: la modulazione discendente.</w:t>
      </w:r>
      <w:r>
        <w:t xml:space="preserve"> </w:t>
      </w:r>
      <w:r>
        <w:t xml:space="preserve">Lì sta la ragione per cui il marker che decide si misura lontano dal punto trattato. Se qualcosa cambia sul trapezio dopo un lavoro sul bacino, la spiegazione plausibile passa da lì.</w:t>
      </w:r>
    </w:p>
    <w:p>
      <w:pPr>
        <w:pStyle w:val="BodyText"/>
      </w:pPr>
      <w:r>
        <w:rPr>
          <w:b/>
          <w:bCs/>
        </w:rPr>
        <w:t xml:space="preserve">I segnali che ti dicono che pesa in questa paziente.</w:t>
      </w:r>
      <w:r>
        <w:t xml:space="preserve"> </w:t>
      </w:r>
      <w:r>
        <w:t xml:space="preserve">Allodinia cutanea addominale. Dolore che si diffonde a più di dieci aree corporee. Ai quali si aggiungono i segni del meccanismo 3.</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 sensibilizzazione esista, sia diffusa e correli con la durata del dolore (Grundström 2019 — PMID 30472739; As-Sanie 2012 — PMID 22387096; Phan 2021 — PMID 33326662).</w:t>
      </w:r>
      <w:r>
        <w:t xml:space="preserve"> </w:t>
      </w:r>
      <w:r>
        <w:rPr>
          <w:b/>
          <w:bCs/>
        </w:rPr>
        <w:t xml:space="preserve">PROBABILE</w:t>
      </w:r>
      <w:r>
        <w:t xml:space="preserve"> </w:t>
      </w:r>
      <w:r>
        <w:rPr>
          <w:i/>
          <w:iCs/>
        </w:rPr>
        <w:t xml:space="preserve">(razionale forte, prove parziali)</w:t>
      </w:r>
      <w:r>
        <w:t xml:space="preserve"> </w:t>
      </w:r>
      <w:r>
        <w:t xml:space="preserve">che il respiro lento a frequenza di risonanza aumenti la variabilità della frequenza cardiaca di origine vagale e la sensibilità barocettiva, con salto di</w:t>
      </w:r>
      <w:r>
        <w:t xml:space="preserve"> </w:t>
      </w:r>
      <w:r>
        <w:rPr>
          <w:b/>
          <w:bCs/>
        </w:rPr>
        <w:t xml:space="preserve">popolazione</w:t>
      </w:r>
      <w:r>
        <w:t xml:space="preserve"> </w:t>
      </w:r>
      <w:r>
        <w:t xml:space="preserve">— volontari e popolazioni generali, non donne con endometriosi (Sevoz-Couche e Laborde,</w:t>
      </w:r>
      <w:r>
        <w:t xml:space="preserve"> </w:t>
      </w:r>
      <w:r>
        <w:rPr>
          <w:i/>
          <w:iCs/>
        </w:rPr>
        <w:t xml:space="preserve">Neurosci Biobehav Rev</w:t>
      </w:r>
      <w:r>
        <w:t xml:space="preserve"> </w:t>
      </w:r>
      <w:r>
        <w:t xml:space="preserve">2022 — PMID 35167847). Sull’ipoalgesia a distanza, invece, l’etichetta è scesa, e va saputo perché. Che la terapia manuale spinale alzi la soglia di pressione in sedi lontane è</w:t>
      </w:r>
      <w:r>
        <w:t xml:space="preserve"> </w:t>
      </w:r>
      <w:r>
        <w:rPr>
          <w:b/>
          <w:bCs/>
        </w:rPr>
        <w:t xml:space="preserve">IPOTESI</w:t>
      </w:r>
      <w:r>
        <w:t xml:space="preserve"> </w:t>
      </w:r>
      <w:r>
        <w:rPr>
          <w:i/>
          <w:iCs/>
        </w:rPr>
        <w:t xml:space="preserve">(meccanismo coerente, nessuno studio)</w:t>
      </w:r>
      <w:r>
        <w:t xml:space="preserve">, e qui con prove contrarie dirette nella stessa riga:</w:t>
      </w:r>
      <w:r>
        <w:t xml:space="preserve"> </w:t>
      </w:r>
      <w:r>
        <w:rPr>
          <w:b/>
          <w:bCs/>
        </w:rPr>
        <w:t xml:space="preserve">la meta-analisi del 2012 che sosteneva questo punto aggregava in larga parte confronti prima-dopo senza manovra finta</w:t>
      </w:r>
      <w:r>
        <w:t xml:space="preserve"> </w:t>
      </w:r>
      <w:r>
        <w:t xml:space="preserve">(Coronado 2012 — PMID 22296867), e le due sintesi che il finto l’hanno imposto non trovano più l’effetto (Jung 2023 — PMID 37172128; Aspinall 2019 — PMID 30719281). Misurato su popolazioni muscolo-scheletriche e volontari, non su donne con endometriosi; i numeri stanno in «Cosa dice la scienza». Che l’effetto arrivi dopo il</w:t>
      </w:r>
      <w:r>
        <w:t xml:space="preserve"> </w:t>
      </w:r>
      <w:r>
        <w:rPr>
          <w:b/>
          <w:bCs/>
        </w:rPr>
        <w:t xml:space="preserve">nostro</w:t>
      </w:r>
      <w:r>
        <w:t xml:space="preserve"> </w:t>
      </w:r>
      <w:r>
        <w:t xml:space="preserve">lavoro sui tessuti molli e</w:t>
      </w:r>
      <w:r>
        <w:t xml:space="preserve"> </w:t>
      </w:r>
      <w:r>
        <w:rPr>
          <w:b/>
          <w:bCs/>
        </w:rPr>
        <w:t xml:space="preserve">a settimane</w:t>
      </w:r>
      <w:r>
        <w:t xml:space="preserve"> </w:t>
      </w:r>
      <w:r>
        <w:t xml:space="preserve">resta</w:t>
      </w:r>
      <w:r>
        <w:t xml:space="preserve"> </w:t>
      </w:r>
      <w:r>
        <w:rPr>
          <w:b/>
          <w:bCs/>
        </w:rPr>
        <w:t xml:space="preserve">IPOTESI</w:t>
      </w:r>
      <w:r>
        <w:t xml:space="preserve"> </w:t>
      </w:r>
      <w:r>
        <w:rPr>
          <w:i/>
          <w:iCs/>
        </w:rPr>
        <w:t xml:space="preserve">(meccanismo coerente, nessuno studio)</w:t>
      </w:r>
      <w:r>
        <w:t xml:space="preserve">, con in più i salti di popolazione, di intervento e di orizzonte temporale.</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L’economia della paziente: sonno, fatica, alimentazione, carico complessivo. Non si lavora con le mani: si valuta, si nomina, si rinvia.</w:t>
      </w:r>
    </w:p>
    <w:p>
      <w:pPr>
        <w:pStyle w:val="BodyText"/>
      </w:pPr>
      <w:r>
        <w:rPr>
          <w:b/>
          <w:bCs/>
        </w:rPr>
        <w:t xml:space="preserve">I segnali che ti dicono che pesa in questa paziente.</w:t>
      </w:r>
      <w:r>
        <w:t xml:space="preserve"> </w:t>
      </w:r>
      <w:r>
        <w:t xml:space="preserve">Fatica sproporzionata al dolore, e presente anche nei giorni buoni. Insonnia. Sintomi intestinali marcati e gonfiore che segue i pasti oltre che il ciclo. Attività fisica azzerata da mesi.</w:t>
      </w:r>
    </w:p>
    <w:p>
      <w:pPr>
        <w:pStyle w:val="BodyText"/>
      </w:pPr>
      <w:r>
        <w:t xml:space="preserve">La fatica frequente riguarda poco più della metà delle donne con endometriosi, contro poco più di una su cinque fra le donne senza. Nello studio si associa a insonnia, depressione, dolore e stress lavorativo, ma</w:t>
      </w:r>
      <w:r>
        <w:t xml:space="preserve"> </w:t>
      </w:r>
      <w:r>
        <w:rPr>
          <w:b/>
          <w:bCs/>
        </w:rPr>
        <w:t xml:space="preserve">non</w:t>
      </w:r>
      <w:r>
        <w:t xml:space="preserve"> </w:t>
      </w:r>
      <w:r>
        <w:t xml:space="preserve">all’età, al tempo dalla diagnosi né allo stadio della malattia.</w:t>
      </w:r>
      <w:r>
        <w:t xml:space="preserve"> </w:t>
      </w:r>
      <w:r>
        <w:rPr>
          <w:b/>
          <w:bCs/>
        </w:rPr>
        <w:t xml:space="preserve">Per te:</w:t>
      </w:r>
      <w:r>
        <w:t xml:space="preserve"> </w:t>
      </w:r>
      <w:r>
        <w:t xml:space="preserve">la fatica non è un indicatore di gravità della malattia: ti dice su quali leve non tue vale la pena aprire un canale. Segnalarla al curante e nominarla alla paziente vale più che tentare di trattarla.</w:t>
      </w:r>
      <w:r>
        <w:t xml:space="preserve"> </w:t>
      </w:r>
      <w:r>
        <w:t xml:space="preserve">(Ramin-Wright 2018 — PMID 29947766; descritto nell’ultimo punto di questo capitolo)</w:t>
      </w:r>
    </w:p>
    <w:p>
      <w:pPr>
        <w:pStyle w:val="BodyText"/>
      </w:pPr>
      <w:r>
        <w:t xml:space="preserve">Una distinzione che vale una riga.</w:t>
      </w:r>
      <w:r>
        <w:t xml:space="preserve"> </w:t>
      </w:r>
      <w:r>
        <w:rPr>
          <w:b/>
          <w:bCs/>
        </w:rPr>
        <w:t xml:space="preserve">Dieta e sonno</w:t>
      </w:r>
      <w:r>
        <w:t xml:space="preserve"> </w:t>
      </w:r>
      <w:r>
        <w:t xml:space="preserve">si segnalano e si rinviano.</w:t>
      </w:r>
      <w:r>
        <w:t xml:space="preserve"> </w:t>
      </w:r>
      <w:r>
        <w:rPr>
          <w:b/>
          <w:bCs/>
        </w:rPr>
        <w:t xml:space="preserve">L’attività fisica</w:t>
      </w:r>
      <w:r>
        <w:t xml:space="preserve"> </w:t>
      </w:r>
      <w:r>
        <w:t xml:space="preserve">no: ha studi controllati propri e non appartiene più a questa casella — vedi «Cosa può fare la paziente da sola».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sull’associazione fra endometriosi e fatica (Ramin-Wright 2018 — PMID 29947766).</w:t>
      </w:r>
      <w:r>
        <w:t xml:space="preserve"> </w:t>
      </w:r>
      <w:r>
        <w:rPr>
          <w:b/>
          <w:bCs/>
        </w:rPr>
        <w:t xml:space="preserve">IPOTESI</w:t>
      </w:r>
      <w:r>
        <w:t xml:space="preserve"> </w:t>
      </w:r>
      <w:r>
        <w:rPr>
          <w:i/>
          <w:iCs/>
        </w:rPr>
        <w:t xml:space="preserve">(meccanismo coerente, nessuno studio)</w:t>
      </w:r>
      <w:r>
        <w:t xml:space="preserve"> </w:t>
      </w:r>
      <w:r>
        <w:t xml:space="preserve">che una modifica alimentare cambi qualcosa: l’unico studio con gruppo di controllo è un pilota in cui le partecipanti</w:t>
      </w:r>
      <w:r>
        <w:t xml:space="preserve"> </w:t>
      </w:r>
      <w:r>
        <w:rPr>
          <w:b/>
          <w:bCs/>
        </w:rPr>
        <w:t xml:space="preserve">sceglievano</w:t>
      </w:r>
      <w:r>
        <w:t xml:space="preserve"> </w:t>
      </w:r>
      <w:r>
        <w:t xml:space="preserve">a quale gruppo appartenere, con esiti soggettivi — un disegno che non separa la dieta dalla motivazione di chi la sceglie (van Haaps 2023 — PMID 37877417).</w:t>
      </w:r>
      <w:r>
        <w:t xml:space="preserve"> </w:t>
      </w:r>
      <w:r>
        <w:rPr>
          <w:b/>
          <w:bCs/>
        </w:rPr>
        <w:t xml:space="preserve">Non è materia nostra:</w:t>
      </w:r>
      <w:r>
        <w:t xml:space="preserve"> </w:t>
      </w:r>
      <w:r>
        <w:t xml:space="preserve">si segnala, si rinvia a medico o dietista, non si prescrive.</w:t>
      </w:r>
    </w:p>
    <w:bookmarkEnd w:id="42"/>
    <w:bookmarkStart w:id="43"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modo in cui la paziente sta dentro il proprio quadro: credenze, aspettative, ipervigilanza, e il rapporto con chi la cura dopo anni di risposte insoddisfacenti. È il modello che genera il meccanismo 6.</w:t>
      </w:r>
    </w:p>
    <w:p>
      <w:pPr>
        <w:pStyle w:val="BodyText"/>
      </w:pPr>
      <w:r>
        <w:rPr>
          <w:b/>
          <w:bCs/>
        </w:rPr>
        <w:t xml:space="preserve">I segnali che ti dicono che pesa in questa paziente.</w:t>
      </w:r>
      <w:r>
        <w:t xml:space="preserve"> </w:t>
      </w:r>
      <w:r>
        <w:t xml:space="preserve">Sono i sei del meccanismo 6, più uno che lì non c’è: arriva convinta che nessuno le crederà, e verifica se le credi nei primi tre minuti. Sullo sfondo, livelli di stress percepito alti — 68% da lieve a elevato, IC 95% 57-79% (Brasil 2020 — PMID 31755674).</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w:t>
      </w:r>
      <w:r>
        <w:t xml:space="preserve"> </w:t>
      </w:r>
      <w:r>
        <w:rPr>
          <w:b/>
          <w:bCs/>
        </w:rPr>
        <w:t xml:space="preserve">senza salto di popolazione</w:t>
      </w:r>
      <w:r>
        <w:t xml:space="preserve">, che questo piano sia modificabile in donne con endometriosi (Evans 2026 — PMID 41717450): è l’unico punto del documento in cui un modello regge un’etichetta alta su una fonte raccolta sulle donne che abbiamo davvero davanti — e l’intervento non è il nostro, il salto è di</w:t>
      </w:r>
      <w:r>
        <w:t xml:space="preserve"> </w:t>
      </w:r>
      <w:r>
        <w:rPr>
          <w:b/>
          <w:bCs/>
        </w:rPr>
        <w:t xml:space="preserve">erogatore</w:t>
      </w:r>
      <w:r>
        <w:t xml:space="preserve">.</w:t>
      </w:r>
      <w:r>
        <w:t xml:space="preserve"> </w:t>
      </w:r>
      <w:r>
        <w:rPr>
          <w:b/>
          <w:bCs/>
        </w:rPr>
        <w:t xml:space="preserve">PROBABILE</w:t>
      </w:r>
      <w:r>
        <w:t xml:space="preserve"> </w:t>
      </w:r>
      <w:r>
        <w:rPr>
          <w:i/>
          <w:iCs/>
        </w:rPr>
        <w:t xml:space="preserve">(razionale forte, prove parziali)</w:t>
      </w:r>
      <w:r>
        <w:t xml:space="preserve"> </w:t>
      </w:r>
      <w:r>
        <w:t xml:space="preserve">che l’alleanza fra terapista e paziente si associ ad</w:t>
      </w:r>
      <w:r>
        <w:t xml:space="preserve"> </w:t>
      </w:r>
      <w:r>
        <w:rPr>
          <w:b/>
          <w:bCs/>
        </w:rPr>
        <w:t xml:space="preserve">aderenza e funzione fisica</w:t>
      </w:r>
      <w:r>
        <w:t xml:space="preserve"> </w:t>
      </w:r>
      <w:r>
        <w:t xml:space="preserve">migliori, con salto di</w:t>
      </w:r>
      <w:r>
        <w:t xml:space="preserve"> </w:t>
      </w:r>
      <w:r>
        <w:rPr>
          <w:b/>
          <w:bCs/>
        </w:rPr>
        <w:t xml:space="preserve">popolazione</w:t>
      </w:r>
      <w:r>
        <w:t xml:space="preserve"> </w:t>
      </w:r>
      <w:r>
        <w:t xml:space="preserve">(Hall,</w:t>
      </w:r>
      <w:r>
        <w:t xml:space="preserve"> </w:t>
      </w:r>
      <w:r>
        <w:rPr>
          <w:i/>
          <w:iCs/>
        </w:rPr>
        <w:t xml:space="preserve">Phys Ther</w:t>
      </w:r>
      <w:r>
        <w:t xml:space="preserve"> </w:t>
      </w:r>
      <w:r>
        <w:t xml:space="preserve">2010 — PMID 20576715).</w:t>
      </w:r>
      <w:r>
        <w:t xml:space="preserve"> </w:t>
      </w:r>
      <w:r>
        <w:rPr>
          <w:b/>
          <w:bCs/>
        </w:rPr>
        <w:t xml:space="preserve">IPOTESI</w:t>
      </w:r>
      <w:r>
        <w:t xml:space="preserve"> </w:t>
      </w:r>
      <w:r>
        <w:rPr>
          <w:i/>
          <w:iCs/>
        </w:rPr>
        <w:t xml:space="preserve">(meccanismo coerente, nessuno studio)</w:t>
      </w:r>
      <w:r>
        <w:t xml:space="preserve"> </w:t>
      </w:r>
      <w:r>
        <w:t xml:space="preserve">che il tocco lento a contatto affettivo modifichi il dolore qui: la via delle fibre C-tattili, che rispondono al massimo per carezze fra uno e dieci centimetri al secondo, è dimostrata in volontari sani (Löken,</w:t>
      </w:r>
      <w:r>
        <w:t xml:space="preserve"> </w:t>
      </w:r>
      <w:r>
        <w:rPr>
          <w:i/>
          <w:iCs/>
        </w:rPr>
        <w:t xml:space="preserve">Nat Neurosci</w:t>
      </w:r>
      <w:r>
        <w:t xml:space="preserve"> </w:t>
      </w:r>
      <w:r>
        <w:t xml:space="preserve">2009 — PMID 19363489), non in questa popolazione e non su un esito di dolore.</w:t>
      </w:r>
    </w:p>
    <w:p>
      <w:pPr>
        <w:pStyle w:val="FirstParagraph"/>
      </w:pPr>
      <w:r>
        <w:rPr>
          <w:b/>
          <w:bCs/>
        </w:rPr>
        <w:t xml:space="preserve">Le tre cose da ricordare, più una</w:t>
      </w:r>
    </w:p>
    <w:p>
      <w:pPr>
        <w:pStyle w:val="Compact"/>
        <w:numPr>
          <w:ilvl w:val="0"/>
          <w:numId w:val="1017"/>
        </w:numPr>
      </w:pPr>
      <w:r>
        <w:t xml:space="preserve">Il modello neurologico è quello con le prove migliori sul meccanismo, e il biomeccanico quello con il bersaglio più raggiungibile: sono due cose diverse e vanno tenute separate.</w:t>
      </w:r>
    </w:p>
    <w:p>
      <w:pPr>
        <w:pStyle w:val="Compact"/>
        <w:numPr>
          <w:ilvl w:val="0"/>
          <w:numId w:val="1017"/>
        </w:numPr>
      </w:pPr>
      <w:r>
        <w:t xml:space="preserve">Del respiratorio-circolatorio usi la sola parte pressoria, e il modello resta IPOTESI: la parte fluidica qui non ha misure che la colleghino al sintomo, e la prova sul respiro lento è autonomica, cioè appartiene al neurologico.</w:t>
      </w:r>
    </w:p>
    <w:p>
      <w:pPr>
        <w:pStyle w:val="Compact"/>
        <w:numPr>
          <w:ilvl w:val="0"/>
          <w:numId w:val="1017"/>
        </w:numPr>
      </w:pPr>
      <w:r>
        <w:t xml:space="preserve">Il metabolico-energetico si valuta e si rinvia — ma l’attività fisica ne è uscita: ha studi propri, e sta nel capitolo del lavoro attivo.</w:t>
      </w:r>
    </w:p>
    <w:p>
      <w:pPr>
        <w:pStyle w:val="Compact"/>
        <w:numPr>
          <w:ilvl w:val="0"/>
          <w:numId w:val="1017"/>
        </w:numPr>
      </w:pPr>
      <w:r>
        <w:rPr>
          <w:b/>
          <w:bCs/>
        </w:rPr>
        <w:t xml:space="preserve">Perché ci sei tu.</w:t>
      </w:r>
      <w:r>
        <w:t xml:space="preserve"> </w:t>
      </w:r>
      <w:r>
        <w:t xml:space="preserve">La fatica frequente riguarda il 50,7% delle donne con endometriosi contro il 22,4% delle donne senza — 560 e 560, controlli appaiati — ed è indipendente dallo stadio della malattia (Ramin-Wright,</w:t>
      </w:r>
      <w:r>
        <w:t xml:space="preserve"> </w:t>
      </w:r>
      <w:r>
        <w:rPr>
          <w:i/>
          <w:iCs/>
        </w:rPr>
        <w:t xml:space="preserve">Hum Reprod</w:t>
      </w:r>
      <w:r>
        <w:t xml:space="preserve"> </w:t>
      </w:r>
      <w:r>
        <w:t xml:space="preserve">2018 — PMID 29947766). Questo ti autorizza a mettere fatica e sonno nell’anamnesi e nella lettera al curante, dove oggi non ci sono. Non ti autorizza a trattarli: sono leve di un altro campo, e il tuo contributo è nominarle.</w:t>
      </w:r>
    </w:p>
    <w:p>
      <w:r>
        <w:pict>
          <v:rect style="width:0;height:1.5pt" o:hralign="center" o:hrstd="t" o:hr="t"/>
        </w:pict>
      </w:r>
    </w:p>
    <w:bookmarkEnd w:id="43"/>
    <w:bookmarkEnd w:id="44"/>
    <w:bookmarkStart w:id="52" w:name="Xff1f3aa8df77d9cbef8415bd1587c5530074ce4"/>
    <w:p>
      <w:pPr>
        <w:pStyle w:val="Heading2"/>
      </w:pPr>
      <w:r>
        <w:t xml:space="preserve">Capitolo 8 — Come ragiono davanti a questa paziente</w:t>
      </w:r>
    </w:p>
    <w:p>
      <w:pPr>
        <w:pStyle w:val="BlockText"/>
      </w:pPr>
      <w:r>
        <w:rPr>
          <w:b/>
          <w:bCs/>
        </w:rPr>
        <w:t xml:space="preserve">In una riga:</w:t>
      </w:r>
      <w:r>
        <w:t xml:space="preserve"> </w:t>
      </w:r>
      <w:r>
        <w:t xml:space="preserve">con la diagnosi già scritta il ragionamento non serve a capire cos’ha, serve a capire quale delle sorgenti del suo dolore è ancora aperta e quale di quelle è tua.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decidiamo su quale modello agire per primo. Non è un meccanismo dimostrato, e non va presentato alla paziente come tale.</w:t>
      </w:r>
    </w:p>
    <w:bookmarkStart w:id="45" w:name="la-punta-e-il-sommerso"/>
    <w:p>
      <w:pPr>
        <w:pStyle w:val="Heading3"/>
      </w:pPr>
      <w:r>
        <w:t xml:space="preserve">La punta e il sommerso</w:t>
      </w:r>
    </w:p>
    <w:p>
      <w:pPr>
        <w:pStyle w:val="FirstParagraph"/>
      </w:pPr>
      <w:r>
        <w:t xml:space="preserve">La paziente porta la punta: il dolore. Sotto, il sommerso cambia da donna a donna, e con lo stesso referto in mano.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l’ipotesi di lavoro che decide su cosa agire per primo, non un fatto misurato: per questo porta sempre l’etichetta RAGIONAMENTO.</w:t>
      </w:r>
    </w:p>
    <w:p>
      <w:pPr>
        <w:pStyle w:val="FirstParagraph"/>
      </w:pPr>
      <w:r>
        <w:rPr>
          <w:b/>
          <w:bCs/>
        </w:rPr>
        <w:t xml:space="preserve">Paziente A — 34 anni, endometriosi profonda nota, dienogest da due anni.</w:t>
      </w:r>
      <w:r>
        <w:t xml:space="preserve"> </w:t>
      </w:r>
      <w:r>
        <w:t xml:space="preserve">Il dolore mestruale è molto migliorato. Restano dispareunia all’ingresso, dolore all’evacuazione nei giorni del flusso, e una lombare bassa che non molla. Sommerso:</w:t>
      </w:r>
      <w:r>
        <w:t xml:space="preserve"> </w:t>
      </w:r>
      <w:r>
        <w:rPr>
          <w:b/>
          <w:bCs/>
        </w:rPr>
        <w:t xml:space="preserve">pavimento pelvico</w:t>
      </w:r>
      <w:r>
        <w:t xml:space="preserve">, con il lombo-sacrale che compensa.</w:t>
      </w:r>
      <w:r>
        <w:t xml:space="preserve"> </w:t>
      </w:r>
      <w:r>
        <w:rPr>
          <w:b/>
          <w:bCs/>
        </w:rPr>
        <w:t xml:space="preserve">Cosa fai:</w:t>
      </w:r>
      <w:r>
        <w:t xml:space="preserve"> </w:t>
      </w:r>
      <w:r>
        <w:t xml:space="preserve">documenti il pattern miofasciale, lavori su parete, lombo-sacrale e respiro. Nella stessa seduta prepari il rinvio alla fisioterapista pelvi-perineale, scrivendo al ginecologo cosa hai trovato e in quale unità. Le due cose insieme, non in alternativa.</w:t>
      </w:r>
    </w:p>
    <w:p>
      <w:pPr>
        <w:pStyle w:val="BodyText"/>
      </w:pPr>
      <w:r>
        <w:rPr>
          <w:b/>
          <w:bCs/>
        </w:rPr>
        <w:t xml:space="preserve">Paziente B — 27 anni, dolore da dieci anni, ecografia normale,</w:t>
      </w:r>
      <w:r>
        <w:rPr>
          <w:b/>
          <w:bCs/>
        </w:rPr>
        <w:t xml:space="preserve"> </w:t>
      </w:r>
      <w:r>
        <w:rPr>
          <w:b/>
          <w:bCs/>
        </w:rPr>
        <w:t xml:space="preserve">“è normale sei una donna”</w:t>
      </w:r>
      <w:r>
        <w:rPr>
          <w:b/>
          <w:bCs/>
        </w:rPr>
        <w:t xml:space="preserve">.</w:t>
      </w:r>
      <w:r>
        <w:t xml:space="preserve"> </w:t>
      </w:r>
      <w:r>
        <w:t xml:space="preserve">Nessuna diagnosi formulata, nessuna terapia strutturata provata. Sommerso: tipicamente</w:t>
      </w:r>
      <w:r>
        <w:t xml:space="preserve"> </w:t>
      </w:r>
      <w:r>
        <w:rPr>
          <w:b/>
          <w:bCs/>
        </w:rPr>
        <w:t xml:space="preserve">parete somatica</w:t>
      </w:r>
      <w:r>
        <w:t xml:space="preserve">, con soglie ancora normali lontano dal bacino. È la paziente in cui il dominante muscolo-scheletrico si legge meglio, perché ha meno anni di stratificazione sopra.</w:t>
      </w:r>
    </w:p>
    <w:p>
      <w:pPr>
        <w:pStyle w:val="BodyText"/>
      </w:pPr>
      <w:r>
        <w:t xml:space="preserve">L’inquadramento incompleto non è il suo dominante: è una condizione del percorso, e apre un binario</w:t>
      </w:r>
      <w:r>
        <w:t xml:space="preserve"> </w:t>
      </w:r>
      <w:r>
        <w:rPr>
          <w:b/>
          <w:bCs/>
        </w:rPr>
        <w:t xml:space="preserve">parallelo</w:t>
      </w:r>
      <w:r>
        <w:t xml:space="preserve"> </w:t>
      </w:r>
      <w:r>
        <w:t xml:space="preserve">che parte lo stesso giorno.</w:t>
      </w:r>
      <w:r>
        <w:t xml:space="preserve"> </w:t>
      </w:r>
      <w:r>
        <w:rPr>
          <w:b/>
          <w:bCs/>
        </w:rPr>
        <w:t xml:space="preserve">Cosa fai:</w:t>
      </w:r>
      <w:r>
        <w:t xml:space="preserve"> </w:t>
      </w:r>
      <w:r>
        <w:t xml:space="preserve">apri un GIALLO. Trovi e scrivi il tuo reperto. Lavori sulla parete e sul lombo-sacrale. Spieghi cosa tratti e cosa no. Mandi una comunicazione scritta al curante e fissi la data della revisione. Il tuo lavoro parte oggi; il canale medico parte oggi anche lui.</w:t>
      </w:r>
    </w:p>
    <w:p>
      <w:pPr>
        <w:pStyle w:val="BodyText"/>
      </w:pPr>
      <w:r>
        <w:rPr>
          <w:b/>
          <w:bCs/>
        </w:rPr>
        <w:t xml:space="preserve">Paziente C — 41 anni, due interventi, dolore diffuso, insonnia, soglie basse ovunque, sintomo peggiorato dopo un anno pesante.</w:t>
      </w:r>
    </w:p>
    <w:p>
      <w:pPr>
        <w:pStyle w:val="BodyText"/>
      </w:pPr>
      <w:r>
        <w:rPr>
          <w:i/>
          <w:iCs/>
        </w:rPr>
        <w:t xml:space="preserve">Prima di chiamarla attivazione, sciogli l’ambiguità.</w:t>
      </w:r>
      <w:r>
        <w:t xml:space="preserve"> </w:t>
      </w:r>
      <w:r>
        <w:t xml:space="preserve">«Peggiorata dopo un anno pesante» è anche, parola per parola, la descrizione della malattia che progredisce. Ciò che separa le due letture è il</w:t>
      </w:r>
      <w:r>
        <w:t xml:space="preserve"> </w:t>
      </w:r>
      <w:r>
        <w:rPr>
          <w:b/>
          <w:bCs/>
        </w:rPr>
        <w:t xml:space="preserve">carattere</w:t>
      </w:r>
      <w:r>
        <w:t xml:space="preserve"> </w:t>
      </w:r>
      <w:r>
        <w:t xml:space="preserve">del dolore, non la sua intensità. Chiedi:</w:t>
      </w:r>
      <w:r>
        <w:t xml:space="preserve"> </w:t>
      </w:r>
      <w:r>
        <w:rPr>
          <w:i/>
          <w:iCs/>
        </w:rPr>
        <w:t xml:space="preserve">«c’è qualcosa che fa male in un modo che prima non faceva?»</w:t>
      </w:r>
      <w:r>
        <w:t xml:space="preserve"> </w:t>
      </w:r>
      <w:r>
        <w:t xml:space="preserve">Se il dolore è lo stesso di sempre, solo più forte e più diffuso, e la risposta è no, allora a comandare è l’attivazione. Se è sì, quella è una riga GIALLO PRIORITARIO, e la condotta cambia prima del piano.</w:t>
      </w:r>
    </w:p>
    <w:p>
      <w:pPr>
        <w:pStyle w:val="BodyText"/>
      </w:pPr>
      <w:r>
        <w:t xml:space="preserve">Qui la risposta è no. A comandare è il</w:t>
      </w:r>
      <w:r>
        <w:t xml:space="preserve"> </w:t>
      </w:r>
      <w:r>
        <w:rPr>
          <w:b/>
          <w:bCs/>
        </w:rPr>
        <w:t xml:space="preserve">livello di attivazione</w:t>
      </w:r>
      <w:r>
        <w:t xml:space="preserve">, con l’allarme costruito negli anni (meccanismo 6).</w:t>
      </w:r>
      <w:r>
        <w:t xml:space="preserve"> </w:t>
      </w:r>
      <w:r>
        <w:rPr>
          <w:b/>
          <w:bCs/>
        </w:rPr>
        <w:t xml:space="preserve">Cosa fai:</w:t>
      </w:r>
      <w:r>
        <w:t xml:space="preserve"> </w:t>
      </w:r>
      <w:r>
        <w:t xml:space="preserve">è l’indicazione più chiara che esista per la leva sull’attivazione. È lavoro manuale a tutti gli effetti, solo mirato altrove: contatto lento, ritmo del respiro, tempo dedicato, e la spiegazione che nessuno le ha dato. Con le etichette che quella leva porta e non una di più:</w:t>
      </w:r>
      <w:r>
        <w:t xml:space="preserve"> </w:t>
      </w:r>
      <w:r>
        <w:rPr>
          <w:b/>
          <w:bCs/>
        </w:rPr>
        <w:t xml:space="preserve">DIMOSTRATO</w:t>
      </w:r>
      <w:r>
        <w:t xml:space="preserve"> </w:t>
      </w:r>
      <w:r>
        <w:rPr>
          <w:i/>
          <w:iCs/>
        </w:rPr>
        <w:t xml:space="preserve">(studi sull’uomo, solidi)</w:t>
      </w:r>
      <w:r>
        <w:t xml:space="preserve"> </w:t>
      </w:r>
      <w:r>
        <w:t xml:space="preserve">sul bersaglio autonomico in queste donne,</w:t>
      </w:r>
      <w:r>
        <w:t xml:space="preserve"> </w:t>
      </w:r>
      <w:r>
        <w:rPr>
          <w:b/>
          <w:bCs/>
        </w:rPr>
        <w:t xml:space="preserve">PROBABILE</w:t>
      </w:r>
      <w:r>
        <w:t xml:space="preserve"> </w:t>
      </w:r>
      <w:r>
        <w:rPr>
          <w:i/>
          <w:iCs/>
        </w:rPr>
        <w:t xml:space="preserve">(razionale forte, prove parziali)</w:t>
      </w:r>
      <w:r>
        <w:t xml:space="preserve"> </w:t>
      </w:r>
      <w:r>
        <w:t xml:space="preserve">sul respiro lento e sul tocco lento,</w:t>
      </w:r>
      <w:r>
        <w:t xml:space="preserve"> </w:t>
      </w:r>
      <w:r>
        <w:rPr>
          <w:b/>
          <w:bCs/>
        </w:rPr>
        <w:t xml:space="preserve">IPOTESI</w:t>
      </w:r>
      <w:r>
        <w:t xml:space="preserve"> </w:t>
      </w:r>
      <w:r>
        <w:rPr>
          <w:i/>
          <w:iCs/>
        </w:rPr>
        <w:t xml:space="preserve">(meccanismo coerente, nessuno studio)</w:t>
      </w:r>
      <w:r>
        <w:t xml:space="preserve"> </w:t>
      </w:r>
      <w:r>
        <w:t xml:space="preserve">sull’esito qui. In parallelo apri il canale verso il medico per il sonno, e verso un percorso psicologico o algologico.</w:t>
      </w:r>
      <w:r>
        <w:t xml:space="preserve"> </w:t>
      </w:r>
      <w:r>
        <w:rPr>
          <w:b/>
          <w:bCs/>
        </w:rPr>
        <w:t xml:space="preserve">È la paziente in cui hai più da fare, non meno.</w:t>
      </w:r>
    </w:p>
    <w:bookmarkEnd w:id="45"/>
    <w:bookmarkStart w:id="46" w:name="perché-si-indaga-dallalto"/>
    <w:p>
      <w:pPr>
        <w:pStyle w:val="Heading3"/>
      </w:pPr>
      <w:r>
        <w:t xml:space="preserve">Perché si indaga dall’alto</w:t>
      </w:r>
    </w:p>
    <w:p>
      <w:pPr>
        <w:pStyle w:val="FirstParagraph"/>
      </w:pPr>
      <w:r>
        <w:t xml:space="preserve">Il corpo sacrifica il comfort per proteggere le funzioni vitali. Un sistema in allarme tiene i tessuti reattivi qualunque cosa tu faccia in periferia.</w:t>
      </w:r>
    </w:p>
    <w:p>
      <w:pPr>
        <w:pStyle w:val="BodyText"/>
      </w:pPr>
      <w:r>
        <w:t xml:space="preserve">E un pavimento pelvico che non si rilascia non rende</w:t>
      </w:r>
      <w:r>
        <w:t xml:space="preserve"> </w:t>
      </w:r>
      <w:r>
        <w:rPr>
          <w:b/>
          <w:bCs/>
        </w:rPr>
        <w:t xml:space="preserve">inutile</w:t>
      </w:r>
      <w:r>
        <w:t xml:space="preserve"> </w:t>
      </w:r>
      <w:r>
        <w:t xml:space="preserve">il guadagno che ottieni sulla parete: lo rende</w:t>
      </w:r>
      <w:r>
        <w:t xml:space="preserve"> </w:t>
      </w:r>
      <w:r>
        <w:rPr>
          <w:b/>
          <w:bCs/>
        </w:rPr>
        <w:t xml:space="preserve">parziale e a scadenza</w:t>
      </w:r>
      <w:r>
        <w:t xml:space="preserve">, perché una sorgente resta aperta e non è tua.</w:t>
      </w:r>
    </w:p>
    <w:p>
      <w:pPr>
        <w:pStyle w:val="BodyText"/>
      </w:pPr>
      <w:r>
        <w:t xml:space="preserve">Quindi si guarda in quest’ordine: prima il livello di attivazione, poi il comportamento, poi la funzione del pavimento, poi la meccanica del tronco, poi il tessuto locale. Con una conseguenza pratica netta:</w:t>
      </w:r>
      <w:r>
        <w:t xml:space="preserve"> </w:t>
      </w:r>
      <w:r>
        <w:rPr>
          <w:b/>
          <w:bCs/>
        </w:rPr>
        <w:t xml:space="preserve">se è il pavimento pelvico a comandare e tu non puoi raggiungerlo, il piano cambia forma.</w:t>
      </w:r>
      <w:r>
        <w:t xml:space="preserve"> </w:t>
      </w:r>
      <w:r>
        <w:t xml:space="preserve">Diventa lavoro sul contorno più rinvio, e va detto alla paziente in questi termini.</w:t>
      </w:r>
    </w:p>
    <w:p>
      <w:pPr>
        <w:pStyle w:val="BodyText"/>
      </w:pPr>
      <w:r>
        <w:rPr>
          <w:b/>
          <w:bCs/>
        </w:rPr>
        <w:t xml:space="preserve">Una regola del metodo che qui non si applica, e non è una svista.</w:t>
      </w:r>
      <w:r>
        <w:t xml:space="preserve"> </w:t>
      </w:r>
      <w:r>
        <w:t xml:space="preserve">Chi ha studiato il metodo cerca a questo punto il divieto di trattare il punto in cui il paziente sente. Su questa condizione quella regola</w:t>
      </w:r>
      <w:r>
        <w:t xml:space="preserve"> </w:t>
      </w:r>
      <w:r>
        <w:rPr>
          <w:b/>
          <w:bCs/>
        </w:rPr>
        <w:t xml:space="preserve">non viene attenuata: viene tolta</w:t>
      </w:r>
      <w:r>
        <w:t xml:space="preserve">, e il motivo è un fatto. Il bersaglio con il razionale meglio misurato di tutto il documento è la parete sotto l’ombelico, cioè esattamente dove la paziente sente male. E lì la parete non riceve soltanto: è un ingresso che rialimenta il neurone (meccanismo 2). Quello che resta intatto è la regola di</w:t>
      </w:r>
      <w:r>
        <w:t xml:space="preserve"> </w:t>
      </w:r>
      <w:r>
        <w:rPr>
          <w:b/>
          <w:bCs/>
        </w:rPr>
        <w:t xml:space="preserve">verifica</w:t>
      </w:r>
      <w:r>
        <w:t xml:space="preserve">: il marker con cui rivaluti appartiene a un piano che non hai trattato.</w:t>
      </w:r>
    </w:p>
    <w:bookmarkEnd w:id="46"/>
    <w:bookmarkStart w:id="47" w:name="X6287d239e54edf9ff6f5fa976465d8a97edd940"/>
    <w:p>
      <w:pPr>
        <w:pStyle w:val="Heading3"/>
      </w:pPr>
      <w:r>
        <w:t xml:space="preserve">Il filtro dei farmaci, dei dispositivi e della chirurgia (</w:t>
      </w:r>
      <w:r>
        <w:t xml:space="preserve">“Passo 0”</w:t>
      </w:r>
      <w:r>
        <w:t xml:space="preserve">)</w:t>
      </w:r>
    </w:p>
    <w:p>
      <w:pPr>
        <w:pStyle w:val="FirstParagraph"/>
      </w:pPr>
      <w:r>
        <w:t xml:space="preserve">Prima del ragionamento clinico c’è un filtro che non è ragionamento: cercare ciò che, da solo, spiega o modifica il quadro. Si chiama Passo 0 perché precede il ragionamento, non perché preceda le bandiere rosse: quelle restano il primo passo della Road Map.</w:t>
      </w:r>
    </w:p>
    <w:p>
      <w:pPr>
        <w:pStyle w:val="BodyText"/>
      </w:pPr>
      <w:r>
        <w:rPr>
          <w:b/>
          <w:bCs/>
        </w:rPr>
        <w:t xml:space="preserve">Cosa prende.</w:t>
      </w:r>
    </w:p>
    <w:p>
      <w:pPr>
        <w:pStyle w:val="Compact"/>
        <w:numPr>
          <w:ilvl w:val="0"/>
          <w:numId w:val="1018"/>
        </w:numPr>
      </w:pPr>
      <w:r>
        <w:rPr>
          <w:b/>
          <w:bCs/>
        </w:rPr>
        <w:t xml:space="preserve">Dispositivo intrauterino al rame:</w:t>
      </w:r>
      <w:r>
        <w:t xml:space="preserve"> </w:t>
      </w:r>
      <w:r>
        <w:t xml:space="preserve">aumenta il dolore mestruale.</w:t>
      </w:r>
    </w:p>
    <w:p>
      <w:pPr>
        <w:pStyle w:val="Compact"/>
        <w:numPr>
          <w:ilvl w:val="0"/>
          <w:numId w:val="1018"/>
        </w:numPr>
      </w:pPr>
      <w:r>
        <w:rPr>
          <w:b/>
          <w:bCs/>
        </w:rPr>
        <w:t xml:space="preserve">Analoghi o antagonisti del GnRH, e progestinici di fondo, dienogest compreso:</w:t>
      </w:r>
      <w:r>
        <w:t xml:space="preserve"> </w:t>
      </w:r>
      <w:r>
        <w:t xml:space="preserve">menopausa farmacologica, dolore osteo-articolare, perdita di densità ossea.</w:t>
      </w:r>
    </w:p>
    <w:p>
      <w:pPr>
        <w:pStyle w:val="Compact"/>
        <w:numPr>
          <w:ilvl w:val="0"/>
          <w:numId w:val="1018"/>
        </w:numPr>
      </w:pPr>
      <w:r>
        <w:rPr>
          <w:b/>
          <w:bCs/>
        </w:rPr>
        <w:t xml:space="preserve">Oppioidi deboli da mesi:</w:t>
      </w:r>
      <w:r>
        <w:t xml:space="preserve"> </w:t>
      </w:r>
      <w:r>
        <w:t xml:space="preserve">stitichezza e, con l’uso prolungato, possibile aumento della sensibilità al dolore.</w:t>
      </w:r>
    </w:p>
    <w:p>
      <w:pPr>
        <w:pStyle w:val="Compact"/>
        <w:numPr>
          <w:ilvl w:val="0"/>
          <w:numId w:val="1018"/>
        </w:numPr>
      </w:pPr>
      <w:r>
        <w:rPr>
          <w:b/>
          <w:bCs/>
        </w:rPr>
        <w:t xml:space="preserve">Contraccezione estro-progestinica:</w:t>
      </w:r>
      <w:r>
        <w:t xml:space="preserve"> </w:t>
      </w:r>
      <w:r>
        <w:t xml:space="preserve">moltiplica per tre-sei il rischio di tromboembolismo venoso, massimo nel primo anno (Lidegaard,</w:t>
      </w:r>
      <w:r>
        <w:t xml:space="preserve"> </w:t>
      </w:r>
      <w:r>
        <w:rPr>
          <w:i/>
          <w:iCs/>
        </w:rPr>
        <w:t xml:space="preserve">BMJ</w:t>
      </w:r>
      <w:r>
        <w:t xml:space="preserve"> </w:t>
      </w:r>
      <w:r>
        <w:t xml:space="preserve">2011 — PMID 22027398). Non cambia il trattamento: cambia come leggi un affanno o un polpaccio gonfio.</w:t>
      </w:r>
    </w:p>
    <w:p>
      <w:pPr>
        <w:pStyle w:val="BlockText"/>
      </w:pPr>
      <w:r>
        <w:rPr>
          <w:b/>
          <w:bCs/>
        </w:rPr>
        <w:t xml:space="preserve">Attenzione: l’osso su cui appoggerai le mani non è quello della sua età.</w:t>
      </w:r>
      <w:r>
        <w:t xml:space="preserve"> </w:t>
      </w:r>
      <w:r>
        <w:t xml:space="preserve">Con leuprolide la densità del rachide lombare scende in media del 4,9% a sei mesi, ed è ancora ridotta del 3,4% a un anno dalla sospensione (Matsuo 2004 — PMID 14711558; Makita 2005 — PMID 16133689). Con</w:t>
      </w:r>
      <w:r>
        <w:t xml:space="preserve"> </w:t>
      </w:r>
      <w:r>
        <w:rPr>
          <w:b/>
          <w:bCs/>
        </w:rPr>
        <w:t xml:space="preserve">dienogest</w:t>
      </w:r>
      <w:r>
        <w:t xml:space="preserve">, fino a -4,4% a tre anni, con la quota maggiore già nel primo (Kim 2021 — PMID 33449347; Desilets 2026 — PMID 41855532). Ti riguarda perché il rachide dorso-lombare e le coste basse sono il distretto che questa Bibbia dichiara proprio, e perché il Marker 3 è uno Schober in flessione — il carico a maggior rischio di frattura in osso demineralizzato (Sran e Khan 2006 — PMID 16387523). Con la riga simmetrica di onestà: gli eventi gravi da terapia manuale spinale sono rarissimi, 0,21 per 100.000 sedute, e i due materializzati su quasi un milione erano fratture costali in donne con osteoporosi (Chu 2023 — PMID 36690712).</w:t>
      </w:r>
      <w:r>
        <w:t xml:space="preserve"> </w:t>
      </w:r>
      <w:r>
        <w:rPr>
          <w:b/>
          <w:bCs/>
        </w:rPr>
        <w:t xml:space="preserve">Come carichi quel rachide sta nella Procedura; sapere com’è fatto sta qui.</w:t>
      </w:r>
    </w:p>
    <w:p>
      <w:pPr>
        <w:pStyle w:val="FirstParagraph"/>
      </w:pPr>
      <w:r>
        <w:rPr>
          <w:b/>
          <w:bCs/>
        </w:rPr>
        <w:t xml:space="preserve">Cosa le hanno fatto.</w:t>
      </w:r>
      <w:r>
        <w:t xml:space="preserve"> </w:t>
      </w:r>
      <w:r>
        <w:rPr>
          <w:i/>
          <w:iCs/>
        </w:rPr>
        <w:t xml:space="preserve">«È stata operata, quando, e cosa le hanno fatto — solo lesioni, o intestino, uretere, vescica?»</w:t>
      </w:r>
    </w:p>
    <w:p>
      <w:pPr>
        <w:pStyle w:val="BlockText"/>
      </w:pPr>
      <w:r>
        <w:rPr>
          <w:b/>
          <w:bCs/>
        </w:rPr>
        <w:t xml:space="preserve">Attenzione: l’addome operato non è vuoto.</w:t>
      </w:r>
      <w:r>
        <w:t xml:space="preserve"> </w:t>
      </w:r>
      <w:r>
        <w:t xml:space="preserve">Fra le operate per endometriosi ureterale, un terzo ha uno</w:t>
      </w:r>
      <w:r>
        <w:t xml:space="preserve"> </w:t>
      </w:r>
      <w:r>
        <w:rPr>
          <w:b/>
          <w:bCs/>
        </w:rPr>
        <w:t xml:space="preserve">stent doppio J</w:t>
      </w:r>
      <w:r>
        <w:t xml:space="preserve"> </w:t>
      </w:r>
      <w:r>
        <w:t xml:space="preserve">in sede, una su cinque un reimpianto uretero-vescicale, e la complicanza più frequente è la</w:t>
      </w:r>
      <w:r>
        <w:t xml:space="preserve"> </w:t>
      </w:r>
      <w:r>
        <w:rPr>
          <w:b/>
          <w:bCs/>
        </w:rPr>
        <w:t xml:space="preserve">stenosi ureterale, nel 24,2%</w:t>
      </w:r>
      <w:r>
        <w:t xml:space="preserve"> </w:t>
      </w:r>
      <w:r>
        <w:t xml:space="preserve">(Cunha 2021 — PMID 33253957). Finché non hai la risposta, il contatto profondo sotto l’ombelico non è una scelta informata. E un dolore al fianco in una donna operata può essere quella stenosi, non un compenso.</w:t>
      </w:r>
    </w:p>
    <w:p>
      <w:pPr>
        <w:pStyle w:val="FirstParagraph"/>
      </w:pPr>
      <w:r>
        <w:rPr>
          <w:b/>
          <w:bCs/>
        </w:rPr>
        <w:t xml:space="preserve">Cosa sta cercando.</w:t>
      </w:r>
      <w:r>
        <w:t xml:space="preserve"> </w:t>
      </w:r>
      <w:r>
        <w:rPr>
          <w:i/>
          <w:iCs/>
        </w:rPr>
        <w:t xml:space="preserve">Ritardo mestruale? Gravidanza cercata? Stimolazione in corso? Già gravida?</w:t>
      </w:r>
      <w:r>
        <w:t xml:space="preserve"> </w:t>
      </w:r>
      <w:r>
        <w:t xml:space="preserve">Qui il rischio di gravidanza ectopica è aumentato (OR 2,16-2,66; Yong,</w:t>
      </w:r>
      <w:r>
        <w:t xml:space="preserve"> </w:t>
      </w:r>
      <w:r>
        <w:rPr>
          <w:i/>
          <w:iCs/>
        </w:rPr>
        <w:t xml:space="preserve">J Minim Invasive Gynecol</w:t>
      </w:r>
      <w:r>
        <w:t xml:space="preserve"> </w:t>
      </w:r>
      <w:r>
        <w:t xml:space="preserve">2020 — PMID 31546066). E chi è in stimolazione può avere ovaie ingrandite e, nell’1-5% dei cicli, una sindrome da iperstimolazione con ascite. Se una risposta è sì, un dolore pelvico nuovo è una riga della tabella, non un reperto tuo.</w:t>
      </w:r>
    </w:p>
    <w:p>
      <w:pPr>
        <w:pStyle w:val="BodyText"/>
      </w:pPr>
      <w:r>
        <w:t xml:space="preserve">Sui farmaci la condotta non è negoziabile:</w:t>
      </w:r>
      <w:r>
        <w:t xml:space="preserve"> </w:t>
      </w:r>
      <w:r>
        <w:rPr>
          <w:b/>
          <w:bCs/>
        </w:rPr>
        <w:t xml:space="preserve">si scrive al prescrittore, non si commenta, non si suggerisce di modificare niente.</w:t>
      </w:r>
    </w:p>
    <w:bookmarkEnd w:id="47"/>
    <w:bookmarkStart w:id="48" w:name="la-road-map"/>
    <w:p>
      <w:pPr>
        <w:pStyle w:val="Heading3"/>
      </w:pPr>
      <w:r>
        <w:t xml:space="preserve">La Road Map</w:t>
      </w:r>
    </w:p>
    <w:p>
      <w:pPr>
        <w:pStyle w:val="Compact"/>
        <w:numPr>
          <w:ilvl w:val="0"/>
          <w:numId w:val="1019"/>
        </w:numPr>
      </w:pPr>
      <w:r>
        <w:rPr>
          <w:b/>
          <w:bCs/>
        </w:rPr>
        <w:t xml:space="preserve">Bandiere rosse.</w:t>
      </w:r>
      <w:r>
        <w:t xml:space="preserve"> </w:t>
      </w:r>
      <w:r>
        <w:t xml:space="preserve">Passi la tabella. Una riga presente ferma tutto.</w:t>
      </w:r>
    </w:p>
    <w:p>
      <w:pPr>
        <w:pStyle w:val="Compact"/>
        <w:numPr>
          <w:ilvl w:val="0"/>
          <w:numId w:val="1019"/>
        </w:numPr>
      </w:pPr>
      <w:r>
        <w:rPr>
          <w:b/>
          <w:bCs/>
        </w:rPr>
        <w:t xml:space="preserve">Il filtro (Passo 0).</w:t>
      </w:r>
      <w:r>
        <w:t xml:space="preserve"> </w:t>
      </w:r>
      <w:r>
        <w:t xml:space="preserve">Cosa prende, da quando, cosa ha in sede, cosa le hanno fatto, cosa sta cercando.</w:t>
      </w:r>
    </w:p>
    <w:p>
      <w:pPr>
        <w:pStyle w:val="Compact"/>
        <w:numPr>
          <w:ilvl w:val="0"/>
          <w:numId w:val="1019"/>
        </w:numPr>
      </w:pPr>
      <w:r>
        <w:rPr>
          <w:b/>
          <w:bCs/>
        </w:rPr>
        <w:t xml:space="preserve">Livello di attivazione.</w:t>
      </w:r>
      <w:r>
        <w:t xml:space="preserve"> </w:t>
      </w:r>
      <w:r>
        <w:t xml:space="preserve">Quanto è alto l’allarme, quanto sono basse le soglie lontano dal bacino, com’è il sonno.</w:t>
      </w:r>
    </w:p>
    <w:p>
      <w:pPr>
        <w:pStyle w:val="Compact"/>
        <w:numPr>
          <w:ilvl w:val="0"/>
          <w:numId w:val="1019"/>
        </w:numPr>
      </w:pPr>
      <w:r>
        <w:rPr>
          <w:b/>
          <w:bCs/>
        </w:rPr>
        <w:t xml:space="preserve">Comportamento e credenze.</w:t>
      </w:r>
      <w:r>
        <w:t xml:space="preserve"> </w:t>
      </w:r>
      <w:r>
        <w:t xml:space="preserve">Che cosa ha smesso di fare e da quando, che cosa evita, che cosa si aspetta da te, quante volte le è stato detto che era normale. È il passo che interroga il meccanismo 6, e senza di lui il modello comportamentale resta una dichiarazione.</w:t>
      </w:r>
    </w:p>
    <w:p>
      <w:pPr>
        <w:pStyle w:val="Compact"/>
        <w:numPr>
          <w:ilvl w:val="0"/>
          <w:numId w:val="1019"/>
        </w:numPr>
      </w:pPr>
      <w:r>
        <w:rPr>
          <w:b/>
          <w:bCs/>
        </w:rPr>
        <w:t xml:space="preserve">Funzione del pavimento pelvico.</w:t>
      </w:r>
      <w:r>
        <w:t xml:space="preserve"> </w:t>
      </w:r>
      <w:r>
        <w:t xml:space="preserve">Dispareunia d’ingresso, evacuazione, minzione. Con l’anamnesi e con l’osservazione dall’esterno, mai con l’esplorazione interna.</w:t>
      </w:r>
    </w:p>
    <w:p>
      <w:pPr>
        <w:pStyle w:val="Compact"/>
        <w:numPr>
          <w:ilvl w:val="0"/>
          <w:numId w:val="1019"/>
        </w:numPr>
      </w:pPr>
      <w:r>
        <w:rPr>
          <w:b/>
          <w:bCs/>
        </w:rPr>
        <w:t xml:space="preserve">Meccanica del tronco e del bacino.</w:t>
      </w:r>
      <w:r>
        <w:t xml:space="preserve"> </w:t>
      </w:r>
      <w:r>
        <w:t xml:space="preserve">Escursione lombare, estensione d’anca, comportamento del diaframma.</w:t>
      </w:r>
    </w:p>
    <w:p>
      <w:pPr>
        <w:pStyle w:val="Compact"/>
        <w:numPr>
          <w:ilvl w:val="0"/>
          <w:numId w:val="1019"/>
        </w:numPr>
      </w:pPr>
      <w:r>
        <w:rPr>
          <w:b/>
          <w:bCs/>
        </w:rPr>
        <w:t xml:space="preserve">Tessuto locale.</w:t>
      </w:r>
      <w:r>
        <w:t xml:space="preserve"> </w:t>
      </w:r>
      <w:r>
        <w:t xml:space="preserve">Parete addominale sotto l’ombelico, paraspinali lombari, glutei, con il test di Carnett a qualificare il reperto.</w:t>
      </w:r>
    </w:p>
    <w:p>
      <w:pPr>
        <w:pStyle w:val="FirstParagraph"/>
      </w:pPr>
      <w:r>
        <w:t xml:space="preserve">L’ordine è di</w:t>
      </w:r>
      <w:r>
        <w:t xml:space="preserve"> </w:t>
      </w:r>
      <w:r>
        <w:rPr>
          <w:b/>
          <w:bCs/>
        </w:rPr>
        <w:t xml:space="preserve">priorità decisionale</w:t>
      </w:r>
      <w:r>
        <w:t xml:space="preserve">, non di gravità. Il primo passo che risulta alterato definisce dove metti la prima seduta e cosa scrivi nella lettera.</w:t>
      </w:r>
    </w:p>
    <w:p>
      <w:pPr>
        <w:pStyle w:val="BodyText"/>
      </w:pPr>
      <w:r>
        <w:rPr>
          <w:b/>
          <w:bCs/>
        </w:rPr>
        <w:t xml:space="preserve">Il segnale di dominanza che qui conta più di tutti: la resistenza nel tempo.</w:t>
      </w:r>
      <w:r>
        <w:t xml:space="preserve"> </w:t>
      </w:r>
      <w:r>
        <w:t xml:space="preserve">Non è un reperto, è un comportamento del reperto. Se ciò che avevi mosso dentro la seduta torna identico a ventiquattro-quarantotto ore, non stai spostando quel tessuto: lo stai scaricando, mentre qualcosa lo tiene in tensione altrove — la malattia, o il pavimento che non raggiungi. Si chiede a ogni revisione, e vale quanto un marker.</w:t>
      </w:r>
    </w:p>
    <w:p>
      <w:pPr>
        <w:pStyle w:val="BodyText"/>
      </w:pPr>
      <w:r>
        <w:rPr>
          <w:b/>
          <w:bCs/>
        </w:rPr>
        <w:t xml:space="preserve">La regola di risalita.</w:t>
      </w:r>
      <w:r>
        <w:t xml:space="preserve"> </w:t>
      </w:r>
      <w:r>
        <w:t xml:space="preserve">Se entro la finestra dichiarata il marker fuori piano non si è mosso e il reperto torna identico, l’ipotesi di dominanza è falsificata e non si ripete. Restano due uscite: o</w:t>
      </w:r>
      <w:r>
        <w:t xml:space="preserve"> </w:t>
      </w:r>
      <w:r>
        <w:rPr>
          <w:b/>
          <w:bCs/>
        </w:rPr>
        <w:t xml:space="preserve">risali</w:t>
      </w:r>
      <w:r>
        <w:t xml:space="preserve"> </w:t>
      </w:r>
      <w:r>
        <w:t xml:space="preserve">al passo superiore della Road Map e riformuli, o scrivi al ginecologo che la componente meccanica non spiega il quadro. Non esiste una terza uscita, e non esiste «continuo uguale e aspetto».</w:t>
      </w:r>
    </w:p>
    <w:bookmarkEnd w:id="48"/>
    <w:bookmarkStart w:id="49"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si sceglie</w:t>
      </w:r>
      <w:r>
        <w:t xml:space="preserve"> </w:t>
      </w:r>
      <w:r>
        <w:rPr>
          <w:b/>
          <w:bCs/>
        </w:rPr>
        <w:t xml:space="preserve">prima</w:t>
      </w:r>
      <w:r>
        <w:t xml:space="preserve"> </w:t>
      </w:r>
      <w:r>
        <w:t xml:space="preserve">di trattare e si rimisura dopo. Non è il sintomo della paziente: è il segno che ti dice se la tua ipotesi era giusta.</w:t>
      </w:r>
    </w:p>
    <w:p>
      <w:pPr>
        <w:pStyle w:val="FirstParagraph"/>
      </w:pPr>
      <w:r>
        <w:t xml:space="preserve">Un marker che funziona rispetta</w:t>
      </w:r>
      <w:r>
        <w:t xml:space="preserve"> </w:t>
      </w:r>
      <w:r>
        <w:rPr>
          <w:b/>
          <w:bCs/>
        </w:rPr>
        <w:t xml:space="preserve">cinque</w:t>
      </w:r>
      <w:r>
        <w:t xml:space="preserve"> </w:t>
      </w:r>
      <w:r>
        <w:t xml:space="preserve">condizioni.</w:t>
      </w:r>
    </w:p>
    <w:p>
      <w:pPr>
        <w:pStyle w:val="Compact"/>
        <w:numPr>
          <w:ilvl w:val="0"/>
          <w:numId w:val="1020"/>
        </w:numPr>
      </w:pPr>
      <w:r>
        <w:t xml:space="preserve">Si misura in stanza in meno di un minuto, con lo stesso metodo prima e dopo.</w:t>
      </w:r>
    </w:p>
    <w:p>
      <w:pPr>
        <w:pStyle w:val="Compact"/>
        <w:numPr>
          <w:ilvl w:val="0"/>
          <w:numId w:val="1020"/>
        </w:numPr>
      </w:pPr>
      <w:r>
        <w:t xml:space="preserve">Si sceglie prima di trattare, e non si cambia dopo aver visto il risultato.</w:t>
      </w:r>
    </w:p>
    <w:p>
      <w:pPr>
        <w:pStyle w:val="Compact"/>
        <w:numPr>
          <w:ilvl w:val="0"/>
          <w:numId w:val="1020"/>
        </w:numPr>
      </w:pPr>
      <w:r>
        <w:rPr>
          <w:b/>
          <w:bCs/>
        </w:rPr>
        <w:t xml:space="preserve">Appartiene a un piano che non hai trattato.</w:t>
      </w:r>
    </w:p>
    <w:p>
      <w:pPr>
        <w:pStyle w:val="Compact"/>
        <w:numPr>
          <w:ilvl w:val="0"/>
          <w:numId w:val="1020"/>
        </w:numPr>
      </w:pPr>
      <w:r>
        <w:t xml:space="preserve">Ha una soglia dichiarata.</w:t>
      </w:r>
    </w:p>
    <w:p>
      <w:pPr>
        <w:pStyle w:val="Compact"/>
        <w:numPr>
          <w:ilvl w:val="0"/>
          <w:numId w:val="1020"/>
        </w:numPr>
      </w:pPr>
      <w:r>
        <w:rPr>
          <w:b/>
          <w:bCs/>
        </w:rPr>
        <w:t xml:space="preserve">Si confronta solo con misure prese nella stessa fase del ciclo.</w:t>
      </w:r>
      <w:r>
        <w:t xml:space="preserve"> </w:t>
      </w:r>
      <w:r>
        <w:t xml:space="preserve">È la quinta, ed è quella che su questa condizione decide.</w:t>
      </w:r>
    </w:p>
    <w:p>
      <w:pPr>
        <w:pStyle w:val="FirstParagraph"/>
      </w:pPr>
      <w:r>
        <w:rPr>
          <w:b/>
          <w:bCs/>
        </w:rPr>
        <w:t xml:space="preserve">Perché la quinta esiste.</w:t>
      </w:r>
      <w:r>
        <w:t xml:space="preserve"> </w:t>
      </w:r>
      <w:r>
        <w:t xml:space="preserve">La soglia di pressione al dolore cambia con la fase del ciclo, e cambia di una quantità dello stesso ordine di grandezza della soglia che ti sei dato. In donne con dismenorrea moderata-grave la soglia algometrica in fase mestruale è più bassa che nelle altre fasi,</w:t>
      </w:r>
      <w:r>
        <w:t xml:space="preserve"> </w:t>
      </w:r>
      <w:r>
        <w:rPr>
          <w:b/>
          <w:bCs/>
        </w:rPr>
        <w:t xml:space="preserve">sia sull’addome e sulla lombare bassa sia sui siti lontani</w:t>
      </w:r>
      <w:r>
        <w:t xml:space="preserve"> </w:t>
      </w:r>
      <w:r>
        <w:t xml:space="preserve">— cioè sia sul Marker 1 sia sul Marker 2 (Bajaj e Arendt-Nielsen 2002 — PMID 12048420). Su donne sane l’effetto della fase è da piccolo a moderato (d 0,34-0,48), e la meta-analisi conclude che è troppo grande per ignorarlo (Riley 1999 — PMID 10431710).</w:t>
      </w:r>
    </w:p>
    <w:p>
      <w:pPr>
        <w:pStyle w:val="BodyText"/>
      </w:pPr>
      <w:r>
        <w:t xml:space="preserve">Fai il conto. Una misura d’ingresso presa nei giorni del flusso e una di controllo a otto settimane in fase follicolare producono un miglioramento del 15% senza che nessuno abbia toccato niente.</w:t>
      </w:r>
      <w:r>
        <w:t xml:space="preserve"> </w:t>
      </w:r>
      <w:r>
        <w:rPr>
          <w:b/>
          <w:bCs/>
        </w:rPr>
        <w:t xml:space="preserve">Il giorno del ciclo si scrive accanto a ogni valore; se il confronto a pari fase non è possibile, il verdetto si sospende.</w:t>
      </w:r>
    </w:p>
    <w:p>
      <w:pPr>
        <w:pStyle w:val="BlockText"/>
      </w:pPr>
      <w:r>
        <w:rPr>
          <w:b/>
          <w:bCs/>
        </w:rPr>
        <w:t xml:space="preserve">Attenzione:</w:t>
      </w:r>
      <w:r>
        <w:t xml:space="preserve"> </w:t>
      </w:r>
      <w:r>
        <w:t xml:space="preserve">la soglia deve battere l’errore dello strumento, non solo esistere. Il 15% è una scelta interna: prima di usarlo come verdetto, stabilisci la ripetibilità nel tuo studio e alza la soglia sopra quella dispersione.</w:t>
      </w:r>
    </w:p>
    <w:p>
      <w:pPr>
        <w:pStyle w:val="FirstParagraph"/>
      </w:pPr>
      <w:r>
        <w:t xml:space="preserve">Fra le cinque condizioni, qui la terza è quella che fa la differenza, perché la sensibilizzazione è diffusa. Se rimisuri la parete che hai appena trattato, leggi il tuo gesto. Se rimisuri</w:t>
      </w:r>
      <w:r>
        <w:t xml:space="preserve"> </w:t>
      </w:r>
      <w:r>
        <w:rPr>
          <w:b/>
          <w:bCs/>
        </w:rPr>
        <w:t xml:space="preserve">il trapezio superiore</w:t>
      </w:r>
      <w:r>
        <w:t xml:space="preserve">, chiedi al sistema se si è mosso: è chiedere all’ufficio accanto se la notizia è arrivata, invece di rileggere la mail che hai scritto.</w:t>
      </w:r>
    </w:p>
    <w:p>
      <w:pPr>
        <w:pStyle w:val="BodyText"/>
      </w:pPr>
      <w:r>
        <w:t xml:space="preserve">Quello che stai cercando con questa prova è la</w:t>
      </w:r>
      <w:r>
        <w:t xml:space="preserve"> </w:t>
      </w:r>
      <w:r>
        <w:rPr>
          <w:b/>
          <w:bCs/>
        </w:rPr>
        <w:t xml:space="preserve">lesione primaria</w:t>
      </w:r>
      <w:r>
        <w:t xml:space="preserve">, e va nominata per quello che è.</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una ricostruzione a posteriori e non una prova: si scrive come ipotesi, mai come fatto.</w:t>
      </w:r>
    </w:p>
    <w:p>
      <w:pPr>
        <w:pStyle w:val="FirstParagraph"/>
      </w:pPr>
      <w:r>
        <w:t xml:space="preserve">Su questa condizione la ricostruzione ha un limite in più, e va scritto. La sorgente iniziale è la malattia, che tu non tratti. Quindi la lesione primaria che cerchi non è quella del quadro: è quella</w:t>
      </w:r>
      <w:r>
        <w:t xml:space="preserve"> </w:t>
      </w:r>
      <w:r>
        <w:rPr>
          <w:b/>
          <w:bCs/>
        </w:rPr>
        <w:t xml:space="preserve">della catena muscolo-scheletrica</w:t>
      </w:r>
      <w:r>
        <w:t xml:space="preserve"> </w:t>
      </w:r>
      <w:r>
        <w:t xml:space="preserve">che il quadro ha costruito attorno a sé.</w:t>
      </w:r>
    </w:p>
    <w:bookmarkEnd w:id="49"/>
    <w:bookmarkStart w:id="50" w:name="i-marker-di-questa-condizione"/>
    <w:p>
      <w:pPr>
        <w:pStyle w:val="Heading3"/>
      </w:pPr>
      <w:r>
        <w:t xml:space="preserve">I marker di questa condizione</w:t>
      </w:r>
    </w:p>
    <w:p>
      <w:pPr>
        <w:pStyle w:val="FirstParagraph"/>
      </w:pPr>
      <w:r>
        <w:rPr>
          <w:b/>
          <w:bCs/>
        </w:rPr>
        <w:t xml:space="preserve">Marker 1 — soglia di pressione sulla parete sotto l’ombelico.</w:t>
      </w:r>
      <w:r>
        <w:t xml:space="preserve"> </w:t>
      </w:r>
      <w:r>
        <w:t xml:space="preserve">Algometro, quattro punti sui retti (sopra e sotto l’ombelico, destra e sinistra), media dei quattro. È il</w:t>
      </w:r>
      <w:r>
        <w:t xml:space="preserve"> </w:t>
      </w:r>
      <w:r>
        <w:rPr>
          <w:b/>
          <w:bCs/>
        </w:rPr>
        <w:t xml:space="preserve">bersaglio</w:t>
      </w:r>
      <w:r>
        <w:t xml:space="preserve">, non la prova della chiave di volta. Soglia: variazione di almeno il 15%.</w:t>
      </w:r>
      <w:r>
        <w:t xml:space="preserve"> </w:t>
      </w:r>
      <w:r>
        <w:rPr>
          <w:b/>
          <w:bCs/>
        </w:rPr>
        <w:t xml:space="preserve">Provenienza:</w:t>
      </w:r>
      <w:r>
        <w:t xml:space="preserve"> </w:t>
      </w:r>
      <w:r>
        <w:t xml:space="preserve">interna, a priori — la letteratura non pubblica un cambiamento minimo rilevabile per l’algometria addominale, e quell’assenza va scritta accanto al numero.</w:t>
      </w:r>
    </w:p>
    <w:p>
      <w:pPr>
        <w:pStyle w:val="BodyText"/>
      </w:pPr>
      <w:r>
        <w:rPr>
          <w:b/>
          <w:bCs/>
        </w:rPr>
        <w:t xml:space="preserve">Marker 2 — soglia di pressione sul trapezio superiore.</w:t>
      </w:r>
      <w:r>
        <w:t xml:space="preserve"> </w:t>
      </w:r>
      <w:r>
        <w:t xml:space="preserve">Stesso strumento, stesso metodo, un piano che non tratti: è</w:t>
      </w:r>
      <w:r>
        <w:t xml:space="preserve"> </w:t>
      </w:r>
      <w:r>
        <w:rPr>
          <w:b/>
          <w:bCs/>
        </w:rPr>
        <w:t xml:space="preserve">la prova della chiave di volta</w:t>
      </w:r>
      <w:r>
        <w:t xml:space="preserve">. Se si muove dopo un lavoro su bacino e parete, l’ipotesi che tu abbia toccato la taratura del sistema regge meglio di quella locale. Ma è un’</w:t>
      </w:r>
      <w:r>
        <w:rPr>
          <w:b/>
          <w:bCs/>
        </w:rPr>
        <w:t xml:space="preserve">ipotesi rafforzata su una paziente sola</w:t>
      </w:r>
      <w:r>
        <w:t xml:space="preserve">, e in cartella va scritta così, non «il trattamento ha agito sulla sensibilizzazione».</w:t>
      </w:r>
    </w:p>
    <w:p>
      <w:pPr>
        <w:pStyle w:val="BodyText"/>
      </w:pPr>
      <w:r>
        <w:t xml:space="preserve">La sede si giustifica perché in questa popolazione la sensibilizzazione cervicale è documentata (Phan 2021 — PMID 33326662).</w:t>
      </w:r>
      <w:r>
        <w:t xml:space="preserve"> </w:t>
      </w:r>
      <w:r>
        <w:rPr>
          <w:b/>
          <w:bCs/>
        </w:rPr>
        <w:t xml:space="preserve">Non</w:t>
      </w:r>
      <w:r>
        <w:t xml:space="preserve"> </w:t>
      </w:r>
      <w:r>
        <w:t xml:space="preserve">perché qualcuno abbia dimostrato che una mano muove quella soglia: le due sintesi con manovra finta dicono il contrario (Jung 2023 — PMID 37172128; Aspinall 2019 — PMID 30719281). Il marker fuori piano si sceglie per la ragione opposta, ed è più solida:</w:t>
      </w:r>
      <w:r>
        <w:t xml:space="preserve"> </w:t>
      </w:r>
      <w:r>
        <w:rPr>
          <w:b/>
          <w:bCs/>
        </w:rPr>
        <w:t xml:space="preserve">è il solo modo di accorgerti se non l’hai mossa.</w:t>
      </w:r>
    </w:p>
    <w:p>
      <w:pPr>
        <w:pStyle w:val="BodyText"/>
      </w:pPr>
      <w:r>
        <w:rPr>
          <w:b/>
          <w:bCs/>
        </w:rPr>
        <w:t xml:space="preserve">Marker 3 — escursione lombare in flessione.</w:t>
      </w:r>
      <w:r>
        <w:t xml:space="preserve"> </w:t>
      </w:r>
      <w:r>
        <w:t xml:space="preserve">Schober modificato, in centimetri. Soglia: 1 cm. È la sola grandezza del set che non dipende da quanto la paziente sente male oggi.</w:t>
      </w:r>
    </w:p>
    <w:p>
      <w:pPr>
        <w:pStyle w:val="BodyText"/>
      </w:pPr>
      <w:r>
        <w:rPr>
          <w:b/>
          <w:bCs/>
        </w:rPr>
        <w:t xml:space="preserve">Marker 4 — giorni di dolore fuori dal flusso.</w:t>
      </w:r>
      <w:r>
        <w:t xml:space="preserve"> </w:t>
      </w:r>
      <w:r>
        <w:t xml:space="preserve">Contati sul calendario, su quattro settimane. Soglia: due giorni.</w:t>
      </w:r>
      <w:r>
        <w:t xml:space="preserve"> </w:t>
      </w:r>
      <w:r>
        <w:rPr>
          <w:b/>
          <w:bCs/>
        </w:rPr>
        <w:t xml:space="preserve">Provenienza:</w:t>
      </w:r>
      <w:r>
        <w:t xml:space="preserve"> </w:t>
      </w:r>
      <w:r>
        <w:t xml:space="preserve">interna. È il più lento, il più vicino a ciò che le cambia la vita, e l’unico che raccoglie lei.</w:t>
      </w:r>
    </w:p>
    <w:p>
      <w:pPr>
        <w:pStyle w:val="BodyText"/>
      </w:pPr>
      <w:r>
        <w:rPr>
          <w:b/>
          <w:bCs/>
        </w:rPr>
        <w:t xml:space="preserve">Uno strumento che caratterizza, e che non è un marker: il Central Sensitization Inventory, soglia 40.</w:t>
      </w:r>
      <w:r>
        <w:t xml:space="preserve"> </w:t>
      </w:r>
      <w:r>
        <w:t xml:space="preserve">Cinque minuti e un foglio. È l’unica soglia</w:t>
      </w:r>
      <w:r>
        <w:t xml:space="preserve"> </w:t>
      </w:r>
      <w:r>
        <w:rPr>
          <w:b/>
          <w:bCs/>
        </w:rPr>
        <w:t xml:space="preserve">pubblicata su questa condizione</w:t>
      </w:r>
      <w:r>
        <w:t xml:space="preserve"> </w:t>
      </w:r>
      <w:r>
        <w:t xml:space="preserve">di tutto il set: ≥ 40 discrimina chi ha tre o più sindromi da sensibilizzazione centrale, ed è tarata su 335 donne con endometriosi (Orr e Yong,</w:t>
      </w:r>
      <w:r>
        <w:t xml:space="preserve"> </w:t>
      </w:r>
      <w:r>
        <w:rPr>
          <w:i/>
          <w:iCs/>
        </w:rPr>
        <w:t xml:space="preserve">Pain</w:t>
      </w:r>
      <w:r>
        <w:t xml:space="preserve"> </w:t>
      </w:r>
      <w:r>
        <w:t xml:space="preserve">2022 — PMID 34030173). Sta fuori dalla numerazione per una ragione sola:</w:t>
      </w:r>
      <w:r>
        <w:t xml:space="preserve"> </w:t>
      </w:r>
      <w:r>
        <w:rPr>
          <w:b/>
          <w:bCs/>
        </w:rPr>
        <w:t xml:space="preserve">caratterizza la paziente, non verifica un’ipotesi.</w:t>
      </w:r>
      <w:r>
        <w:t xml:space="preserve"> </w:t>
      </w:r>
      <w:r>
        <w:t xml:space="preserve">Ti dice con che sistema hai a che fare prima di cominciare; non ti dice se quello che hai fatto ha cambiato qualcosa.</w:t>
      </w:r>
    </w:p>
    <w:p>
      <w:pPr>
        <w:pStyle w:val="BodyText"/>
      </w:pPr>
      <w:r>
        <w:rPr>
          <w:b/>
          <w:bCs/>
        </w:rPr>
        <w:t xml:space="preserve">Il test che qualifica il Marker 1 è il Carnett</w:t>
      </w:r>
      <w:r>
        <w:t xml:space="preserve"> </w:t>
      </w:r>
      <w:r>
        <w:t xml:space="preserve">(meccanismo 2), esito binario, prima di tutto il resto.</w:t>
      </w:r>
    </w:p>
    <w:p>
      <w:pPr>
        <w:pStyle w:val="BodyText"/>
      </w:pPr>
      <w:r>
        <w:rPr>
          <w:b/>
          <w:bCs/>
        </w:rPr>
        <w:t xml:space="preserve">Senza algometro</w:t>
      </w:r>
      <w:r>
        <w:t xml:space="preserve"> </w:t>
      </w:r>
      <w:r>
        <w:t xml:space="preserve">i primi due marker si producono lo stesso, in forma più grossolana: numero di punti che riproducono il sintomo, e punteggio 0-10, con lo stesso metodo prima e dopo. È</w:t>
      </w:r>
      <w:r>
        <w:t xml:space="preserve"> </w:t>
      </w:r>
      <w:r>
        <w:rPr>
          <w:b/>
          <w:bCs/>
        </w:rPr>
        <w:t xml:space="preserve">RAGIONAMENTO</w:t>
      </w:r>
      <w:r>
        <w:t xml:space="preserve"> </w:t>
      </w:r>
      <w:r>
        <w:rPr>
          <w:i/>
          <w:iCs/>
        </w:rPr>
        <w:t xml:space="preserve">(cornice clinica, non una prova)</w:t>
      </w:r>
      <w:r>
        <w:t xml:space="preserve">: una convenzione interna, non un dato pubblicabile.</w:t>
      </w:r>
    </w:p>
    <w:p>
      <w:pPr>
        <w:pStyle w:val="BodyText"/>
      </w:pPr>
      <w:r>
        <w:rPr>
          <w:b/>
          <w:bCs/>
        </w:rPr>
        <w:t xml:space="preserve">Due o tre marker per paziente, non quattro</w:t>
      </w:r>
      <w:r>
        <w:t xml:space="preserve">, e il Marker 1 e il 2 vanno sempre insieme: uno da solo non dice niente.</w:t>
      </w:r>
    </w:p>
    <w:p>
      <w:pPr>
        <w:pStyle w:val="BodyText"/>
      </w:pPr>
      <w:r>
        <w:rPr>
          <w:b/>
          <w:bCs/>
        </w:rPr>
        <w:t xml:space="preserve">La regola che accoppia la leva al marker, senza la quale la prova si autoconferma.</w:t>
      </w:r>
      <w:r>
        <w:t xml:space="preserve"> </w:t>
      </w:r>
      <w:r>
        <w:t xml:space="preserve">“Piano non trattato”</w:t>
      </w:r>
      <w:r>
        <w:t xml:space="preserve"> </w:t>
      </w:r>
      <w:r>
        <w:t xml:space="preserve">non vuol dire solo</w:t>
      </w:r>
      <w:r>
        <w:t xml:space="preserve"> </w:t>
      </w:r>
      <w:r>
        <w:t xml:space="preserve">“altra sede”</w:t>
      </w:r>
      <w:r>
        <w:t xml:space="preserve">. Se hai applicato la leva sull’</w:t>
      </w:r>
      <w:r>
        <w:rPr>
          <w:b/>
          <w:bCs/>
        </w:rPr>
        <w:t xml:space="preserve">attivazione</w:t>
      </w:r>
      <w:r>
        <w:t xml:space="preserve">, il suo bersaglio è il guadagno del sistema intero: né parete né trapezio sono più piani non trattati, perché entrambe le soglie misurano ciò che hai cercato di muovere. Allora il marker che decide diventa una grandezza che non dipende dal guadagno: l’</w:t>
      </w:r>
      <w:r>
        <w:rPr>
          <w:b/>
          <w:bCs/>
        </w:rPr>
        <w:t xml:space="preserve">escursione lombare</w:t>
      </w:r>
      <w:r>
        <w:t xml:space="preserve">, se il tronco non è stato trattato quel giorno, oppure i</w:t>
      </w:r>
      <w:r>
        <w:t xml:space="preserve"> </w:t>
      </w:r>
      <w:r>
        <w:rPr>
          <w:b/>
          <w:bCs/>
        </w:rPr>
        <w:t xml:space="preserve">giorni di dolore fuori dal flusso</w:t>
      </w:r>
      <w:r>
        <w:t xml:space="preserve">. E se applichi nella stessa seduta la leva sull’attivazione e quella sul contenitore lombo-pelvico, non resta nessun piano non toccato: quel giorno</w:t>
      </w:r>
      <w:r>
        <w:t xml:space="preserve"> </w:t>
      </w:r>
      <w:r>
        <w:rPr>
          <w:b/>
          <w:bCs/>
        </w:rPr>
        <w:t xml:space="preserve">la prova della chiave di volta non è disponibile</w:t>
      </w:r>
      <w:r>
        <w:t xml:space="preserve">. Si rinvia, non si finge.</w:t>
      </w:r>
    </w:p>
    <w:bookmarkEnd w:id="50"/>
    <w:bookmarkStart w:id="51" w:name="i-tre-stati-della-paziente"/>
    <w:p>
      <w:pPr>
        <w:pStyle w:val="Heading3"/>
      </w:pPr>
      <w:r>
        <w:t xml:space="preserve">I tre stati della paziente</w:t>
      </w:r>
    </w:p>
    <w:p>
      <w:pPr>
        <w:pStyle w:val="Compact"/>
        <w:numPr>
          <w:ilvl w:val="0"/>
          <w:numId w:val="1021"/>
        </w:numPr>
      </w:pPr>
      <w:r>
        <w:rPr>
          <w:b/>
          <w:bCs/>
        </w:rPr>
        <w:t xml:space="preserve">In difesa</w:t>
      </w:r>
      <w:r>
        <w:t xml:space="preserve"> </w:t>
      </w:r>
      <w:r>
        <w:t xml:space="preserve">— tesa, respiro corto, risposte brevi: è lo stato più frequente qui, e con una causa precisa. Parli al bisogno di</w:t>
      </w:r>
      <w:r>
        <w:t xml:space="preserve"> </w:t>
      </w:r>
      <w:r>
        <w:rPr>
          <w:b/>
          <w:bCs/>
        </w:rPr>
        <w:t xml:space="preserve">sicurezza</w:t>
      </w:r>
      <w:r>
        <w:t xml:space="preserve">: dichiari cosa farai prima di farlo, chiedi il permesso per ogni zona nuova, ti fermi quando lo chiede.</w:t>
      </w:r>
    </w:p>
    <w:p>
      <w:pPr>
        <w:pStyle w:val="Compact"/>
        <w:numPr>
          <w:ilvl w:val="0"/>
          <w:numId w:val="1021"/>
        </w:numPr>
      </w:pPr>
      <w:r>
        <w:rPr>
          <w:b/>
          <w:bCs/>
        </w:rPr>
        <w:t xml:space="preserve">Emotiva</w:t>
      </w:r>
      <w:r>
        <w:t xml:space="preserve"> </w:t>
      </w:r>
      <w:r>
        <w:t xml:space="preserve">— racconta, cerca ascolto, lega il sintomo alla propria storia. Parli al bisogno di</w:t>
      </w:r>
      <w:r>
        <w:t xml:space="preserve"> </w:t>
      </w:r>
      <w:r>
        <w:rPr>
          <w:b/>
          <w:bCs/>
        </w:rPr>
        <w:t xml:space="preserve">essere creduta</w:t>
      </w:r>
      <w:r>
        <w:t xml:space="preserve">: è l’unico stato in cui</w:t>
      </w:r>
      <w:r>
        <w:t xml:space="preserve"> </w:t>
      </w:r>
      <w:r>
        <w:rPr>
          <w:i/>
          <w:iCs/>
        </w:rPr>
        <w:t xml:space="preserve">“il tuo dolore è reale”</w:t>
      </w:r>
      <w:r>
        <w:t xml:space="preserve"> </w:t>
      </w:r>
      <w:r>
        <w:t xml:space="preserve">fa un lavoro clinico e non retorico.</w:t>
      </w:r>
    </w:p>
    <w:p>
      <w:pPr>
        <w:pStyle w:val="Compact"/>
        <w:numPr>
          <w:ilvl w:val="0"/>
          <w:numId w:val="1021"/>
        </w:numPr>
      </w:pPr>
      <w:r>
        <w:rPr>
          <w:b/>
          <w:bCs/>
        </w:rPr>
        <w:t xml:space="preserve">Razionale</w:t>
      </w:r>
      <w:r>
        <w:t xml:space="preserve"> </w:t>
      </w:r>
      <w:r>
        <w:t xml:space="preserve">— chiede il perché e vuole i dati. Parli al bisogno di</w:t>
      </w:r>
      <w:r>
        <w:t xml:space="preserve"> </w:t>
      </w:r>
      <w:r>
        <w:rPr>
          <w:b/>
          <w:bCs/>
        </w:rPr>
        <w:t xml:space="preserve">logica</w:t>
      </w:r>
      <w:r>
        <w:t xml:space="preserve">: le mostri algometro ed escursione prima e dopo, e le dici quale delle due conta di più.</w:t>
      </w:r>
    </w:p>
    <w:p>
      <w:pPr>
        <w:pStyle w:val="FirstParagraph"/>
      </w:pPr>
      <w:r>
        <w:rPr>
          <w:b/>
          <w:bCs/>
        </w:rPr>
        <w:t xml:space="preserve">Le tre cose da ricordare, più una</w:t>
      </w:r>
    </w:p>
    <w:p>
      <w:pPr>
        <w:pStyle w:val="Compact"/>
        <w:numPr>
          <w:ilvl w:val="0"/>
          <w:numId w:val="1022"/>
        </w:numPr>
      </w:pPr>
      <w:r>
        <w:t xml:space="preserve">Con la diagnosi già fatta, il ragionamento serve a scegliere quale sorgente è ancora aperta e quale è tua, non a capire cos’ha.</w:t>
      </w:r>
    </w:p>
    <w:p>
      <w:pPr>
        <w:pStyle w:val="Compact"/>
        <w:numPr>
          <w:ilvl w:val="0"/>
          <w:numId w:val="1022"/>
        </w:numPr>
      </w:pPr>
      <w:r>
        <w:t xml:space="preserve">Il marker che decide sta fuori dal piano che hai trattato — parete e trapezio sempre insieme, e nessuna delle due è più</w:t>
      </w:r>
      <w:r>
        <w:t xml:space="preserve"> </w:t>
      </w:r>
      <w:r>
        <w:t xml:space="preserve">“fuori”</w:t>
      </w:r>
      <w:r>
        <w:t xml:space="preserve"> </w:t>
      </w:r>
      <w:r>
        <w:t xml:space="preserve">se hai trattato l’attivazione — e ogni valore porta accanto il giorno del ciclo, perché si confronta solo a pari fase.</w:t>
      </w:r>
    </w:p>
    <w:p>
      <w:pPr>
        <w:pStyle w:val="Compact"/>
        <w:numPr>
          <w:ilvl w:val="0"/>
          <w:numId w:val="1022"/>
        </w:numPr>
      </w:pPr>
      <w:r>
        <w:t xml:space="preserve">La paziente con soglie basse ovunque non è un capolinea: è l’indicazione della leva sull’attivazione, con la sua etichetta e i suoi tempi.</w:t>
      </w:r>
    </w:p>
    <w:p>
      <w:pPr>
        <w:pStyle w:val="Compact"/>
        <w:numPr>
          <w:ilvl w:val="0"/>
          <w:numId w:val="1022"/>
        </w:numPr>
      </w:pPr>
      <w:r>
        <w:rPr>
          <w:b/>
          <w:bCs/>
        </w:rPr>
        <w:t xml:space="preserve">Perché ci sei tu.</w:t>
      </w:r>
      <w:r>
        <w:t xml:space="preserve"> </w:t>
      </w:r>
      <w:r>
        <w:t xml:space="preserve">Fra le donne con dolore pelvico persistente, le soglie di dolore erano ugualmente basse con biopsia positiva e con biopsia negativa per endometriosi, e più lungo era il dolore più le soglie scendevano (Grundström 2019 — PMID 30472739). Questo ti autorizza a costruire il piano sulla durata del dolore invece che sullo stadio della malattia, che è un’informazione che il referto non ti dà. Non ti autorizza a dire che la malattia non c’entra: c’entra, e resta in carico a chi la cura.</w:t>
      </w:r>
    </w:p>
    <w:p>
      <w:r>
        <w:pict>
          <v:rect style="width:0;height:1.5pt" o:hralign="center" o:hrstd="t" o:hr="t"/>
        </w:pict>
      </w:r>
    </w:p>
    <w:bookmarkEnd w:id="51"/>
    <w:bookmarkEnd w:id="52"/>
    <w:bookmarkStart w:id="6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la diagnosi c’è già, e averla non apre il verde — perché avere la diagnosi della malattia non significa avere l’inquadramento del dolore che stai per trattare.</w:t>
      </w:r>
    </w:p>
    <w:bookmarkStart w:id="53" w:name="se-sbagli-campo"/>
    <w:p>
      <w:pPr>
        <w:pStyle w:val="Heading3"/>
      </w:pPr>
      <w:r>
        <w:t xml:space="preserve">Se sbagli campo</w:t>
      </w:r>
    </w:p>
    <w:p>
      <w:pPr>
        <w:pStyle w:val="FirstParagraph"/>
      </w:pPr>
      <w:r>
        <w:t xml:space="preserve">Questo capitolo è lungo, e va letto sapendo cosa costa sbagliarlo. Se tratti come miofasciale un dolore che sta cambiando perché la malattia sta progredendo, il danno non è il tuo trattamento: è il tempo. La paziente sta meglio quel tanto che basta a rimandare il controllo. Su una malattia che si conta in anni di ritardo diagnostico, quel rinvio è il danno più caro che puoi fare.</w:t>
      </w:r>
    </w:p>
    <w:bookmarkEnd w:id="53"/>
    <w:bookmarkStart w:id="54" w:name="le-bandiere-rosse"/>
    <w:p>
      <w:pPr>
        <w:pStyle w:val="Heading3"/>
      </w:pPr>
      <w:r>
        <w:t xml:space="preserve">Le bandiere rosse</w:t>
      </w:r>
    </w:p>
    <w:p>
      <w:pPr>
        <w:pStyle w:val="FirstParagraph"/>
      </w:pPr>
      <w:r>
        <w:rPr>
          <w:b/>
          <w:bCs/>
        </w:rPr>
        <w:t xml:space="preserve">Da dove vengono.</w:t>
      </w:r>
      <w:r>
        <w:t xml:space="preserve"> </w:t>
      </w:r>
      <w:r>
        <w:t xml:space="preserve">Da quattro sorgenti, e nessuna è una lista di bandiere rosse già pronta.</w:t>
      </w:r>
    </w:p>
    <w:p>
      <w:pPr>
        <w:pStyle w:val="BodyText"/>
      </w:pPr>
      <w:r>
        <w:t xml:space="preserve">Dalle</w:t>
      </w:r>
      <w:r>
        <w:t xml:space="preserve"> </w:t>
      </w:r>
      <w:r>
        <w:rPr>
          <w:b/>
          <w:bCs/>
        </w:rPr>
        <w:t xml:space="preserve">linee guida</w:t>
      </w:r>
      <w:r>
        <w:t xml:space="preserve">, che danno i criteri di invio e la regola sull’ecografia negativa (Becker, ESHRE 2022 — PMID 35350465; NICE NG73).</w:t>
      </w:r>
    </w:p>
    <w:p>
      <w:pPr>
        <w:pStyle w:val="BodyText"/>
      </w:pPr>
      <w:r>
        <w:t xml:space="preserve">Dai</w:t>
      </w:r>
      <w:r>
        <w:t xml:space="preserve"> </w:t>
      </w:r>
      <w:r>
        <w:rPr>
          <w:b/>
          <w:bCs/>
        </w:rPr>
        <w:t xml:space="preserve">quadri acuti</w:t>
      </w:r>
      <w:r>
        <w:t xml:space="preserve"> </w:t>
      </w:r>
      <w:r>
        <w:t xml:space="preserve">chirurgici e ostetrici che condividono la presentazione.</w:t>
      </w:r>
    </w:p>
    <w:p>
      <w:pPr>
        <w:pStyle w:val="BodyText"/>
      </w:pPr>
      <w:r>
        <w:t xml:space="preserve">Dalle</w:t>
      </w:r>
      <w:r>
        <w:t xml:space="preserve"> </w:t>
      </w:r>
      <w:r>
        <w:rPr>
          <w:b/>
          <w:bCs/>
        </w:rPr>
        <w:t xml:space="preserve">complicanze d’organo</w:t>
      </w:r>
      <w:r>
        <w:t xml:space="preserve"> </w:t>
      </w:r>
      <w:r>
        <w:t xml:space="preserve">della malattia profonda e della sua chirurgia: danno renale silente da endometriosi ureterale (Muthuppalaniappan 2016 — PMID 26853481), stenosi ureterale postoperatoria (Cunha 2021 — PMID 33253957), sindrome toracica con il pneumotorace catameniale (Kubokura 2026 — PMID 40128971).</w:t>
      </w:r>
    </w:p>
    <w:p>
      <w:pPr>
        <w:pStyle w:val="BodyText"/>
      </w:pPr>
      <w:r>
        <w:t xml:space="preserve">E da</w:t>
      </w:r>
      <w:r>
        <w:t xml:space="preserve"> </w:t>
      </w:r>
      <w:r>
        <w:rPr>
          <w:b/>
          <w:bCs/>
        </w:rPr>
        <w:t xml:space="preserve">tre righe importate</w:t>
      </w:r>
      <w:r>
        <w:t xml:space="preserve">, che stanno qui perché è questa popolazione a portarle. Il tromboembolismo da contraccezione estro-progestinica (Lidegaard 2011 — PMID 22027398). I sintomi d’allarme del tumore ovarico, verso cui l’endometriosi porta un rischio aumentato: in cure primarie la distensione</w:t>
      </w:r>
      <w:r>
        <w:t xml:space="preserve"> </w:t>
      </w:r>
      <w:r>
        <w:rPr>
          <w:b/>
          <w:bCs/>
        </w:rPr>
        <w:t xml:space="preserve">persistente</w:t>
      </w:r>
      <w:r>
        <w:t xml:space="preserve"> </w:t>
      </w:r>
      <w:r>
        <w:t xml:space="preserve">è associata al tumore, mentre quella</w:t>
      </w:r>
      <w:r>
        <w:t xml:space="preserve"> </w:t>
      </w:r>
      <w:r>
        <w:rPr>
          <w:b/>
          <w:bCs/>
        </w:rPr>
        <w:t xml:space="preserve">fluttuante</w:t>
      </w:r>
      <w:r>
        <w:t xml:space="preserve"> </w:t>
      </w:r>
      <w:r>
        <w:t xml:space="preserve">non lo è (Pearce 2012 — PMID 22361336; Bankhead 2008 — PMID 18651882; NICE CG122). E i quadri della donna in procreazione assistita o gravida (Yong 2020 — PMID 31546066; Vercellini 2023 — PMID 36948440). Il rischio assoluto oncologico resta basso e va comunicato come tale: queste righe servono a non attribuire all’endometriosi un sintomo che non le appartiene, non a fare screening.</w:t>
      </w:r>
    </w:p>
    <w:p>
      <w:pPr>
        <w:pStyle w:val="BodyText"/>
      </w:pPr>
      <w:r>
        <w:rPr>
          <w:b/>
          <w:bCs/>
        </w:rPr>
        <w:t xml:space="preserve">Come si usa.</w:t>
      </w:r>
      <w:r>
        <w:t xml:space="preserve"> </w:t>
      </w:r>
      <w:r>
        <w:t xml:space="preserve">È la lista migliore disponibile e non è validata: la usi come rete, non come filtro. Una riga presente ti ferma. Tutte assenti non ti autorizzano a escludere niente. In cartella scrivi che l’hai passata in rassegna, non che la paziente è negativa.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 dell’invio</w:t>
            </w:r>
          </w:p>
        </w:tc>
        <w:tc>
          <w:tcPr/>
          <w:p>
            <w:pPr>
              <w:pStyle w:val="Compact"/>
            </w:pPr>
            <w:r>
              <w:t xml:space="preserve">Uscita</w:t>
            </w:r>
          </w:p>
        </w:tc>
      </w:tr>
      <w:tr>
        <w:tc>
          <w:tcPr/>
          <w:p>
            <w:pPr>
              <w:pStyle w:val="Compact"/>
            </w:pPr>
            <w:r>
              <w:t xml:space="preserve">Dolore pelvico acuto violentissimo, diverso dal solito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Amenorrea o ritardo, dolore pelvico, anche senza test</w:t>
            </w:r>
          </w:p>
        </w:tc>
        <w:tc>
          <w:tcPr/>
          <w:p>
            <w:pPr>
              <w:pStyle w:val="Compact"/>
            </w:pPr>
            <w:r>
              <w:t xml:space="preserve">Pronto soccorso ginecologico</w:t>
            </w:r>
          </w:p>
        </w:tc>
        <w:tc>
          <w:tcPr/>
          <w:p>
            <w:pPr>
              <w:pStyle w:val="Compact"/>
            </w:pPr>
            <w:r>
              <w:t xml:space="preserve">112</w:t>
            </w:r>
          </w:p>
        </w:tc>
        <w:tc>
          <w:tcPr/>
          <w:p>
            <w:pPr>
              <w:pStyle w:val="Compact"/>
            </w:pPr>
            <w:r>
              <w:t xml:space="preserve">ROSSO</w:t>
            </w:r>
          </w:p>
        </w:tc>
      </w:tr>
      <w:tr>
        <w:tc>
          <w:tcPr/>
          <w:p>
            <w:pPr>
              <w:pStyle w:val="Compact"/>
            </w:pPr>
            <w:r>
              <w:t xml:space="preserve">Alvo chiuso a feci e gas, con vomito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Impossibilità a urinare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Affanno improvviso, dolore toracico respirando, o polpaccio gonfio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Dolore addominale nuovo in gravidanza, a qualunque epoca</w:t>
            </w:r>
          </w:p>
        </w:tc>
        <w:tc>
          <w:tcPr/>
          <w:p>
            <w:pPr>
              <w:pStyle w:val="Compact"/>
            </w:pPr>
            <w:r>
              <w:t xml:space="preserve">Pronto soccorso ostetrico</w:t>
            </w:r>
          </w:p>
        </w:tc>
        <w:tc>
          <w:tcPr/>
          <w:p>
            <w:pPr>
              <w:pStyle w:val="Compact"/>
            </w:pPr>
            <w:r>
              <w:t xml:space="preserve">112</w:t>
            </w:r>
          </w:p>
        </w:tc>
        <w:tc>
          <w:tcPr/>
          <w:p>
            <w:pPr>
              <w:pStyle w:val="Compact"/>
            </w:pPr>
            <w:r>
              <w:t xml:space="preserve">ROSSO</w:t>
            </w:r>
          </w:p>
        </w:tc>
      </w:tr>
      <w:tr>
        <w:tc>
          <w:tcPr/>
          <w:p>
            <w:pPr>
              <w:pStyle w:val="Compact"/>
            </w:pPr>
            <w:r>
              <w:t xml:space="preserve">Febbre con dolore pelvico</w:t>
            </w:r>
          </w:p>
        </w:tc>
        <w:tc>
          <w:tcPr/>
          <w:p>
            <w:pPr>
              <w:pStyle w:val="Compact"/>
            </w:pPr>
            <w:r>
              <w:t xml:space="preserve">Medico curante o PS</w:t>
            </w:r>
          </w:p>
        </w:tc>
        <w:tc>
          <w:tcPr/>
          <w:p>
            <w:pPr>
              <w:pStyle w:val="Compact"/>
            </w:pPr>
            <w:r>
              <w:t xml:space="preserve">Urgente</w:t>
            </w:r>
          </w:p>
        </w:tc>
        <w:tc>
          <w:tcPr/>
          <w:p>
            <w:pPr>
              <w:pStyle w:val="Compact"/>
            </w:pPr>
            <w:r>
              <w:t xml:space="preserve">ROSSO</w:t>
            </w:r>
          </w:p>
        </w:tc>
      </w:tr>
      <w:tr>
        <w:tc>
          <w:tcPr/>
          <w:p>
            <w:pPr>
              <w:pStyle w:val="Compact"/>
            </w:pPr>
            <w:r>
              <w:t xml:space="preserve">Sanguinamento abbondante con pallore e debolezza</w:t>
            </w:r>
          </w:p>
        </w:tc>
        <w:tc>
          <w:tcPr/>
          <w:p>
            <w:pPr>
              <w:pStyle w:val="Compact"/>
            </w:pPr>
            <w:r>
              <w:t xml:space="preserve">Medico curante o PS</w:t>
            </w:r>
          </w:p>
        </w:tc>
        <w:tc>
          <w:tcPr/>
          <w:p>
            <w:pPr>
              <w:pStyle w:val="Compact"/>
            </w:pPr>
            <w:r>
              <w:t xml:space="preserve">Urgente</w:t>
            </w:r>
          </w:p>
        </w:tc>
        <w:tc>
          <w:tcPr/>
          <w:p>
            <w:pPr>
              <w:pStyle w:val="Compact"/>
            </w:pPr>
            <w:r>
              <w:t xml:space="preserve">ROSSO</w:t>
            </w:r>
          </w:p>
        </w:tc>
      </w:tr>
      <w:tr>
        <w:tc>
          <w:tcPr/>
          <w:p>
            <w:pPr>
              <w:pStyle w:val="Compact"/>
            </w:pPr>
            <w:r>
              <w:t xml:space="preserve">Dolore ciclico a torace o spalla, con affanno</w:t>
            </w:r>
          </w:p>
        </w:tc>
        <w:tc>
          <w:tcPr/>
          <w:p>
            <w:pPr>
              <w:pStyle w:val="Compact"/>
            </w:pPr>
            <w:r>
              <w:t xml:space="preserve">Pronto soccorso, poi toracico</w:t>
            </w:r>
          </w:p>
        </w:tc>
        <w:tc>
          <w:tcPr/>
          <w:p>
            <w:pPr>
              <w:pStyle w:val="Compact"/>
            </w:pPr>
            <w:r>
              <w:t xml:space="preserve">Urgente</w:t>
            </w:r>
          </w:p>
        </w:tc>
        <w:tc>
          <w:tcPr/>
          <w:p>
            <w:pPr>
              <w:pStyle w:val="Compact"/>
            </w:pPr>
            <w:r>
              <w:t xml:space="preserve">ROSSO</w:t>
            </w:r>
          </w:p>
        </w:tc>
      </w:tr>
      <w:tr>
        <w:tc>
          <w:tcPr/>
          <w:p>
            <w:pPr>
              <w:pStyle w:val="Compact"/>
            </w:pPr>
            <w:r>
              <w:t xml:space="preserve">Gonfiore rapido, dolore, meno urina in stimolazione ovarica</w:t>
            </w:r>
          </w:p>
        </w:tc>
        <w:tc>
          <w:tcPr/>
          <w:p>
            <w:pPr>
              <w:pStyle w:val="Compact"/>
            </w:pPr>
            <w:r>
              <w:t xml:space="preserve">Centro PMA o PS</w:t>
            </w:r>
          </w:p>
        </w:tc>
        <w:tc>
          <w:tcPr/>
          <w:p>
            <w:pPr>
              <w:pStyle w:val="Compact"/>
            </w:pPr>
            <w:r>
              <w:t xml:space="preserve">Urgente</w:t>
            </w:r>
          </w:p>
        </w:tc>
        <w:tc>
          <w:tcPr/>
          <w:p>
            <w:pPr>
              <w:pStyle w:val="Compact"/>
            </w:pPr>
            <w:r>
              <w:t xml:space="preserve">ROSSO</w:t>
            </w:r>
          </w:p>
        </w:tc>
      </w:tr>
      <w:tr>
        <w:tc>
          <w:tcPr/>
          <w:p>
            <w:pPr>
              <w:pStyle w:val="Compact"/>
            </w:pPr>
            <w:r>
              <w:t xml:space="preserve">Dolore al fianco monolaterale, o diuresi ridotta</w:t>
            </w:r>
          </w:p>
        </w:tc>
        <w:tc>
          <w:tcPr/>
          <w:p>
            <w:pPr>
              <w:pStyle w:val="Compact"/>
            </w:pPr>
            <w:r>
              <w:t xml:space="preserve">Ginecologo e urologo</w:t>
            </w:r>
          </w:p>
        </w:tc>
        <w:tc>
          <w:tcPr/>
          <w:p>
            <w:pPr>
              <w:pStyle w:val="Compact"/>
            </w:pPr>
            <w:r>
              <w:t xml:space="preserve">Invio, non attendere</w:t>
            </w:r>
          </w:p>
        </w:tc>
        <w:tc>
          <w:tcPr/>
          <w:p>
            <w:pPr>
              <w:pStyle w:val="Compact"/>
            </w:pPr>
            <w:r>
              <w:t xml:space="preserve">ROSSO</w:t>
            </w:r>
          </w:p>
        </w:tc>
      </w:tr>
      <w:tr>
        <w:tc>
          <w:tcPr/>
          <w:p>
            <w:pPr>
              <w:pStyle w:val="Compact"/>
            </w:pPr>
            <w:r>
              <w:t xml:space="preserve">Sangue nelle urine o nelle feci, ciclico</w:t>
            </w:r>
          </w:p>
        </w:tc>
        <w:tc>
          <w:tcPr/>
          <w:p>
            <w:pPr>
              <w:pStyle w:val="Compact"/>
            </w:pPr>
            <w:r>
              <w:t xml:space="preserve">Ginecologo con competenza endometriosi</w:t>
            </w:r>
          </w:p>
        </w:tc>
        <w:tc>
          <w:tcPr/>
          <w:p>
            <w:pPr>
              <w:pStyle w:val="Compact"/>
            </w:pPr>
            <w:r>
              <w:t xml:space="preserve">Invio, non attendere</w:t>
            </w:r>
          </w:p>
        </w:tc>
        <w:tc>
          <w:tcPr/>
          <w:p>
            <w:pPr>
              <w:pStyle w:val="Compact"/>
            </w:pPr>
            <w:r>
              <w:t xml:space="preserve">ROSSO</w:t>
            </w:r>
          </w:p>
        </w:tc>
      </w:tr>
      <w:tr>
        <w:tc>
          <w:tcPr/>
          <w:p>
            <w:pPr>
              <w:pStyle w:val="Compact"/>
            </w:pPr>
            <w:r>
              <w:t xml:space="preserve">Massa addomino-pelvica palpabile non nota</w:t>
            </w:r>
          </w:p>
        </w:tc>
        <w:tc>
          <w:tcPr/>
          <w:p>
            <w:pPr>
              <w:pStyle w:val="Compact"/>
            </w:pPr>
            <w:r>
              <w:t xml:space="preserve">Ginecologo</w:t>
            </w:r>
          </w:p>
        </w:tc>
        <w:tc>
          <w:tcPr/>
          <w:p>
            <w:pPr>
              <w:pStyle w:val="Compact"/>
            </w:pPr>
            <w:r>
              <w:t xml:space="preserve">Invio, non attendere</w:t>
            </w:r>
          </w:p>
        </w:tc>
        <w:tc>
          <w:tcPr/>
          <w:p>
            <w:pPr>
              <w:pStyle w:val="Compact"/>
            </w:pPr>
            <w:r>
              <w:t xml:space="preserve">ROSSO</w:t>
            </w:r>
          </w:p>
        </w:tc>
      </w:tr>
      <w:tr>
        <w:tc>
          <w:tcPr/>
          <w:p>
            <w:pPr>
              <w:pStyle w:val="Compact"/>
            </w:pPr>
            <w:r>
              <w:t xml:space="preserve">Distensione da fluttuante a persistente, con sazietà precoce</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Dolore radicolare ciclico alla gamba, o deficit motorio</w:t>
            </w:r>
          </w:p>
        </w:tc>
        <w:tc>
          <w:tcPr/>
          <w:p>
            <w:pPr>
              <w:pStyle w:val="Compact"/>
            </w:pPr>
            <w:r>
              <w:t xml:space="preserve">Ginecologo e neurologo</w:t>
            </w:r>
          </w:p>
        </w:tc>
        <w:tc>
          <w:tcPr/>
          <w:p>
            <w:pPr>
              <w:pStyle w:val="Compact"/>
            </w:pPr>
            <w:r>
              <w:t xml:space="preserve">Invio, non attendere</w:t>
            </w:r>
          </w:p>
        </w:tc>
        <w:tc>
          <w:tcPr/>
          <w:p>
            <w:pPr>
              <w:pStyle w:val="Compact"/>
            </w:pPr>
            <w:r>
              <w:t xml:space="preserve">ROSSO</w:t>
            </w:r>
          </w:p>
        </w:tc>
      </w:tr>
      <w:tr>
        <w:tc>
          <w:tcPr/>
          <w:p>
            <w:pPr>
              <w:pStyle w:val="Compact"/>
            </w:pPr>
            <w:r>
              <w:t xml:space="preserve">Peggioramento progressivo nonostante la terapia</w:t>
            </w:r>
          </w:p>
        </w:tc>
        <w:tc>
          <w:tcPr/>
          <w:p>
            <w:pPr>
              <w:pStyle w:val="Compact"/>
            </w:pPr>
            <w:r>
              <w:t xml:space="preserve">Ginecologo con competenza endometriosi</w:t>
            </w:r>
          </w:p>
        </w:tc>
        <w:tc>
          <w:tcPr/>
          <w:p>
            <w:pPr>
              <w:pStyle w:val="Compact"/>
            </w:pPr>
            <w:r>
              <w:t xml:space="preserve">Invio</w:t>
            </w:r>
          </w:p>
        </w:tc>
        <w:tc>
          <w:tcPr/>
          <w:p>
            <w:pPr>
              <w:pStyle w:val="Compact"/>
            </w:pPr>
            <w:r>
              <w:t xml:space="preserve">GIALLO PRIORITARIO</w:t>
            </w:r>
          </w:p>
        </w:tc>
      </w:tr>
      <w:tr>
        <w:tc>
          <w:tcPr/>
          <w:p>
            <w:pPr>
              <w:pStyle w:val="Compact"/>
            </w:pPr>
            <w:r>
              <w:t xml:space="preserve">Sintomo nuovo o dolore cambiato di carattere</w:t>
            </w:r>
          </w:p>
        </w:tc>
        <w:tc>
          <w:tcPr/>
          <w:p>
            <w:pPr>
              <w:pStyle w:val="Compact"/>
            </w:pPr>
            <w:r>
              <w:t xml:space="preserve">Ginecologo curante</w:t>
            </w:r>
          </w:p>
        </w:tc>
        <w:tc>
          <w:tcPr/>
          <w:p>
            <w:pPr>
              <w:pStyle w:val="Compact"/>
            </w:pPr>
            <w:r>
              <w:t xml:space="preserve">Invio</w:t>
            </w:r>
          </w:p>
        </w:tc>
        <w:tc>
          <w:tcPr/>
          <w:p>
            <w:pPr>
              <w:pStyle w:val="Compact"/>
            </w:pPr>
            <w:r>
              <w:t xml:space="preserve">GIALLO PRIORITARIO</w:t>
            </w:r>
          </w:p>
        </w:tc>
      </w:tr>
    </w:tbl>
    <w:p>
      <w:pPr>
        <w:pStyle w:val="BodyText"/>
      </w:pPr>
      <w:r>
        <w:rPr>
          <w:b/>
          <w:bCs/>
        </w:rPr>
        <w:t xml:space="preserve">Come si leggono per esteso le righe che si sbagliano di più.</w:t>
      </w:r>
    </w:p>
    <w:p>
      <w:pPr>
        <w:pStyle w:val="BodyText"/>
      </w:pPr>
      <w:r>
        <w:rPr>
          <w:b/>
          <w:bCs/>
        </w:rPr>
        <w:t xml:space="preserve">Dolore ciclico a torace o spalla, con affanno.</w:t>
      </w:r>
      <w:r>
        <w:t xml:space="preserve"> </w:t>
      </w:r>
      <w:r>
        <w:t xml:space="preserve">Non è un compenso posturale e non è una contrattura: è il quadro della sindrome toracica da endometriosi, quasi sempre destra. Va chiesto attivamente, perché la paziente non lo collega e non lo racconta.</w:t>
      </w:r>
    </w:p>
    <w:p>
      <w:pPr>
        <w:pStyle w:val="BodyText"/>
      </w:pPr>
      <w:r>
        <w:rPr>
          <w:b/>
          <w:bCs/>
        </w:rPr>
        <w:t xml:space="preserve">E va letto nell’ordine giusto.</w:t>
      </w:r>
      <w:r>
        <w:t xml:space="preserve"> </w:t>
      </w:r>
      <w:r>
        <w:t xml:space="preserve">Davanti a un affanno acuto, o a un dolore toracico che peggiora col respiro, la prima ipotesi da escludere in urgenza è l’</w:t>
      </w:r>
      <w:r>
        <w:rPr>
          <w:b/>
          <w:bCs/>
        </w:rPr>
        <w:t xml:space="preserve">embolia polmonare</w:t>
      </w:r>
      <w:r>
        <w:t xml:space="preserve"> </w:t>
      </w:r>
      <w:r>
        <w:t xml:space="preserve">— quasi tutte queste donne assumono una terapia ormonale. Solo dopo si pensa al torace endometriosico. È la ragione per cui in tabella ci sono due righe e non una.</w:t>
      </w:r>
    </w:p>
    <w:p>
      <w:pPr>
        <w:pStyle w:val="BodyText"/>
      </w:pPr>
      <w:r>
        <w:rPr>
          <w:b/>
          <w:bCs/>
        </w:rPr>
        <w:t xml:space="preserve">Massa palpabile e distensione che cambia carattere.</w:t>
      </w:r>
      <w:r>
        <w:t xml:space="preserve"> </w:t>
      </w:r>
      <w:r>
        <w:t xml:space="preserve">Sei l’unico del suo percorso che le mette le mani sull’addome tutti i mesi, e questa Bibbia ti ordina di farlo. Allora la conseguenza va scritta. Una</w:t>
      </w:r>
      <w:r>
        <w:t xml:space="preserve"> </w:t>
      </w:r>
      <w:r>
        <w:rPr>
          <w:b/>
          <w:bCs/>
        </w:rPr>
        <w:t xml:space="preserve">massa</w:t>
      </w:r>
      <w:r>
        <w:t xml:space="preserve"> </w:t>
      </w:r>
      <w:r>
        <w:t xml:space="preserve">che non conoscevi, o un volume che</w:t>
      </w:r>
      <w:r>
        <w:t xml:space="preserve"> </w:t>
      </w:r>
      <w:r>
        <w:rPr>
          <w:b/>
          <w:bCs/>
        </w:rPr>
        <w:t xml:space="preserve">non regredisce</w:t>
      </w:r>
      <w:r>
        <w:t xml:space="preserve"> </w:t>
      </w:r>
      <w:r>
        <w:t xml:space="preserve">fra un ciclo e l’altro, non sono un reperto tuo. Il criterio è il carattere, non l’entità. Si documenta e si invia, senza allarmare e senza nominare ipotesi che non ti competono.</w:t>
      </w:r>
    </w:p>
    <w:p>
      <w:pPr>
        <w:pStyle w:val="BodyText"/>
      </w:pPr>
      <w:r>
        <w:rPr>
          <w:b/>
          <w:bCs/>
        </w:rPr>
        <w:t xml:space="preserve">Dolore alla gamba con distribuzione radicolare.</w:t>
      </w:r>
      <w:r>
        <w:t xml:space="preserve"> </w:t>
      </w:r>
      <w:r>
        <w:t xml:space="preserve">La faccia posteriore della coscia è territorio di riferimento uterino, ed è per questo la trappola più elegante del documento. Un dolore ciclico</w:t>
      </w:r>
      <w:r>
        <w:t xml:space="preserve"> </w:t>
      </w:r>
      <w:r>
        <w:rPr>
          <w:b/>
          <w:bCs/>
        </w:rPr>
        <w:t xml:space="preserve">urente, con confine radicolare</w:t>
      </w:r>
      <w:r>
        <w:t xml:space="preserve">, o con alterazioni di sensibilità o forza, è sciatalgia catameniale, non riferito viscerale.</w:t>
      </w:r>
    </w:p>
    <w:p>
      <w:pPr>
        <w:pStyle w:val="BodyText"/>
      </w:pPr>
      <w:r>
        <w:rPr>
          <w:b/>
          <w:bCs/>
        </w:rPr>
        <w:t xml:space="preserve">Dolore al fianco monolaterale o riduzione della diuresi.</w:t>
      </w:r>
      <w:r>
        <w:t xml:space="preserve"> </w:t>
      </w:r>
      <w:r>
        <w:t xml:space="preserve">L’endometriosi dell’uretere ostruisce in silenzio, e il rene si perde senza dolore proporzionato. È la riga più insidiosa, perché il sintomo che porta è un dolore lombare unilaterale — cioè esattamente ciò che siamo abituati a trattare. E la stessa riga ha una seconda sorgente, che riguarda proprio le pazienti che sembrano più</w:t>
      </w:r>
      <w:r>
        <w:t xml:space="preserve"> </w:t>
      </w:r>
      <w:r>
        <w:t xml:space="preserve">“nostre”</w:t>
      </w:r>
      <w:r>
        <w:t xml:space="preserve">: nella donna già operata sull’uretere la</w:t>
      </w:r>
      <w:r>
        <w:t xml:space="preserve"> </w:t>
      </w:r>
      <w:r>
        <w:rPr>
          <w:b/>
          <w:bCs/>
        </w:rPr>
        <w:t xml:space="preserve">stenosi postoperatoria</w:t>
      </w:r>
      <w:r>
        <w:t xml:space="preserve"> </w:t>
      </w:r>
      <w:r>
        <w:t xml:space="preserve">riguarda una su quattro (Cunha 2021 — PMID 33253957).</w:t>
      </w:r>
    </w:p>
    <w:bookmarkEnd w:id="54"/>
    <w:bookmarkStart w:id="55" w:name="il-cancello-dingresso"/>
    <w:p>
      <w:pPr>
        <w:pStyle w:val="Heading3"/>
      </w:pPr>
      <w:r>
        <w:t xml:space="preserve">Il cancello d’ingresso</w:t>
      </w:r>
    </w:p>
    <w:p>
      <w:pPr>
        <w:pStyle w:val="FirstParagraph"/>
      </w:pPr>
      <w:r>
        <w:t xml:space="preserve">Il cancello non serve a stabilire se la paziente ha diritto al trattamento. Serve a stabilire</w:t>
      </w:r>
      <w:r>
        <w:t xml:space="preserve"> </w:t>
      </w:r>
      <w:r>
        <w:rPr>
          <w:b/>
          <w:bCs/>
        </w:rPr>
        <w:t xml:space="preserve">quale delle tre situazioni hai davanti</w:t>
      </w:r>
      <w:r>
        <w:t xml:space="preserve">, perché in ciascuna il tuo comportamento è diverso.</w:t>
      </w:r>
    </w:p>
    <w:p>
      <w:pPr>
        <w:pStyle w:val="BodyText"/>
      </w:pPr>
      <w:r>
        <w:rPr>
          <w:b/>
          <w:bCs/>
        </w:rPr>
        <w:t xml:space="preserve">Il mandato, su due piani.</w:t>
      </w:r>
      <w:r>
        <w:t xml:space="preserve"> </w:t>
      </w:r>
      <w:r>
        <w:t xml:space="preserve">Il mandato</w:t>
      </w:r>
      <w:r>
        <w:t xml:space="preserve"> </w:t>
      </w:r>
      <w:r>
        <w:rPr>
          <w:b/>
          <w:bCs/>
        </w:rPr>
        <w:t xml:space="preserve">clinico</w:t>
      </w:r>
      <w:r>
        <w:t xml:space="preserve"> </w:t>
      </w:r>
      <w:r>
        <w:t xml:space="preserve">— avere qualcosa da trattare oggi — nasce da un reperto disfunzionale documentato e da un marker scelto prima, con la soglia e la finestra dichiarate entro cui deve muoversi.</w:t>
      </w:r>
      <w:r>
        <w:t xml:space="preserve"> </w:t>
      </w:r>
      <w:r>
        <w:rPr>
          <w:b/>
          <w:bCs/>
        </w:rPr>
        <w:t xml:space="preserve">Senza quelli non hai un motivo per lavorare nemmeno con la diagnosi in mano</w:t>
      </w:r>
      <w:r>
        <w:t xml:space="preserve">, e qui la diagnosi ce l’hanno quasi tutte: è la seconda metà della frase che conta.</w:t>
      </w:r>
    </w:p>
    <w:p>
      <w:pPr>
        <w:pStyle w:val="BodyText"/>
      </w:pPr>
      <w:r>
        <w:t xml:space="preserve">La</w:t>
      </w:r>
      <w:r>
        <w:t xml:space="preserve"> </w:t>
      </w:r>
      <w:r>
        <w:rPr>
          <w:b/>
          <w:bCs/>
        </w:rPr>
        <w:t xml:space="preserve">cornice professionale</w:t>
      </w:r>
      <w:r>
        <w:t xml:space="preserve"> </w:t>
      </w:r>
      <w:r>
        <w:t xml:space="preserve">resta quella del profilo. Si opera in riferimento alla diagnosi di competenza medica. E quando l’inquadramento del sintomo manca, il canale medico si attiva</w:t>
      </w:r>
      <w:r>
        <w:t xml:space="preserve"> </w:t>
      </w:r>
      <w:r>
        <w:rPr>
          <w:b/>
          <w:bCs/>
        </w:rPr>
        <w:t xml:space="preserve">contestualmente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Non è la diagnosi della paziente — è il bersaglio del tuo lavoro.</w:t>
      </w:r>
    </w:p>
    <w:p>
      <w:pPr>
        <w:pStyle w:val="FirstParagraph"/>
      </w:pPr>
      <w:r>
        <w:rPr>
          <w:b/>
          <w:bCs/>
        </w:rPr>
        <w:t xml:space="preserve">Il contrappeso, attaccato al principio.</w:t>
      </w:r>
      <w:r>
        <w:t xml:space="preserve"> </w:t>
      </w:r>
      <w:r>
        <w:t xml:space="preserve">Un reperto positivo giustifica il tuo lavoro,</w:t>
      </w:r>
      <w:r>
        <w:t xml:space="preserve"> </w:t>
      </w:r>
      <w:r>
        <w:rPr>
          <w:b/>
          <w:bCs/>
        </w:rPr>
        <w:t xml:space="preserve">non sostituisce l’inquadramento medico</w:t>
      </w:r>
      <w:r>
        <w:t xml:space="preserve">. Una parete iperalgesica significa che hai qualcosa da trattare, non che sai cosa ha la paziente. Le due cose convivono, e vanno dette alla paziente come conviventi.</w:t>
      </w:r>
    </w:p>
    <w:p>
      <w:pPr>
        <w:pStyle w:val="BodyText"/>
      </w:pPr>
      <w:r>
        <w:rPr>
          <w:b/>
          <w:bCs/>
        </w:rPr>
        <w:t xml:space="preserve">🔴 ROSSO — Stop.</w:t>
      </w:r>
      <w:r>
        <w:t xml:space="preserve"> </w:t>
      </w:r>
      <w:r>
        <w:t xml:space="preserve">Basta una sola bandiera rossa fra le righe con uscita ROSSO. Non si apre un ciclo e non si rimanda alla prossima seduta. La paziente esce con un’indicazione medica</w:t>
      </w:r>
      <w:r>
        <w:t xml:space="preserve"> </w:t>
      </w:r>
      <w:r>
        <w:rPr>
          <w:b/>
          <w:bCs/>
        </w:rPr>
        <w:t xml:space="preserve">esplicita e scritta</w:t>
      </w:r>
      <w:r>
        <w:t xml:space="preserve">, e con i tempi dichiarati. Nessun reperto positivo scavalca questa uscita.</w:t>
      </w:r>
    </w:p>
    <w:p>
      <w:pPr>
        <w:pStyle w:val="BodyText"/>
      </w:pPr>
      <w:r>
        <w:t xml:space="preserve">L’uscita rossa si spezza in due, e la distinzione non è formale.</w:t>
      </w:r>
    </w:p>
    <w:p>
      <w:pPr>
        <w:pStyle w:val="Compact"/>
        <w:numPr>
          <w:ilvl w:val="0"/>
          <w:numId w:val="1023"/>
        </w:numPr>
      </w:pPr>
      <w:r>
        <w:rPr>
          <w:b/>
          <w:bCs/>
        </w:rPr>
        <w:t xml:space="preserve">Righe con tempo 112 o Urgente.</w:t>
      </w:r>
      <w:r>
        <w:t xml:space="preserve"> </w:t>
      </w:r>
      <w:r>
        <w:rPr>
          <w:b/>
          <w:bCs/>
        </w:rPr>
        <w:t xml:space="preserve">Non si tratta nulla, di nessun tipo, in quella seduta.</w:t>
      </w:r>
      <w:r>
        <w:t xml:space="preserve"> </w:t>
      </w:r>
      <w:r>
        <w:t xml:space="preserve">Nessuna disfunzione somatica vale i minuti spesi davanti a un sospetto di gravidanza ectopica, occlusione, embolia o ritenzione urinaria: si accompagna fuori, si scrive l’indicazione, si chiude. Un trattamento erogato nella stessa seduta di uno di quei quadri è indifendibile a posteriori.</w:t>
      </w:r>
    </w:p>
    <w:p>
      <w:pPr>
        <w:pStyle w:val="Compact"/>
        <w:numPr>
          <w:ilvl w:val="0"/>
          <w:numId w:val="1023"/>
        </w:numPr>
      </w:pPr>
      <w:r>
        <w:rPr>
          <w:b/>
          <w:bCs/>
        </w:rPr>
        <w:t xml:space="preserve">Righe con tempo «Invio, non attendere».</w:t>
      </w:r>
      <w:r>
        <w:t xml:space="preserve"> </w:t>
      </w:r>
      <w:r>
        <w:t xml:space="preserve">Qui una</w:t>
      </w:r>
      <w:r>
        <w:t xml:space="preserve"> </w:t>
      </w:r>
      <w:r>
        <w:rPr>
          <w:b/>
          <w:bCs/>
        </w:rPr>
        <w:t xml:space="preserve">disfunzione somatica</w:t>
      </w:r>
      <w:r>
        <w:t xml:space="preserve"> </w:t>
      </w:r>
      <w:r>
        <w:t xml:space="preserve">autonoma e distante dal quadro pelvico si può trattare. Ma in una seduta successiva, e solo dopo che l’invio è avvenuto e ne hai conferma scritta, dichiarando che il sintomo pelvico</w:t>
      </w:r>
      <w:r>
        <w:t xml:space="preserve"> </w:t>
      </w:r>
      <w:r>
        <w:rPr>
          <w:b/>
          <w:bCs/>
        </w:rPr>
        <w:t xml:space="preserve">non è il bersaglio</w:t>
      </w:r>
      <w:r>
        <w:t xml:space="preserv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riconoscibile all’esame manuale ed è una descrizione di funzione, non una diagnosi di malattia.</w:t>
      </w:r>
    </w:p>
    <w:p>
      <w:pPr>
        <w:pStyle w:val="FirstParagraph"/>
      </w:pPr>
      <w:r>
        <w:rPr>
          <w:b/>
          <w:bCs/>
        </w:rPr>
        <w:t xml:space="preserve">🟡 GIALLO — Si lavora, in parallelo.</w:t>
      </w:r>
      <w:r>
        <w:t xml:space="preserve"> </w:t>
      </w:r>
      <w:r>
        <w:t xml:space="preserve">Nessuna bandiera rossa, inquadramento del sintomo assente o incompleto.</w:t>
      </w:r>
      <w:r>
        <w:t xml:space="preserve"> </w:t>
      </w:r>
      <w:r>
        <w:rPr>
          <w:b/>
          <w:bCs/>
        </w:rPr>
        <w:t xml:space="preserve">È la situazione più frequente, e non è un motivo per rimandare fuori la paziente.</w:t>
      </w:r>
      <w:r>
        <w:t xml:space="preserve"> </w:t>
      </w:r>
      <w:r>
        <w:t xml:space="preserve">Quattro condizioni, tutte verificabili.</w:t>
      </w:r>
    </w:p>
    <w:p>
      <w:pPr>
        <w:pStyle w:val="Compact"/>
        <w:numPr>
          <w:ilvl w:val="0"/>
          <w:numId w:val="1024"/>
        </w:numPr>
      </w:pPr>
      <w:r>
        <w:rPr>
          <w:b/>
          <w:bCs/>
        </w:rPr>
        <w:t xml:space="preserve">Un reperto tuo, positivo e scritto in cartella.</w:t>
      </w:r>
      <w:r>
        <w:t xml:space="preserve"> </w:t>
      </w:r>
      <w:r>
        <w:t xml:space="preserve">Non</w:t>
      </w:r>
      <w:r>
        <w:t xml:space="preserve"> </w:t>
      </w:r>
      <w:r>
        <w:t xml:space="preserve">“ha l’endometriosi”</w:t>
      </w:r>
      <w:r>
        <w:t xml:space="preserve">, ma la grandezza che hai prodotto: soglia algometrica sui quattro punti della parete, escursione lombare in centimetri, numero di test di provocazione positivi.</w:t>
      </w:r>
    </w:p>
    <w:p>
      <w:pPr>
        <w:pStyle w:val="Compact"/>
        <w:numPr>
          <w:ilvl w:val="0"/>
          <w:numId w:val="1024"/>
        </w:numPr>
      </w:pPr>
      <w:r>
        <w:rPr>
          <w:b/>
          <w:bCs/>
        </w:rPr>
        <w:t xml:space="preserve">La paziente sa cosa tratti e cosa no.</w:t>
      </w:r>
      <w:r>
        <w:t xml:space="preserve"> </w:t>
      </w:r>
      <w:r>
        <w:t xml:space="preserve">Frase da usare:</w:t>
      </w:r>
      <w:r>
        <w:t xml:space="preserve"> </w:t>
      </w:r>
      <w:r>
        <w:rPr>
          <w:i/>
          <w:iCs/>
        </w:rPr>
        <w:t xml:space="preserve">«io lavoro sulla parete addominale, sulla zona lombo-sacrale e sul respiro, che è la parte che ho trovato alterata. L’endometriosi resta in carico al tuo ginecologo, e nel frattempo io non aspetto.»</w:t>
      </w:r>
    </w:p>
    <w:p>
      <w:pPr>
        <w:pStyle w:val="Compact"/>
        <w:numPr>
          <w:ilvl w:val="0"/>
          <w:numId w:val="1024"/>
        </w:numPr>
      </w:pPr>
      <w:r>
        <w:rPr>
          <w:b/>
          <w:bCs/>
        </w:rPr>
        <w:t xml:space="preserve">Canale medico attivato senza interrompere il lavoro.</w:t>
      </w:r>
      <w:r>
        <w:t xml:space="preserve"> </w:t>
      </w:r>
      <w:r>
        <w:t xml:space="preserve">Una comunicazione scritta al ginecologo o al curante, non un rinvio affidato alla paziente. Su questa condizione la comunicazione contiene anche la proposta di rinvio alla fisioterapia pelvi-perineale, quando il pattern miofasciale pelvico è quello dominante.</w:t>
      </w:r>
    </w:p>
    <w:p>
      <w:pPr>
        <w:pStyle w:val="Compact"/>
        <w:numPr>
          <w:ilvl w:val="0"/>
          <w:numId w:val="1024"/>
        </w:numPr>
      </w:pPr>
      <w:r>
        <w:rPr>
          <w:b/>
          <w:bCs/>
        </w:rPr>
        <w:t xml:space="preserve">Tempo definito, in calendario e non in sedute.</w:t>
      </w:r>
      <w:r>
        <w:t xml:space="preserve"> </w:t>
      </w:r>
      <w:r>
        <w:t xml:space="preserve">La data della revisione si scrive il giorno in cui si apre il GIALLO, e cade</w:t>
      </w:r>
      <w:r>
        <w:t xml:space="preserve"> </w:t>
      </w:r>
      <w:r>
        <w:rPr>
          <w:b/>
          <w:bCs/>
        </w:rPr>
        <w:t xml:space="preserve">entro otto settimane</w:t>
      </w:r>
      <w:r>
        <w:t xml:space="preserve"> </w:t>
      </w:r>
      <w:r>
        <w:t xml:space="preserve">— due cicli — qualunque sia il numero di sedute. Nel</w:t>
      </w:r>
      <w:r>
        <w:t xml:space="preserve"> </w:t>
      </w:r>
      <w:r>
        <w:rPr>
          <w:b/>
          <w:bCs/>
        </w:rPr>
        <w:t xml:space="preserve">GIALLO PRIORITARIO</w:t>
      </w:r>
      <w:r>
        <w:t xml:space="preserve"> </w:t>
      </w:r>
      <w:r>
        <w:t xml:space="preserve">il tetto si dimezza a</w:t>
      </w:r>
      <w:r>
        <w:t xml:space="preserve"> </w:t>
      </w:r>
      <w:r>
        <w:rPr>
          <w:b/>
          <w:bCs/>
        </w:rPr>
        <w:t xml:space="preserve">quattro settimane</w:t>
      </w:r>
      <w:r>
        <w:t xml:space="preserve">, ed è il tempo che dai al canale medico, non alla tua leva. E vale il vincolo che il capitolo dei sottotipi dà alla «malattia attiva non controllata»:</w:t>
      </w:r>
      <w:r>
        <w:t xml:space="preserve"> </w:t>
      </w:r>
      <w:r>
        <w:rPr>
          <w:b/>
          <w:bCs/>
        </w:rPr>
        <w:t xml:space="preserve">nessun ciclo aperto sul sintomo pelvico</w:t>
      </w:r>
      <w:r>
        <w:t xml:space="preserve">, invio subito e per iscritto, e in quelle settimane si tratta soltanto ciò che non appartiene al quadro in peggioramento.</w:t>
      </w:r>
    </w:p>
    <w:p>
      <w:pPr>
        <w:pStyle w:val="FirstParagraph"/>
      </w:pPr>
      <w:r>
        <w:rPr>
          <w:b/>
          <w:bCs/>
        </w:rPr>
        <w:t xml:space="preserve">Se il tempo scade e i marker non si sono mossi</w:t>
      </w:r>
      <w:r>
        <w:t xml:space="preserve">, non è una rinuncia: è un’informazione. Il tuo reperto non era quello che comandava, e la spinta sul canale medico da parallela diventa prioritaria.</w:t>
      </w:r>
    </w:p>
    <w:p>
      <w:pPr>
        <w:pStyle w:val="BodyText"/>
      </w:pPr>
      <w:r>
        <w:rPr>
          <w:b/>
          <w:bCs/>
        </w:rPr>
        <w:t xml:space="preserve">🟢 VERDE — Si procede.</w:t>
      </w:r>
      <w:r>
        <w:t xml:space="preserve"> </w:t>
      </w:r>
      <w:r>
        <w:t xml:space="preserve">Nessuna bandiera rossa. E qui viene la particolarità di questa condizione.</w:t>
      </w:r>
    </w:p>
    <w:p>
      <w:pPr>
        <w:pStyle w:val="BodyText"/>
      </w:pPr>
      <w:r>
        <w:rPr>
          <w:b/>
          <w:bCs/>
        </w:rPr>
        <w:t xml:space="preserve">Avere la diagnosi non apre il verde, e un esame negativo non la chiude.</w:t>
      </w:r>
      <w:r>
        <w:t xml:space="preserve"> </w:t>
      </w:r>
      <w:r>
        <w:t xml:space="preserve">Sono due errori simmetrici. Il primo: la diagnosi dice che la malattia c’è, non che il dolore che stai per trattare è stato inquadrato — le soglie di Grundström non differivano fra biopsia positiva e negativa, in un confronto troppo piccolo per escludere una differenza (PMID 30472739). Il secondo: un’ecografia normale non esclude niente, per raccomandazione forte della linea guida europea (Becker 2022 — PMID 35350465) e indicazione esplicita di quella inglese (NICE NG73).</w:t>
      </w:r>
    </w:p>
    <w:p>
      <w:pPr>
        <w:pStyle w:val="BodyText"/>
      </w:pPr>
      <w:r>
        <w:t xml:space="preserve">Il VERDE si apre su una fra tre condizioni. Una</w:t>
      </w:r>
      <w:r>
        <w:t xml:space="preserve"> </w:t>
      </w:r>
      <w:r>
        <w:rPr>
          <w:b/>
          <w:bCs/>
        </w:rPr>
        <w:t xml:space="preserve">valutazione ginecologica documentata in cui il quadro doloroso attuale è stato rivisto</w:t>
      </w:r>
      <w:r>
        <w:t xml:space="preserve">, con un piano terapeutico in corso. Un</w:t>
      </w:r>
      <w:r>
        <w:t xml:space="preserve"> </w:t>
      </w:r>
      <w:r>
        <w:rPr>
          <w:b/>
          <w:bCs/>
        </w:rPr>
        <w:t xml:space="preserve">percorso specialistico attivo</w:t>
      </w:r>
      <w:r>
        <w:t xml:space="preserve"> </w:t>
      </w:r>
      <w:r>
        <w:t xml:space="preserve">presso un centro con competenza sull’endometriosi. Un</w:t>
      </w:r>
      <w:r>
        <w:t xml:space="preserve"> </w:t>
      </w:r>
      <w:r>
        <w:rPr>
          <w:b/>
          <w:bCs/>
        </w:rPr>
        <w:t xml:space="preserve">follow-up post-operatorio documentato</w:t>
      </w:r>
      <w:r>
        <w:t xml:space="preserve">, con la data dell’ultimo controllo entro l’anno.</w:t>
      </w:r>
    </w:p>
    <w:p>
      <w:pPr>
        <w:pStyle w:val="BodyText"/>
      </w:pPr>
      <w:r>
        <w:t xml:space="preserve">La paziente che porta solo un referto — anche una risonanza dettagliata — e nessuna rivalutazione recente del dolore è un GIALLO. E il VERDE si scrive come si scrivono le altre due uscite: in cartella si annota</w:t>
      </w:r>
      <w:r>
        <w:t xml:space="preserve"> </w:t>
      </w:r>
      <w:r>
        <w:rPr>
          <w:b/>
          <w:bCs/>
        </w:rPr>
        <w:t xml:space="preserve">quale</w:t>
      </w:r>
      <w:r>
        <w:t xml:space="preserve"> </w:t>
      </w:r>
      <w:r>
        <w:t xml:space="preserve">dei tre criteri lo apre, con quale data e su quale documento visto.</w:t>
      </w:r>
    </w:p>
    <w:p>
      <w:pPr>
        <w:pStyle w:val="BodyText"/>
      </w:pPr>
      <w:r>
        <w:rPr>
          <w:b/>
          <w:bCs/>
        </w:rPr>
        <w:t xml:space="preserve">Perché tre uscite e non due, qui più che altrove.</w:t>
      </w:r>
      <w:r>
        <w:t xml:space="preserve"> </w:t>
      </w:r>
      <w:r>
        <w:rPr>
          <w:b/>
          <w:bCs/>
        </w:rPr>
        <w:t xml:space="preserve">La diagnosi della malattia ce l’hanno quasi tutte.</w:t>
      </w:r>
      <w:r>
        <w:t xml:space="preserve"> </w:t>
      </w:r>
      <w:r>
        <w:t xml:space="preserve">Un cancello binario avrebbe aperto il verde a tutte, scambiando la diagnosi che hanno per l’inquadramento del dolore che non hanno.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dolore cambia carattere, sede o intensità rispetto all’ultima valutazione medica. Un quadro che cambia forma</w:t>
      </w:r>
      <w:r>
        <w:t xml:space="preserve"> </w:t>
      </w:r>
      <w:r>
        <w:rPr>
          <w:b/>
          <w:bCs/>
        </w:rPr>
        <w:t xml:space="preserve">torna al triage, dall’inizio</w:t>
      </w:r>
      <w:r>
        <w:t xml:space="preserve">.</w:t>
      </w:r>
    </w:p>
    <w:bookmarkEnd w:id="55"/>
    <w:bookmarkStart w:id="56" w:name="X5ac40c5b49b381f25386d880c1ce462e8995bb5"/>
    <w:p>
      <w:pPr>
        <w:pStyle w:val="Heading3"/>
      </w:pPr>
      <w:r>
        <w:t xml:space="preserve">Cosa fanno i farmaci che prende, e perché non li commenti</w:t>
      </w:r>
    </w:p>
    <w:p>
      <w:pPr>
        <w:pStyle w:val="FirstParagraph"/>
      </w:pPr>
      <w:r>
        <w:t xml:space="preserve">Cosa fa ciascuna classe, e quanta densità ossea toglie, sta nel filtro del Passo 0 in «Come ragiono davanti a questa paziente». Una riga in più vale la pena qui: la linea guida europea raccomanda in modo forte di affiancare all’agonista del GnRH una piccola dose ormonale di ritorno — la</w:t>
      </w:r>
      <w:r>
        <w:t xml:space="preserve"> </w:t>
      </w:r>
      <w:r>
        <w:rPr>
          <w:b/>
          <w:bCs/>
        </w:rPr>
        <w:t xml:space="preserve">terapia add-back</w:t>
      </w:r>
      <w:r>
        <w:t xml:space="preserve"> </w:t>
      </w:r>
      <w:r>
        <w:t xml:space="preserve">— proprio per prevenire la perdita ossea.</w:t>
      </w:r>
    </w:p>
    <w:p>
      <w:pPr>
        <w:pStyle w:val="BodyText"/>
      </w:pPr>
      <w:r>
        <w:t xml:space="preserve">È informazione, non controindicazione, e serve a una cosa sola: capire quale parte del quadro il farmaco sta già coprendo, e dove resta lo spazio. Cambia un solo gesto: la donna di trent’anni in terapia ormonale di fondo da più di un anno ha un rachide che non è quello della sua età.</w:t>
      </w:r>
    </w:p>
    <w:p>
      <w:pPr>
        <w:pStyle w:val="BodyText"/>
      </w:pPr>
      <w:r>
        <w:rPr>
          <w:b/>
          <w:bCs/>
        </w:rPr>
        <w:t xml:space="preserve">Nessuna valutazione, nessun suggerimento di modifica, nessuna frase sulla dose o sulla durata, nemmeno in forma dubitativa.</w:t>
      </w:r>
      <w:r>
        <w:t xml:space="preserve"> </w:t>
      </w:r>
      <w:r>
        <w:t xml:space="preserve">Decide il prescrittore.</w:t>
      </w:r>
    </w:p>
    <w:bookmarkEnd w:id="56"/>
    <w:bookmarkStart w:id="57" w:name="X1ac5a1b3cdf7e22e51df529af64ae60c55cc369"/>
    <w:p>
      <w:pPr>
        <w:pStyle w:val="Heading3"/>
      </w:pPr>
      <w:r>
        <w:t xml:space="preserve">Cosa dichiari nel consenso, su questa condizione</w:t>
      </w:r>
    </w:p>
    <w:p>
      <w:pPr>
        <w:pStyle w:val="FirstParagraph"/>
      </w:pPr>
      <w:r>
        <w:t xml:space="preserve">Quattro righe che qui aggiungi e in un’altra Bibbia non scriveresti:</w:t>
      </w:r>
    </w:p>
    <w:p>
      <w:pPr>
        <w:pStyle w:val="Compact"/>
        <w:numPr>
          <w:ilvl w:val="0"/>
          <w:numId w:val="1025"/>
        </w:numPr>
      </w:pPr>
      <w:r>
        <w:rPr>
          <w:b/>
          <w:bCs/>
        </w:rPr>
        <w:t xml:space="preserve">L’oggetto del trattamento è la componente muscolo-scheletrica e miofasciale che ho trovato — parete addominale, complesso lombo-sacrale, diaframma — non l’endometriosi.</w:t>
      </w:r>
      <w:r>
        <w:t xml:space="preserve"> </w:t>
      </w:r>
      <w:r>
        <w:t xml:space="preserve">Il trattamento non modifica le lesioni.</w:t>
      </w:r>
    </w:p>
    <w:p>
      <w:pPr>
        <w:pStyle w:val="Compact"/>
        <w:numPr>
          <w:ilvl w:val="0"/>
          <w:numId w:val="1025"/>
        </w:numPr>
      </w:pPr>
      <w:r>
        <w:rPr>
          <w:b/>
          <w:bCs/>
        </w:rPr>
        <w:t xml:space="preserve">Il lavoro è esclusivamente esterno.</w:t>
      </w:r>
      <w:r>
        <w:t xml:space="preserve"> </w:t>
      </w:r>
      <w:r>
        <w:t xml:space="preserve">Nessuna manovra per via vaginale o rettale, in nessuna circostanza.</w:t>
      </w:r>
    </w:p>
    <w:p>
      <w:pPr>
        <w:pStyle w:val="Compact"/>
        <w:numPr>
          <w:ilvl w:val="0"/>
          <w:numId w:val="1025"/>
        </w:numPr>
      </w:pPr>
      <w:r>
        <w:rPr>
          <w:b/>
          <w:bCs/>
        </w:rPr>
        <w:t xml:space="preserve">La valutazione osteopatica non stabilisce l’estensione né l’attività della malattia</w:t>
      </w:r>
      <w:r>
        <w:t xml:space="preserve">, e non sostituisce nessun controllo ginecologico programmato.</w:t>
      </w:r>
    </w:p>
    <w:p>
      <w:pPr>
        <w:pStyle w:val="Compact"/>
        <w:numPr>
          <w:ilvl w:val="0"/>
          <w:numId w:val="1025"/>
        </w:numPr>
      </w:pPr>
      <w:r>
        <w:rPr>
          <w:b/>
          <w:bCs/>
        </w:rPr>
        <w:t xml:space="preserve">Il contatto sull’addome, sul bacino e sulla regione lombo-sacrale è parte del trattamento</w:t>
      </w:r>
      <w:r>
        <w:t xml:space="preserve">: si dichiara prima di iniziare, si spiega ogni passaggio, e si interrompe su richiesta in qualsiasi momento.</w:t>
      </w:r>
    </w:p>
    <w:p>
      <w:pPr>
        <w:pStyle w:val="Compact"/>
        <w:numPr>
          <w:ilvl w:val="0"/>
          <w:numId w:val="1025"/>
        </w:numPr>
      </w:pPr>
      <w:r>
        <w:rPr>
          <w:b/>
          <w:bCs/>
        </w:rPr>
        <w:t xml:space="preserve">Se trovo qualcosa che serve al tuo ginecologo, al tuo medico o a una fisioterapista pelvi-perineale, glielo scrivo.</w:t>
      </w:r>
      <w:r>
        <w:t xml:space="preserve"> </w:t>
      </w:r>
      <w:r>
        <w:t xml:space="preserve">Ti dico prima a chi scrivo e cosa scrivo, incluso quello che riguarda i rapporti, e senza il tuo sì non parte niente. Senza questa riga, la comunicazione scritta che il GIALLO impone non è coperta da nulla.</w:t>
      </w:r>
    </w:p>
    <w:bookmarkEnd w:id="57"/>
    <w:bookmarkStart w:id="58" w:name="X981d4ada8bad081246fe7079d0331a602675b7a"/>
    <w:p>
      <w:pPr>
        <w:pStyle w:val="Heading3"/>
      </w:pPr>
      <w:r>
        <w:t xml:space="preserve">Il confine di atto, dove questa condizione lo mette alla prova</w:t>
      </w:r>
    </w:p>
    <w:p>
      <w:pPr>
        <w:pStyle w:val="FirstParagraph"/>
      </w:pPr>
      <w:r>
        <w:t xml:space="preserve">Il perimetro non si definisce sul gesto: si definisce sull’</w:t>
      </w:r>
      <w:r>
        <w:rPr>
          <w:b/>
          <w:bCs/>
        </w:rPr>
        <w:t xml:space="preserve">unità in cui scrivi l’esito</w:t>
      </w:r>
      <w:r>
        <w:t xml:space="preserve">.</w:t>
      </w:r>
    </w:p>
    <w:p>
      <w:pPr>
        <w:pStyle w:val="BodyText"/>
      </w:pPr>
      <w:r>
        <w:rPr>
          <w:i/>
          <w:iCs/>
        </w:rPr>
        <w:t xml:space="preserve">Produrre una misura ginecologica</w:t>
      </w:r>
      <w:r>
        <w:t xml:space="preserve"> </w:t>
      </w:r>
      <w:r>
        <w:t xml:space="preserve">è fuori. Nessuna valutazione interna. Nessun giudizio su posizione o mobilità dell’utero espresso come dato. Nessuna affermazione su cisti, aderenze o attività della malattia. Il DPR 131/2021 definisce l’atto osteopatico come costituito da tecniche esclusivamente manuali, non invasive ed</w:t>
      </w:r>
      <w:r>
        <w:t xml:space="preserve"> </w:t>
      </w:r>
      <w:r>
        <w:rPr>
          <w:b/>
          <w:bCs/>
        </w:rPr>
        <w:t xml:space="preserve">esterne</w:t>
      </w:r>
      <w:r>
        <w:t xml:space="preserve">, e riserva la diagnosi al medico.</w:t>
      </w:r>
      <w:r>
        <w:t xml:space="preserve"> </w:t>
      </w:r>
      <w:r>
        <w:rPr>
          <w:b/>
          <w:bCs/>
        </w:rPr>
        <w:t xml:space="preserve">Nessuna manovra interna, vaginale o rettale. Non è materia di consenso: è fuori dal profilo</w:t>
      </w:r>
      <w:r>
        <w:t xml:space="preserve"> </w:t>
      </w:r>
      <w:r>
        <w:t xml:space="preserve">— e qui morde più che altrove, perché è lì che sta il bersaglio meglio dimostrato.</w:t>
      </w:r>
    </w:p>
    <w:p>
      <w:pPr>
        <w:pStyle w:val="BodyText"/>
      </w:pPr>
      <w:r>
        <w:rPr>
          <w:i/>
          <w:iCs/>
        </w:rPr>
        <w:t xml:space="preserve">Provocare una risposta</w:t>
      </w:r>
      <w:r>
        <w:t xml:space="preserve"> </w:t>
      </w:r>
      <w:r>
        <w:t xml:space="preserve">è nostro. Palpare la parete dall’esterno per vedere se riproduce il sintomo è un test, e il suo esito si scrive nell’unità del marker: chilopascal, centimetri, riconoscimento sì o no.</w:t>
      </w:r>
      <w:r>
        <w:t xml:space="preserve"> </w:t>
      </w:r>
      <w:r>
        <w:rPr>
          <w:b/>
          <w:bCs/>
        </w:rPr>
        <w:t xml:space="preserve">Mai in unità ginecologiche.</w:t>
      </w:r>
    </w:p>
    <w:p>
      <w:pPr>
        <w:pStyle w:val="BodyText"/>
      </w:pPr>
      <w:r>
        <w:t xml:space="preserve">E tre frasi che sconfinerebbero.</w:t>
      </w:r>
      <w:r>
        <w:t xml:space="preserve"> </w:t>
      </w:r>
      <w:r>
        <w:rPr>
          <w:i/>
          <w:iCs/>
        </w:rPr>
        <w:t xml:space="preserve">“Questa manovra scioglie le aderenze”</w:t>
      </w:r>
      <w:r>
        <w:t xml:space="preserve">: è un effetto su una struttura che nessuno ha misurato con le mani.</w:t>
      </w:r>
      <w:r>
        <w:t xml:space="preserve"> </w:t>
      </w:r>
      <w:r>
        <w:rPr>
          <w:i/>
          <w:iCs/>
        </w:rPr>
        <w:t xml:space="preserve">“La risonanza dice che la malattia è ferma, quindi il dolore è muscolare”</w:t>
      </w:r>
      <w:r>
        <w:t xml:space="preserve">: è lettura di referto.</w:t>
      </w:r>
      <w:r>
        <w:t xml:space="preserve"> </w:t>
      </w:r>
      <w:r>
        <w:rPr>
          <w:i/>
          <w:iCs/>
        </w:rPr>
        <w:t xml:space="preserve">“Con questo lavoro puoi ridurre la terapia”</w:t>
      </w:r>
      <w:r>
        <w:t xml:space="preserve">: è un’indicazione su un farmaco, ed è la più grave delle tre.</w:t>
      </w:r>
    </w:p>
    <w:bookmarkEnd w:id="58"/>
    <w:bookmarkStart w:id="59" w:name="il-rapporto-con-il-prescrittore"/>
    <w:p>
      <w:pPr>
        <w:pStyle w:val="Heading3"/>
      </w:pPr>
      <w:r>
        <w:t xml:space="preserve">Il rapporto con il prescrittore</w:t>
      </w:r>
    </w:p>
    <w:p>
      <w:pPr>
        <w:pStyle w:val="FirstParagraph"/>
      </w:pPr>
      <w:r>
        <w:t xml:space="preserve">Il ginecologo ha in carico la malattia e la terapia. Tu hai una componente che lui non misura. La comunicazione scritta contiene tre cose e nient’altro: cosa hai trovato, in quale unità l’hai misurato, e quale elemento del racconto ti ha fatto scrivere. Nessuna ipotesi diagnostica, nessun commento sulla terapia.</w:t>
      </w:r>
    </w:p>
    <w:p>
      <w:pPr>
        <w:pStyle w:val="BodyText"/>
      </w:pPr>
      <w:r>
        <w:t xml:space="preserve">C’è un secondo destinatario, e su questa condizione conta quanto il primo: la</w:t>
      </w:r>
      <w:r>
        <w:t xml:space="preserve"> </w:t>
      </w:r>
      <w:r>
        <w:rPr>
          <w:b/>
          <w:bCs/>
        </w:rPr>
        <w:t xml:space="preserve">fisioterapista pelvi-perineale</w:t>
      </w:r>
      <w:r>
        <w:t xml:space="preserve">. Quando il pattern dominante è miofasciale pelvico, il rinvio non è una cortesia. È il modo in cui quella paziente arriva all’intervento con la prova randomizzata migliore del quadro.</w:t>
      </w:r>
    </w:p>
    <w:p>
      <w:pPr>
        <w:pStyle w:val="BodyText"/>
      </w:pPr>
      <w:r>
        <w:t xml:space="preserve">E ce n’è un terzo, raro e da conoscere: la</w:t>
      </w:r>
      <w:r>
        <w:t xml:space="preserve"> </w:t>
      </w:r>
      <w:r>
        <w:rPr>
          <w:b/>
          <w:bCs/>
        </w:rPr>
        <w:t xml:space="preserve">terapia del dolore o la chirurgia della parete</w:t>
      </w:r>
      <w:r>
        <w:t xml:space="preserve">. Vale quando il punto è unico, puntiforme, urente, con Carnett positivo — il profilo dell’ACNES — e il marker non si è mosso entro la finestra dichiarata.</w:t>
      </w:r>
    </w:p>
    <w:p>
      <w:pPr>
        <w:pStyle w:val="BodyText"/>
      </w:pPr>
      <w:r>
        <w:rPr>
          <w:b/>
          <w:bCs/>
        </w:rPr>
        <w:t xml:space="preserve">Le tre cose da ricordare, più una</w:t>
      </w:r>
    </w:p>
    <w:p>
      <w:pPr>
        <w:pStyle w:val="Compact"/>
        <w:numPr>
          <w:ilvl w:val="0"/>
          <w:numId w:val="1026"/>
        </w:numPr>
      </w:pPr>
      <w:r>
        <w:t xml:space="preserve">Avere la diagnosi non apre il verde e un esame negativo non chiude niente: sono due errori simmetrici, e il primo è quello che farai tu.</w:t>
      </w:r>
    </w:p>
    <w:p>
      <w:pPr>
        <w:pStyle w:val="Compact"/>
        <w:numPr>
          <w:ilvl w:val="0"/>
          <w:numId w:val="1026"/>
        </w:numPr>
      </w:pPr>
      <w:r>
        <w:t xml:space="preserve">Nessuna manovra interna, mai: qui il confine non è una cautela, è il profilo professionale.</w:t>
      </w:r>
    </w:p>
    <w:p>
      <w:pPr>
        <w:pStyle w:val="Compact"/>
        <w:numPr>
          <w:ilvl w:val="0"/>
          <w:numId w:val="1026"/>
        </w:numPr>
      </w:pPr>
      <w:r>
        <w:t xml:space="preserve">Dolore ciclico alla spalla, al fianco, o sangue nelle urine e nelle feci: tre righe che sembrano nostre e non lo sono.</w:t>
      </w:r>
    </w:p>
    <w:p>
      <w:pPr>
        <w:pStyle w:val="Compact"/>
        <w:numPr>
          <w:ilvl w:val="0"/>
          <w:numId w:val="1026"/>
        </w:numPr>
      </w:pPr>
      <w:r>
        <w:rPr>
          <w:b/>
          <w:bCs/>
        </w:rPr>
        <w:t xml:space="preserve">Perché ci sei tu.</w:t>
      </w:r>
      <w:r>
        <w:t xml:space="preserve"> </w:t>
      </w:r>
      <w:r>
        <w:t xml:space="preserve">L’obliterazione del cavo del Douglas è presente in circa un quarto delle pazienti di un centro di riferimento, si riconosce con il segno dello scorrimento in ecografia transvaginale, e un ecografista già esperto impiega circa quaranta esami per diventare affidabile nel vederla (Tammaa e Hudelist,</w:t>
      </w:r>
      <w:r>
        <w:t xml:space="preserve"> </w:t>
      </w:r>
      <w:r>
        <w:rPr>
          <w:i/>
          <w:iCs/>
        </w:rPr>
        <w:t xml:space="preserve">Hum Reprod</w:t>
      </w:r>
      <w:r>
        <w:t xml:space="preserve"> </w:t>
      </w:r>
      <w:r>
        <w:t xml:space="preserve">2014, 121 pazienti — PMID 24777849). Su questo reperto non ci sei: quel dato ti autorizza a sospettare la componente aderenziale dal racconto e dal comportamento del dolore, e a chiederne conto al ginecologo. Non ti autorizza a dire che l’hai trovata, né che l’hai sciolta.</w:t>
      </w:r>
    </w:p>
    <w:p>
      <w:r>
        <w:pict>
          <v:rect style="width:0;height:1.5pt" o:hralign="center" o:hrstd="t" o:hr="t"/>
        </w:pict>
      </w:r>
    </w:p>
    <w:bookmarkEnd w:id="59"/>
    <w:bookmarkEnd w:id="60"/>
    <w:bookmarkStart w:id="66"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il meccanismo è misurato bene e l’effetto delle nostre mani non è misurato affatto, ed è la configurazione più difficile da raccontare con onestà.</w:t>
      </w:r>
    </w:p>
    <w:bookmarkStart w:id="61" w:name="le-due-ancore"/>
    <w:p>
      <w:pPr>
        <w:pStyle w:val="Heading3"/>
      </w:pPr>
      <w:r>
        <w:t xml:space="preserve">Le due ancore</w:t>
      </w:r>
    </w:p>
    <w:p>
      <w:pPr>
        <w:pStyle w:val="FirstParagraph"/>
      </w:pPr>
      <w:r>
        <w:t xml:space="preserve">Su questa condizione non esiste un ricercatore-ancora che abbia validato il trattamento osteopatico. Dichiararlo è più forte che gonfiare. Le ancore quindi sono due.</w:t>
      </w:r>
    </w:p>
    <w:p>
      <w:pPr>
        <w:pStyle w:val="BodyText"/>
      </w:pPr>
      <w:r>
        <w:rPr>
          <w:b/>
          <w:bCs/>
        </w:rPr>
        <w:t xml:space="preserve">L’ancora clinica — Simona Del Forno e il gruppo di Renato Seracchioli</w:t>
      </w:r>
      <w:r>
        <w:t xml:space="preserve">, Policlinico Sant’Orsola, Università di Bologna. È il gruppo dell’unico studio randomizzato con un esito</w:t>
      </w:r>
      <w:r>
        <w:t xml:space="preserve"> </w:t>
      </w:r>
      <w:r>
        <w:rPr>
          <w:b/>
          <w:bCs/>
        </w:rPr>
        <w:t xml:space="preserve">strumentale</w:t>
      </w:r>
      <w:r>
        <w:t xml:space="preserve"> </w:t>
      </w:r>
      <w:r>
        <w:t xml:space="preserve">sulla terapia fisica in questa condizione. Disegno e limiti stanno nel Cerchio 1, e vanno letti insieme al merito.</w:t>
      </w:r>
    </w:p>
    <w:p>
      <w:pPr>
        <w:pStyle w:val="BodyText"/>
      </w:pPr>
      <w:r>
        <w:rPr>
          <w:b/>
          <w:bCs/>
        </w:rPr>
        <w:t xml:space="preserve">L’ancora fisiologica — Paul J. Yong</w:t>
      </w:r>
      <w:r>
        <w:t xml:space="preserve">, BC Women’s Centre for Pelvic Pain and Endometriosis, University of British Columbia. È chi ha stabilito, su registri prospettici di centinaia di pazienti operate e confermate all’istologia, che il dolore profondo nei rapporti si associa alla</w:t>
      </w:r>
      <w:r>
        <w:t xml:space="preserve"> </w:t>
      </w:r>
      <w:r>
        <w:rPr>
          <w:b/>
          <w:bCs/>
        </w:rPr>
        <w:t xml:space="preserve">dolorabilità del pavimento pelvico e della vescica indipendentemente dallo stadio</w:t>
      </w:r>
      <w:r>
        <w:t xml:space="preserve">. È l’ancora che rende clinicamente sensato il nostro lavoro, ed è la più autorevole delle due.</w:t>
      </w:r>
    </w:p>
    <w:bookmarkEnd w:id="61"/>
    <w:bookmarkStart w:id="62"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Del Forno 2021 (33428320)</w:t>
            </w:r>
          </w:p>
        </w:tc>
        <w:tc>
          <w:tcPr/>
          <w:p>
            <w:pPr>
              <w:pStyle w:val="Compact"/>
            </w:pPr>
            <w:r>
              <w:t xml:space="preserve">Iato levatorio e dolore, 30 donne</w:t>
            </w:r>
          </w:p>
        </w:tc>
        <w:tc>
          <w:tcPr/>
          <w:p>
            <w:pPr>
              <w:pStyle w:val="Compact"/>
            </w:pPr>
            <w:r>
              <w:t xml:space="preserve">Cercare l’ipertono e rinviarlo</w:t>
            </w:r>
          </w:p>
        </w:tc>
      </w:tr>
      <w:tr>
        <w:tc>
          <w:tcPr/>
          <w:p>
            <w:pPr>
              <w:pStyle w:val="Compact"/>
            </w:pPr>
            <w:r>
              <w:t xml:space="preserve">Orr 2018 (30078464)</w:t>
            </w:r>
          </w:p>
        </w:tc>
        <w:tc>
          <w:tcPr/>
          <w:p>
            <w:pPr>
              <w:pStyle w:val="Compact"/>
            </w:pPr>
            <w:r>
              <w:t xml:space="preserve">Dolorabilità pelvica e dispareunia, 411</w:t>
            </w:r>
          </w:p>
        </w:tc>
        <w:tc>
          <w:tcPr/>
          <w:p>
            <w:pPr>
              <w:pStyle w:val="Compact"/>
            </w:pPr>
            <w:r>
              <w:t xml:space="preserve">Slegare il dolore dallo stadio</w:t>
            </w:r>
          </w:p>
        </w:tc>
      </w:tr>
      <w:tr>
        <w:tc>
          <w:tcPr/>
          <w:p>
            <w:pPr>
              <w:pStyle w:val="Compact"/>
            </w:pPr>
            <w:r>
              <w:t xml:space="preserve">Phan 2021 (33326662)</w:t>
            </w:r>
          </w:p>
        </w:tc>
        <w:tc>
          <w:tcPr/>
          <w:p>
            <w:pPr>
              <w:pStyle w:val="Compact"/>
            </w:pPr>
            <w:r>
              <w:t xml:space="preserve">Miofasciale e soglie, 30 donne</w:t>
            </w:r>
          </w:p>
        </w:tc>
        <w:tc>
          <w:tcPr/>
          <w:p>
            <w:pPr>
              <w:pStyle w:val="Compact"/>
            </w:pPr>
            <w:r>
              <w:t xml:space="preserve">Mappare oltre il punto indicato</w:t>
            </w:r>
          </w:p>
        </w:tc>
      </w:tr>
      <w:tr>
        <w:tc>
          <w:tcPr/>
          <w:p>
            <w:pPr>
              <w:pStyle w:val="Compact"/>
            </w:pPr>
            <w:r>
              <w:t xml:space="preserve">Grundström 2019 (30472739)</w:t>
            </w:r>
          </w:p>
        </w:tc>
        <w:tc>
          <w:tcPr/>
          <w:p>
            <w:pPr>
              <w:pStyle w:val="Compact"/>
            </w:pPr>
            <w:r>
              <w:t xml:space="preserve">Soglie di dolore, 37 e 55 donne</w:t>
            </w:r>
          </w:p>
        </w:tc>
        <w:tc>
          <w:tcPr/>
          <w:p>
            <w:pPr>
              <w:pStyle w:val="Compact"/>
            </w:pPr>
            <w:r>
              <w:t xml:space="preserve">Costruire sul tempo, non sullo stadio</w:t>
            </w:r>
          </w:p>
        </w:tc>
      </w:tr>
      <w:tr>
        <w:tc>
          <w:tcPr/>
          <w:p>
            <w:pPr>
              <w:pStyle w:val="Compact"/>
            </w:pPr>
            <w:r>
              <w:t xml:space="preserve">Can 2026 (40705433)</w:t>
            </w:r>
          </w:p>
        </w:tc>
        <w:tc>
          <w:tcPr/>
          <w:p>
            <w:pPr>
              <w:pStyle w:val="Compact"/>
            </w:pPr>
            <w:r>
              <w:t xml:space="preserve">Fisioterapia e dolore, 7 studi</w:t>
            </w:r>
          </w:p>
        </w:tc>
        <w:tc>
          <w:tcPr/>
          <w:p>
            <w:pPr>
              <w:pStyle w:val="Compact"/>
            </w:pPr>
            <w:r>
              <w:t xml:space="preserve">Dichiarare il tetto dell’effetto</w:t>
            </w:r>
          </w:p>
        </w:tc>
      </w:tr>
      <w:tr>
        <w:tc>
          <w:tcPr/>
          <w:p>
            <w:pPr>
              <w:pStyle w:val="Compact"/>
            </w:pPr>
            <w:r>
              <w:t xml:space="preserve">Gabrielsen 2025 (41006088)</w:t>
            </w:r>
          </w:p>
        </w:tc>
        <w:tc>
          <w:tcPr/>
          <w:p>
            <w:pPr>
              <w:pStyle w:val="Compact"/>
            </w:pPr>
            <w:r>
              <w:t xml:space="preserve">Esercizio e PFMT, 81 donne</w:t>
            </w:r>
          </w:p>
        </w:tc>
        <w:tc>
          <w:tcPr/>
          <w:p>
            <w:pPr>
              <w:pStyle w:val="Compact"/>
            </w:pPr>
            <w:r>
              <w:t xml:space="preserve">Informare sul lavoro attivo</w:t>
            </w:r>
          </w:p>
        </w:tc>
      </w:tr>
      <w:tr>
        <w:tc>
          <w:tcPr/>
          <w:p>
            <w:pPr>
              <w:pStyle w:val="Compact"/>
            </w:pPr>
            <w:r>
              <w:t xml:space="preserve">Evans 2026 (41717450)</w:t>
            </w:r>
          </w:p>
        </w:tc>
        <w:tc>
          <w:tcPr/>
          <w:p>
            <w:pPr>
              <w:pStyle w:val="Compact"/>
            </w:pPr>
            <w:r>
              <w:t xml:space="preserve">CBT e yoga, 334 donne</w:t>
            </w:r>
          </w:p>
        </w:tc>
        <w:tc>
          <w:tcPr/>
          <w:p>
            <w:pPr>
              <w:pStyle w:val="Compact"/>
            </w:pPr>
            <w:r>
              <w:t xml:space="preserve">Nominare la leva comportamentale</w:t>
            </w:r>
          </w:p>
        </w:tc>
      </w:tr>
      <w:tr>
        <w:tc>
          <w:tcPr/>
          <w:p>
            <w:pPr>
              <w:pStyle w:val="Compact"/>
            </w:pPr>
            <w:r>
              <w:t xml:space="preserve">Mui 2016 (27032740)</w:t>
            </w:r>
          </w:p>
        </w:tc>
        <w:tc>
          <w:tcPr/>
          <w:p>
            <w:pPr>
              <w:pStyle w:val="Compact"/>
            </w:pPr>
            <w:r>
              <w:t xml:space="preserve">Carnett e dolore di parete, 190</w:t>
            </w:r>
          </w:p>
        </w:tc>
        <w:tc>
          <w:tcPr/>
          <w:p>
            <w:pPr>
              <w:pStyle w:val="Compact"/>
            </w:pPr>
            <w:r>
              <w:t xml:space="preserve">Qualificare il reperto di parete</w:t>
            </w:r>
          </w:p>
        </w:tc>
      </w:tr>
      <w:tr>
        <w:tc>
          <w:tcPr/>
          <w:p>
            <w:pPr>
              <w:pStyle w:val="Compact"/>
            </w:pPr>
            <w:r>
              <w:t xml:space="preserve">Daraï 2015 (25796057)</w:t>
            </w:r>
          </w:p>
        </w:tc>
        <w:tc>
          <w:tcPr/>
          <w:p>
            <w:pPr>
              <w:pStyle w:val="Compact"/>
            </w:pPr>
            <w:r>
              <w:t xml:space="preserve">Qualità di vita dopo OMT, 15</w:t>
            </w:r>
          </w:p>
        </w:tc>
        <w:tc>
          <w:tcPr/>
          <w:p>
            <w:pPr>
              <w:pStyle w:val="Compact"/>
            </w:pPr>
            <w:r>
              <w:t xml:space="preserve">Nulla: nessun controllo</w:t>
            </w:r>
          </w:p>
        </w:tc>
      </w:tr>
      <w:tr>
        <w:tc>
          <w:tcPr/>
          <w:p>
            <w:pPr>
              <w:pStyle w:val="Compact"/>
            </w:pPr>
            <w:r>
              <w:t xml:space="preserve">Yong 2020 (32128454)</w:t>
            </w:r>
          </w:p>
        </w:tc>
        <w:tc>
          <w:tcPr/>
          <w:p>
            <w:pPr>
              <w:pStyle w:val="Compact"/>
            </w:pPr>
            <w:r>
              <w:t xml:space="preserve">Efficacia della pillola, 373 donne</w:t>
            </w:r>
          </w:p>
        </w:tc>
        <w:tc>
          <w:tcPr/>
          <w:p>
            <w:pPr>
              <w:pStyle w:val="Compact"/>
            </w:pPr>
            <w:r>
              <w:t xml:space="preserve">Misurare lo spazio che resta</w:t>
            </w:r>
          </w:p>
        </w:tc>
      </w:tr>
    </w:tbl>
    <w:bookmarkEnd w:id="62"/>
    <w:bookmarkStart w:id="63" w:name="i-tre-cerchi"/>
    <w:p>
      <w:pPr>
        <w:pStyle w:val="Heading3"/>
      </w:pPr>
      <w:r>
        <w:t xml:space="preserve">I tre cerchi</w:t>
      </w:r>
    </w:p>
    <w:p>
      <w:pPr>
        <w:pStyle w:val="FirstParagraph"/>
      </w:pPr>
      <w:r>
        <w:rPr>
          <w:b/>
          <w:bCs/>
        </w:rPr>
        <w:t xml:space="preserve">Cerchio 1 — le prove specifiche.</w:t>
      </w:r>
      <w:r>
        <w:t xml:space="preserve"> </w:t>
      </w:r>
      <w:r>
        <w:t xml:space="preserve">Sono gli studi di fisioterapia e terapia manuale su donne con endometriosi.</w:t>
      </w:r>
    </w:p>
    <w:p>
      <w:pPr>
        <w:pStyle w:val="BodyText"/>
      </w:pPr>
      <w:r>
        <w:t xml:space="preserve">La sintesi più ampia raccoglie otto studi, sette nell’analisi quantitativa. Trova una riduzione media del dolore di</w:t>
      </w:r>
      <w:r>
        <w:t xml:space="preserve"> </w:t>
      </w:r>
      <w:r>
        <w:rPr>
          <w:b/>
          <w:bCs/>
        </w:rPr>
        <w:t xml:space="preserve">1,97 punti (IC 95% 2,99-0,95)</w:t>
      </w:r>
      <w:r>
        <w:t xml:space="preserve"> </w:t>
      </w:r>
      <w:r>
        <w:t xml:space="preserve">rispetto ai controlli. Il sottogruppo delle modalità strumentali dà 2,03, ma con un intervallo che va da 3,90 a</w:t>
      </w:r>
      <w:r>
        <w:t xml:space="preserve"> </w:t>
      </w:r>
      <w:r>
        <w:rPr>
          <w:b/>
          <w:bCs/>
        </w:rPr>
        <w:t xml:space="preserve">0,14</w:t>
      </w:r>
      <w:r>
        <w:t xml:space="preserve">, cioè quasi a contatto con lo zero.</w:t>
      </w:r>
      <w:r>
        <w:t xml:space="preserve"> </w:t>
      </w:r>
      <w:r>
        <w:rPr>
          <w:b/>
          <w:bCs/>
        </w:rPr>
        <w:t xml:space="preserve">Per te:</w:t>
      </w:r>
      <w:r>
        <w:t xml:space="preserve"> </w:t>
      </w:r>
      <w:r>
        <w:t xml:space="preserve">due punti su dieci sono un effetto reale e modesto, e metà dell’intervallo sta sotto la soglia di rilevanza clinica abituale. Sulla superiorità degli apparecchi l’intervallo arriva a 0,14: è un’indicazione,</w:t>
      </w:r>
      <w:r>
        <w:t xml:space="preserve"> </w:t>
      </w:r>
      <w:r>
        <w:rPr>
          <w:b/>
          <w:bCs/>
        </w:rPr>
        <w:t xml:space="preserve">non una gerarchia su cui appoggiare una scelta</w:t>
      </w:r>
      <w:r>
        <w:t xml:space="preserve">. Serve a non promettere mai più di quanto la letteratura migliore abbia ottenuto. La scelta di bersagli locali invece di approcci generici non si appoggia qui: si appoggia allo studio con il controllo manuale attivo del cerchio 2.</w:t>
      </w:r>
      <w:r>
        <w:t xml:space="preserve"> </w:t>
      </w:r>
      <w:r>
        <w:t xml:space="preserve">(Can,</w:t>
      </w:r>
      <w:r>
        <w:t xml:space="preserve"> </w:t>
      </w:r>
      <w:r>
        <w:rPr>
          <w:i/>
          <w:iCs/>
        </w:rPr>
        <w:t xml:space="preserve">Pain Med</w:t>
      </w:r>
      <w:r>
        <w:t xml:space="preserve"> </w:t>
      </w:r>
      <w:r>
        <w:t xml:space="preserve">2026 — PMID 40705433)</w:t>
      </w:r>
    </w:p>
    <w:p>
      <w:pPr>
        <w:pStyle w:val="BodyText"/>
      </w:pPr>
      <w:r>
        <w:t xml:space="preserve">Dentro questo cerchio c’è</w:t>
      </w:r>
      <w:r>
        <w:t xml:space="preserve"> </w:t>
      </w:r>
      <w:r>
        <w:rPr>
          <w:b/>
          <w:bCs/>
        </w:rPr>
        <w:t xml:space="preserve">un solo studio randomizzato di terapia fisica con un esito strumentale</w:t>
      </w:r>
      <w:r>
        <w:t xml:space="preserve">. Trentaquattro donne nullipare con endometriosi profonda e dispareunia superficiale, assegnate a cinque sedute individuali di fisioterapia del pavimento pelvico o a nessun intervento; trenta hanno completato. A quattro mesi l’area dello iato levatorio sotto ponzamento era aumentata del 20% nel gruppo trattato, contro una variazione praticamente nulla nel controllo. La dispareunia superficiale era scesa di tre punti sulla scala numerica, contro nessuna variazione. E c’era una differenza significativa fra i gruppi anche sul</w:t>
      </w:r>
      <w:r>
        <w:t xml:space="preserve"> </w:t>
      </w:r>
      <w:r>
        <w:rPr>
          <w:b/>
          <w:bCs/>
        </w:rPr>
        <w:t xml:space="preserve">dolore pelvico cronico</w:t>
      </w:r>
      <w:r>
        <w:t xml:space="preserve"> </w:t>
      </w:r>
      <w:r>
        <w:t xml:space="preserve">(P = 0,01), con variazione mediana piccola.</w:t>
      </w:r>
      <w:r>
        <w:t xml:space="preserve"> </w:t>
      </w:r>
      <w:r>
        <w:rPr>
          <w:b/>
          <w:bCs/>
        </w:rPr>
        <w:t xml:space="preserve">Per te:</w:t>
      </w:r>
      <w:r>
        <w:t xml:space="preserve"> </w:t>
      </w:r>
      <w:r>
        <w:t xml:space="preserve">è la prova che quel bersaglio si muove, ed è anche la prova che a muoverlo è stato un lavoro che tu non puoi fare. Ti autorizza a cercarlo e a scrivere il rinvio, non a dire che lo tratti.</w:t>
      </w:r>
      <w:r>
        <w:t xml:space="preserve"> </w:t>
      </w:r>
      <w:r>
        <w:t xml:space="preserve">(Del Forno,</w:t>
      </w:r>
      <w:r>
        <w:t xml:space="preserve"> </w:t>
      </w:r>
      <w:r>
        <w:rPr>
          <w:i/>
          <w:iCs/>
        </w:rPr>
        <w:t xml:space="preserve">Ultrasound Obstet Gynecol</w:t>
      </w:r>
      <w:r>
        <w:t xml:space="preserve"> </w:t>
      </w:r>
      <w:r>
        <w:t xml:space="preserve">2021 — PMID 33428320)</w:t>
      </w:r>
    </w:p>
    <w:p>
      <w:pPr>
        <w:pStyle w:val="BodyText"/>
      </w:pPr>
      <w:r>
        <w:t xml:space="preserve">Lo stesso studio, analizzato sugli esiti secondari,</w:t>
      </w:r>
      <w:r>
        <w:t xml:space="preserve"> </w:t>
      </w:r>
      <w:r>
        <w:rPr>
          <w:b/>
          <w:bCs/>
        </w:rPr>
        <w:t xml:space="preserve">non ha trovato differenze fra i due gruppi</w:t>
      </w:r>
      <w:r>
        <w:t xml:space="preserve"> </w:t>
      </w:r>
      <w:r>
        <w:t xml:space="preserve">su funzione urinaria, intestinale e sessuale misurate con questionari validati (Del Forno,</w:t>
      </w:r>
      <w:r>
        <w:t xml:space="preserve"> </w:t>
      </w:r>
      <w:r>
        <w:rPr>
          <w:i/>
          <w:iCs/>
        </w:rPr>
        <w:t xml:space="preserve">Medicina</w:t>
      </w:r>
      <w:r>
        <w:t xml:space="preserve"> </w:t>
      </w:r>
      <w:r>
        <w:t xml:space="preserve">2023 — PMID 38256327). È il dato che tiene onesto tutto il capitolo: l’intervento sposta lo iato e la dispareunia d’ingresso, e non sposta il resto.</w:t>
      </w:r>
    </w:p>
    <w:p>
      <w:pPr>
        <w:pStyle w:val="BodyText"/>
      </w:pPr>
      <w:r>
        <w:t xml:space="preserve">Dentro lo stesso cerchio sta la letteratura con la qualità metodologica migliore di tutta questa condizione. Riguarda ciò che fa la paziente e ciò che le insegna uno psicologo. È fatta di: uno studio randomizzato su 81 donne in cui l’assegnazione ai gruppi era nascosta a chi la faceva (Gabrielsen,</w:t>
      </w:r>
      <w:r>
        <w:t xml:space="preserve"> </w:t>
      </w:r>
      <w:r>
        <w:rPr>
          <w:i/>
          <w:iCs/>
        </w:rPr>
        <w:t xml:space="preserve">J Physiother</w:t>
      </w:r>
      <w:r>
        <w:t xml:space="preserve"> </w:t>
      </w:r>
      <w:r>
        <w:t xml:space="preserve">2025 — PMID 41006088); tre revisioni sistematiche fra 2025 e 2026; una sintesi che confronta fra loro tutti gli interventi su 33 studi e 2.323 donne, che fa da contrappeso (Zheng,</w:t>
      </w:r>
      <w:r>
        <w:t xml:space="preserve"> </w:t>
      </w:r>
      <w:r>
        <w:rPr>
          <w:i/>
          <w:iCs/>
        </w:rPr>
        <w:t xml:space="preserve">J Pain Res</w:t>
      </w:r>
      <w:r>
        <w:t xml:space="preserve"> </w:t>
      </w:r>
      <w:r>
        <w:t xml:space="preserve">2026 — PMID 41743446); e uno studio randomizzato su 334 donne per la leva comportamentale (Evans,</w:t>
      </w:r>
      <w:r>
        <w:t xml:space="preserve"> </w:t>
      </w:r>
      <w:r>
        <w:rPr>
          <w:i/>
          <w:iCs/>
        </w:rPr>
        <w:t xml:space="preserve">Hum Reprod Open</w:t>
      </w:r>
      <w:r>
        <w:t xml:space="preserve"> </w:t>
      </w:r>
      <w:r>
        <w:t xml:space="preserve">2026 — PMID 41717450).</w:t>
      </w:r>
      <w:r>
        <w:t xml:space="preserve"> </w:t>
      </w:r>
      <w:r>
        <w:rPr>
          <w:b/>
          <w:bCs/>
        </w:rPr>
        <w:t xml:space="preserve">Sono trattati per esteso in «Cosa può fare la paziente da sola»</w:t>
      </w:r>
      <w:r>
        <w:t xml:space="preserve">, con i loro limiti. Qui basta sapere che non sono nostri, e che hanno prove migliori delle nostre.</w:t>
      </w:r>
    </w:p>
    <w:p>
      <w:pPr>
        <w:pStyle w:val="BodyText"/>
      </w:pPr>
      <w:r>
        <w:t xml:space="preserve">Sull’osteopatia in senso stretto gli studi sono</w:t>
      </w:r>
      <w:r>
        <w:t xml:space="preserve"> </w:t>
      </w:r>
      <w:r>
        <w:rPr>
          <w:b/>
          <w:bCs/>
        </w:rPr>
        <w:t xml:space="preserve">due</w:t>
      </w:r>
      <w:r>
        <w:t xml:space="preserve">, e vanno saputi entrambi perché dicono la stessa cosa.</w:t>
      </w:r>
    </w:p>
    <w:p>
      <w:pPr>
        <w:pStyle w:val="BodyText"/>
      </w:pPr>
      <w:r>
        <w:t xml:space="preserve">Il primo è un pilota su venti pazienti con endometriosi profonda e coinvolgimento colorettale, quindici delle quali hanno completato. La qualità di vita migliora dopo un ciclo di trattamento manipolativo osteopatico,</w:t>
      </w:r>
      <w:r>
        <w:t xml:space="preserve"> </w:t>
      </w:r>
      <w:r>
        <w:rPr>
          <w:b/>
          <w:bCs/>
        </w:rPr>
        <w:t xml:space="preserve">senza gruppo di controllo</w:t>
      </w:r>
      <w:r>
        <w:t xml:space="preserve"> </w:t>
      </w:r>
      <w:r>
        <w:t xml:space="preserve">(Daraï,</w:t>
      </w:r>
      <w:r>
        <w:t xml:space="preserve"> </w:t>
      </w:r>
      <w:r>
        <w:rPr>
          <w:i/>
          <w:iCs/>
        </w:rPr>
        <w:t xml:space="preserve">Eur J Obstet Gynecol Reprod Biol</w:t>
      </w:r>
      <w:r>
        <w:t xml:space="preserve"> </w:t>
      </w:r>
      <w:r>
        <w:t xml:space="preserve">2015 — PMID 25796057).</w:t>
      </w:r>
    </w:p>
    <w:p>
      <w:pPr>
        <w:pStyle w:val="BodyText"/>
      </w:pPr>
      <w:r>
        <w:t xml:space="preserve">Il secondo è del 2025: sessanta donne con endometriosi o prolasso degli organi pelvici, manipolazione viscerale una volta a settimana per cinque settimane, disegno</w:t>
      </w:r>
      <w:r>
        <w:t xml:space="preserve"> </w:t>
      </w:r>
      <w:r>
        <w:rPr>
          <w:b/>
          <w:bCs/>
        </w:rPr>
        <w:t xml:space="preserve">prima-dopo senza controllo</w:t>
      </w:r>
      <w:r>
        <w:t xml:space="preserve">. Il questionario di qualità di vita migliora, e</w:t>
      </w:r>
      <w:r>
        <w:t xml:space="preserve"> </w:t>
      </w:r>
      <w:r>
        <w:rPr>
          <w:b/>
          <w:bCs/>
        </w:rPr>
        <w:t xml:space="preserve">l’unica misura strumentale raccolta — la stabilità posturale — non si è mossa</w:t>
      </w:r>
      <w:r>
        <w:t xml:space="preserve"> </w:t>
      </w:r>
      <w:r>
        <w:t xml:space="preserve">(Wójcik,</w:t>
      </w:r>
      <w:r>
        <w:t xml:space="preserve"> </w:t>
      </w:r>
      <w:r>
        <w:rPr>
          <w:i/>
          <w:iCs/>
        </w:rPr>
        <w:t xml:space="preserve">J Clin Med</w:t>
      </w:r>
      <w:r>
        <w:t xml:space="preserve"> </w:t>
      </w:r>
      <w:r>
        <w:t xml:space="preserve">2025 — PMID 39941438). Il campione mescola endometriosi e prolasso, non c’è gruppo di controllo, e l’esito che si è mosso è un questionario auto-riferito in aperto: è il disegno che non può distinguere il trattamento dall’attenzione ricevuta.</w:t>
      </w:r>
    </w:p>
    <w:p>
      <w:pPr>
        <w:pStyle w:val="BodyText"/>
      </w:pPr>
      <w:r>
        <w:t xml:space="preserve">Due studi che muovono l’auto-riferito e non muovono lo strumentale sono l’illustrazione migliore del perché qui non si scrive DIMOSTRATO. Uno studio randomizzato pilota su mobilizzazioni addominali osteopatiche dopo chirurgia è stato pubblicato come protocollo, e i risultati non ci sono ancora (Comptour,</w:t>
      </w:r>
      <w:r>
        <w:t xml:space="preserve"> </w:t>
      </w:r>
      <w:r>
        <w:rPr>
          <w:i/>
          <w:iCs/>
        </w:rPr>
        <w:t xml:space="preserve">PLoS One</w:t>
      </w:r>
      <w:r>
        <w:t xml:space="preserve"> </w:t>
      </w:r>
      <w:r>
        <w:t xml:space="preserve">2025 — PMID 40338925).</w:t>
      </w:r>
    </w:p>
    <w:p>
      <w:pPr>
        <w:pStyle w:val="BodyText"/>
      </w:pPr>
      <w:r>
        <w:rPr>
          <w:b/>
          <w:bCs/>
        </w:rPr>
        <w:t xml:space="preserve">Cerchio 2 — le prove trasversali sul meccanismo.</w:t>
      </w:r>
      <w:r>
        <w:t xml:space="preserve"> </w:t>
      </w:r>
      <w:r>
        <w:t xml:space="preserve">La prima voce va letta per intera, perché</w:t>
      </w:r>
      <w:r>
        <w:t xml:space="preserve"> </w:t>
      </w:r>
      <w:r>
        <w:rPr>
          <w:b/>
          <w:bCs/>
        </w:rPr>
        <w:t xml:space="preserve">cambia di segno</w:t>
      </w:r>
      <w:r>
        <w:t xml:space="preserve"> </w:t>
      </w:r>
      <w:r>
        <w:t xml:space="preserve">un pilastro.</w:t>
      </w:r>
    </w:p>
    <w:p>
      <w:pPr>
        <w:pStyle w:val="BodyText"/>
      </w:pPr>
      <w:r>
        <w:t xml:space="preserve">La</w:t>
      </w:r>
      <w:r>
        <w:t xml:space="preserve"> </w:t>
      </w:r>
      <w:r>
        <w:rPr>
          <w:b/>
          <w:bCs/>
        </w:rPr>
        <w:t xml:space="preserve">manipolazione spinale</w:t>
      </w:r>
      <w:r>
        <w:t xml:space="preserve"> </w:t>
      </w:r>
      <w:r>
        <w:t xml:space="preserve">alza la soglia di pressione al dolore anche in sedi lontane da quella trattata. Era il dato su cui poggiava l’idea di un effetto centrale e non solo locale, con tre salti: di</w:t>
      </w:r>
      <w:r>
        <w:t xml:space="preserve"> </w:t>
      </w:r>
      <w:r>
        <w:rPr>
          <w:b/>
          <w:bCs/>
        </w:rPr>
        <w:t xml:space="preserve">popolazione</w:t>
      </w:r>
      <w:r>
        <w:t xml:space="preserve"> </w:t>
      </w:r>
      <w:r>
        <w:t xml:space="preserve">(muscolo-scheletriche e volontari), di</w:t>
      </w:r>
      <w:r>
        <w:t xml:space="preserve"> </w:t>
      </w:r>
      <w:r>
        <w:rPr>
          <w:b/>
          <w:bCs/>
        </w:rPr>
        <w:t xml:space="preserve">intervento</w:t>
      </w:r>
      <w:r>
        <w:t xml:space="preserve"> </w:t>
      </w:r>
      <w:r>
        <w:t xml:space="preserve">(un thrust segmentale, non lavoro sui tessuti molli della parete) e di</w:t>
      </w:r>
      <w:r>
        <w:t xml:space="preserve"> </w:t>
      </w:r>
      <w:r>
        <w:rPr>
          <w:b/>
          <w:bCs/>
        </w:rPr>
        <w:t xml:space="preserve">orizzonte temporale</w:t>
      </w:r>
      <w:r>
        <w:t xml:space="preserve"> </w:t>
      </w:r>
      <w:r>
        <w:t xml:space="preserve">(solo l’effetto</w:t>
      </w:r>
      <w:r>
        <w:t xml:space="preserve"> </w:t>
      </w:r>
      <w:r>
        <w:rPr>
          <w:b/>
          <w:bCs/>
        </w:rPr>
        <w:t xml:space="preserve">immediato</w:t>
      </w:r>
      <w:r>
        <w:t xml:space="preserve">) (Coronado,</w:t>
      </w:r>
      <w:r>
        <w:t xml:space="preserve"> </w:t>
      </w:r>
      <w:r>
        <w:rPr>
          <w:i/>
          <w:iCs/>
        </w:rPr>
        <w:t xml:space="preserve">J Electromyogr Kinesiol</w:t>
      </w:r>
      <w:r>
        <w:t xml:space="preserve"> </w:t>
      </w:r>
      <w:r>
        <w:t xml:space="preserve">2012 — PMID 22296867).</w:t>
      </w:r>
    </w:p>
    <w:p>
      <w:pPr>
        <w:pStyle w:val="BodyText"/>
      </w:pPr>
      <w:r>
        <w:rPr>
          <w:b/>
          <w:bCs/>
        </w:rPr>
        <w:t xml:space="preserve">Quel dato non regge al confronto con la manovra finta.</w:t>
      </w:r>
      <w:r>
        <w:t xml:space="preserve"> </w:t>
      </w:r>
      <w:r>
        <w:t xml:space="preserve">La meta-analisi del 2012 aggregava in larga parte confronti prima-dopo senza finto. Le due sintesi che il finto l’hanno imposto non trovano l’effetto: nessun effetto immediato su soglia locale, remota segmentale e remota non segmentale nei pazienti con dolore cronico, e gli autori dichiarano non confermato il coinvolgimento di meccanismi centrali (Jung,</w:t>
      </w:r>
      <w:r>
        <w:t xml:space="preserve"> </w:t>
      </w:r>
      <w:r>
        <w:rPr>
          <w:i/>
          <w:iCs/>
        </w:rPr>
        <w:t xml:space="preserve">Phys Ther</w:t>
      </w:r>
      <w:r>
        <w:t xml:space="preserve"> </w:t>
      </w:r>
      <w:r>
        <w:t xml:space="preserve">2023, 22 report — PMID 37172128); nessuna differenza dal finto nella revisione precedente, dove la soglia sale</w:t>
      </w:r>
      <w:r>
        <w:t xml:space="preserve"> </w:t>
      </w:r>
      <w:r>
        <w:rPr>
          <w:b/>
          <w:bCs/>
        </w:rPr>
        <w:t xml:space="preserve">dentro il gruppo</w:t>
      </w:r>
      <w:r>
        <w:t xml:space="preserve"> </w:t>
      </w:r>
      <w:r>
        <w:t xml:space="preserve">e non</w:t>
      </w:r>
      <w:r>
        <w:t xml:space="preserve"> </w:t>
      </w:r>
      <w:r>
        <w:rPr>
          <w:b/>
          <w:bCs/>
        </w:rPr>
        <w:t xml:space="preserve">fra i gruppi</w:t>
      </w:r>
      <w:r>
        <w:t xml:space="preserve"> </w:t>
      </w:r>
      <w:r>
        <w:t xml:space="preserve">(Aspinall,</w:t>
      </w:r>
      <w:r>
        <w:t xml:space="preserve"> </w:t>
      </w:r>
      <w:r>
        <w:rPr>
          <w:i/>
          <w:iCs/>
        </w:rPr>
        <w:t xml:space="preserve">Chiropr Man Therap</w:t>
      </w:r>
      <w:r>
        <w:t xml:space="preserve"> </w:t>
      </w:r>
      <w:r>
        <w:t xml:space="preserve">2019 — PMID 30719281). Misurato su popolazioni muscolo-scheletriche e volontari, non su donne con endometriosi.</w:t>
      </w:r>
    </w:p>
    <w:p>
      <w:pPr>
        <w:pStyle w:val="BodyText"/>
      </w:pPr>
      <w:r>
        <w:t xml:space="preserve">Accanto sta invece la prova migliore che esista della</w:t>
      </w:r>
      <w:r>
        <w:t xml:space="preserve"> </w:t>
      </w:r>
      <w:r>
        <w:rPr>
          <w:b/>
          <w:bCs/>
        </w:rPr>
        <w:t xml:space="preserve">tesi centrale di questo documento</w:t>
      </w:r>
      <w:r>
        <w:t xml:space="preserve">: bersagli scelti invece di approcci generici. Ottantuno donne con cistite interstiziale e dolorabilità del pavimento pelvico, undici centri, dieci sedute, con un</w:t>
      </w:r>
      <w:r>
        <w:t xml:space="preserve"> </w:t>
      </w:r>
      <w:r>
        <w:rPr>
          <w:b/>
          <w:bCs/>
        </w:rPr>
        <w:t xml:space="preserve">controllo manuale attivo</w:t>
      </w:r>
      <w:r>
        <w:t xml:space="preserve"> </w:t>
      </w:r>
      <w:r>
        <w:t xml:space="preserve">— massaggio terapeutico globale, stesso numero di sedute e stesso tempo di contatto. Risposta globale nel 59% del gruppo mirato contro il 26% del generico (FitzGerald,</w:t>
      </w:r>
      <w:r>
        <w:t xml:space="preserve"> </w:t>
      </w:r>
      <w:r>
        <w:rPr>
          <w:i/>
          <w:iCs/>
        </w:rPr>
        <w:t xml:space="preserve">J Urol</w:t>
      </w:r>
      <w:r>
        <w:t xml:space="preserve"> </w:t>
      </w:r>
      <w:r>
        <w:t xml:space="preserve">2012 — PMID 22503015). Le tre clausole vanno tenute insieme: misurato su cistite interstiziale,</w:t>
      </w:r>
      <w:r>
        <w:t xml:space="preserve"> </w:t>
      </w:r>
      <w:r>
        <w:rPr>
          <w:b/>
          <w:bCs/>
        </w:rPr>
        <w:t xml:space="preserve">non su endometriosi</w:t>
      </w:r>
      <w:r>
        <w:t xml:space="preserve">; l’intervento comprendeva</w:t>
      </w:r>
      <w:r>
        <w:t xml:space="preserve"> </w:t>
      </w:r>
      <w:r>
        <w:rPr>
          <w:b/>
          <w:bCs/>
        </w:rPr>
        <w:t xml:space="preserve">lavoro miofasciale per via interna</w:t>
      </w:r>
      <w:r>
        <w:t xml:space="preserve">, che tu non fai e che questo documento si vieta; e la differenza si è vista sulla risposta globale, mentre</w:t>
      </w:r>
      <w:r>
        <w:t xml:space="preserve"> </w:t>
      </w:r>
      <w:r>
        <w:rPr>
          <w:b/>
          <w:bCs/>
        </w:rPr>
        <w:t xml:space="preserve">le scale di dolore, urgenza e frequenza non hanno separato i due gruppi</w:t>
      </w:r>
      <w:r>
        <w:t xml:space="preserve">.</w:t>
      </w:r>
    </w:p>
    <w:p>
      <w:pPr>
        <w:pStyle w:val="BodyText"/>
      </w:pPr>
      <w:r>
        <w:t xml:space="preserve">Restano tre voci del cerchio 2, ciascuna con il proprio limite. Il respiro lento a frequenza di risonanza aumenta la variabilità della frequenza cardiaca di origine vagale e la sensibilità barocettiva — misurato su volontari e popolazioni generali,</w:t>
      </w:r>
      <w:r>
        <w:t xml:space="preserve"> </w:t>
      </w:r>
      <w:r>
        <w:rPr>
          <w:b/>
          <w:bCs/>
        </w:rPr>
        <w:t xml:space="preserve">non su donne con endometriosi</w:t>
      </w:r>
      <w:r>
        <w:t xml:space="preserve"> </w:t>
      </w:r>
      <w:r>
        <w:t xml:space="preserve">(Sevoz-Couche e Laborde, 2022 — PMID 35167847). L’alleanza fra terapista e paziente si associa ad aderenza e funzione fisica migliori — misurata in riabilitazione muscolo-scheletrica, cardiaca e neurologica,</w:t>
      </w:r>
      <w:r>
        <w:t xml:space="preserve"> </w:t>
      </w:r>
      <w:r>
        <w:rPr>
          <w:b/>
          <w:bCs/>
        </w:rPr>
        <w:t xml:space="preserve">non in questa popolazione</w:t>
      </w:r>
      <w:r>
        <w:t xml:space="preserve"> </w:t>
      </w:r>
      <w:r>
        <w:t xml:space="preserve">(Hall,</w:t>
      </w:r>
      <w:r>
        <w:t xml:space="preserve"> </w:t>
      </w:r>
      <w:r>
        <w:rPr>
          <w:i/>
          <w:iCs/>
        </w:rPr>
        <w:t xml:space="preserve">Phys Ther</w:t>
      </w:r>
      <w:r>
        <w:t xml:space="preserve"> </w:t>
      </w:r>
      <w:r>
        <w:t xml:space="preserve">2010 — PMID 20576715). Le fibre C-tattili rispondono al massimo per carezze fra uno e dieci centimetri al secondo, e quelle velocità sono percepite come le più piacevoli — misurato in volontari sani,</w:t>
      </w:r>
      <w:r>
        <w:t xml:space="preserve"> </w:t>
      </w:r>
      <w:r>
        <w:rPr>
          <w:b/>
          <w:bCs/>
        </w:rPr>
        <w:t xml:space="preserve">non su un esito di dolore in questa condizione</w:t>
      </w:r>
      <w:r>
        <w:t xml:space="preserve"> </w:t>
      </w:r>
      <w:r>
        <w:t xml:space="preserve">(Löken,</w:t>
      </w:r>
      <w:r>
        <w:t xml:space="preserve"> </w:t>
      </w:r>
      <w:r>
        <w:rPr>
          <w:i/>
          <w:iCs/>
        </w:rPr>
        <w:t xml:space="preserve">Nat Neurosci</w:t>
      </w:r>
      <w:r>
        <w:t xml:space="preserve"> </w:t>
      </w:r>
      <w:r>
        <w:t xml:space="preserve">2009 — PMID 19363489).</w:t>
      </w:r>
    </w:p>
    <w:p>
      <w:pPr>
        <w:pStyle w:val="BodyText"/>
      </w:pPr>
      <w:r>
        <w:rPr>
          <w:b/>
          <w:bCs/>
        </w:rPr>
        <w:t xml:space="preserve">Cerchio 3 — la fisiologia.</w:t>
      </w:r>
      <w:r>
        <w:t xml:space="preserve"> </w:t>
      </w:r>
      <w:r>
        <w:t xml:space="preserve">Innervazione dell’utero e territorio di riferimento (Ameer e Peterson — PMID 29262069). Neuroangiogenesi dentro le lesioni (Morotti 2014 — PMID 24859987). Segno dello scorrimento e frequenza dell’obliterazione del Douglas (Tammaa e Hudelist 2014 — PMID 24777849). Anello viscero-somatico sul neurone convergente (Costantini e Giamberardino 2020 — PMID 32034979). Regge il razionale, mai l’efficacia.</w:t>
      </w:r>
    </w:p>
    <w:bookmarkEnd w:id="63"/>
    <w:bookmarkStart w:id="64"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7"/>
        </w:numPr>
      </w:pPr>
      <w:r>
        <w:t xml:space="preserve">Che l’ipertono del pavimento pelvico è misurabile e associato ai sintomi, e che la dolorabilità miofasciale è diffusa ben oltre il bacino.</w:t>
      </w:r>
    </w:p>
    <w:p>
      <w:pPr>
        <w:pStyle w:val="Compact"/>
        <w:numPr>
          <w:ilvl w:val="0"/>
          <w:numId w:val="1027"/>
        </w:numPr>
      </w:pPr>
      <w:r>
        <w:t xml:space="preserve">Che il dolore non è predetto dallo stadio della malattia. Sulla biopsia la formulazione onesta è più stretta: differenza di soglia</w:t>
      </w:r>
      <w:r>
        <w:t xml:space="preserve"> </w:t>
      </w:r>
      <w:r>
        <w:rPr>
          <w:b/>
          <w:bCs/>
        </w:rPr>
        <w:t xml:space="preserve">non osservata</w:t>
      </w:r>
      <w:r>
        <w:t xml:space="preserve"> </w:t>
      </w:r>
      <w:r>
        <w:t xml:space="preserve">fra biopsia positiva e negativa, su un campione troppo piccolo per escluderla. Risultato nullo, non equivalenza dimostrata.</w:t>
      </w:r>
    </w:p>
    <w:p>
      <w:pPr>
        <w:pStyle w:val="Compact"/>
        <w:numPr>
          <w:ilvl w:val="0"/>
          <w:numId w:val="1027"/>
        </w:numPr>
      </w:pPr>
      <w:r>
        <w:t xml:space="preserve">Che il dolore di parete si comporta come sorgente propria, e non come eco della dismenorrea o della dispareunia.</w:t>
      </w:r>
    </w:p>
    <w:p>
      <w:pPr>
        <w:pStyle w:val="Compact"/>
        <w:numPr>
          <w:ilvl w:val="0"/>
          <w:numId w:val="1027"/>
        </w:numPr>
      </w:pPr>
      <w:r>
        <w:t xml:space="preserve">Che quattro mesi di allenamento supervisionato con training del pavimento pelvico hanno ridotto il dolore pelvico</w:t>
      </w:r>
      <w:r>
        <w:t xml:space="preserve"> </w:t>
      </w:r>
      <w:r>
        <w:rPr>
          <w:b/>
          <w:bCs/>
        </w:rPr>
        <w:t xml:space="preserve">attuale</w:t>
      </w:r>
      <w:r>
        <w:t xml:space="preserve">, non il dolore peggiore del mese.</w:t>
      </w:r>
    </w:p>
    <w:p>
      <w:pPr>
        <w:pStyle w:val="Compact"/>
        <w:numPr>
          <w:ilvl w:val="0"/>
          <w:numId w:val="1027"/>
        </w:numPr>
      </w:pPr>
      <w:r>
        <w:t xml:space="preserve">Che la terapia cognitivo-comportamentale a distanza ha migliorato qualità di vita, dolore e catastrofizzazione rispetto a un controllo attivo.</w:t>
      </w:r>
    </w:p>
    <w:p>
      <w:pPr>
        <w:pStyle w:val="Compact"/>
        <w:numPr>
          <w:ilvl w:val="0"/>
          <w:numId w:val="1027"/>
        </w:numPr>
      </w:pPr>
      <w:r>
        <w:t xml:space="preserve">Che un ciclo di fisioterapia del pavimento pelvico ha aumentato l’apertura dello iato e ridotto la dispareunia d’ingresso.</w:t>
      </w:r>
    </w:p>
    <w:p>
      <w:pPr>
        <w:pStyle w:val="Compact"/>
        <w:numPr>
          <w:ilvl w:val="0"/>
          <w:numId w:val="1027"/>
        </w:numPr>
      </w:pPr>
      <w:r>
        <w:t xml:space="preserve">Che la fisioterapia, presa nel suo complesso, riduce il dolore di poco meno di due punti rispetto ai controlli.</w:t>
      </w:r>
    </w:p>
    <w:p>
      <w:pPr>
        <w:pStyle w:val="FirstParagraph"/>
      </w:pPr>
      <w:r>
        <w:rPr>
          <w:b/>
          <w:bCs/>
        </w:rPr>
        <w:t xml:space="preserve">Non possiamo dire:</w:t>
      </w:r>
    </w:p>
    <w:p>
      <w:pPr>
        <w:pStyle w:val="Compact"/>
        <w:numPr>
          <w:ilvl w:val="0"/>
          <w:numId w:val="1028"/>
        </w:numPr>
      </w:pPr>
      <w:r>
        <w:t xml:space="preserve">Che il trattamento osteopatico riduca il dolore da endometriosi. I due studi dedicati non hanno gruppo di controllo, e nel secondo</w:t>
      </w:r>
      <w:r>
        <w:t xml:space="preserve"> </w:t>
      </w:r>
      <w:r>
        <w:rPr>
          <w:b/>
          <w:bCs/>
        </w:rPr>
        <w:t xml:space="preserve">l’unica misura strumentale raccolta non si è mossa</w:t>
      </w:r>
      <w:r>
        <w:t xml:space="preserve"> </w:t>
      </w:r>
      <w:r>
        <w:t xml:space="preserve">mentre il questionario sì (Wójcik 2025 — PMID 39941438).</w:t>
      </w:r>
    </w:p>
    <w:p>
      <w:pPr>
        <w:pStyle w:val="Compact"/>
        <w:numPr>
          <w:ilvl w:val="0"/>
          <w:numId w:val="1028"/>
        </w:numPr>
      </w:pPr>
      <w:r>
        <w:t xml:space="preserve">Che la</w:t>
      </w:r>
      <w:r>
        <w:t xml:space="preserve"> </w:t>
      </w:r>
      <w:r>
        <w:rPr>
          <w:b/>
          <w:bCs/>
        </w:rPr>
        <w:t xml:space="preserve">manipolazione spinale</w:t>
      </w:r>
      <w:r>
        <w:t xml:space="preserve"> </w:t>
      </w:r>
      <w:r>
        <w:t xml:space="preserve">batta la manovra finta sul dolore mestruale. La revisione Cochrane dedicata copre la dismenorrea</w:t>
      </w:r>
      <w:r>
        <w:t xml:space="preserve"> </w:t>
      </w:r>
      <w:r>
        <w:rPr>
          <w:b/>
          <w:bCs/>
        </w:rPr>
        <w:t xml:space="preserve">primaria e secondaria</w:t>
      </w:r>
      <w:r>
        <w:t xml:space="preserve"> </w:t>
      </w:r>
      <w:r>
        <w:t xml:space="preserve">— cioè anche quella prodotta dall’endometriosi — raccoglie quattro trial di manipolazione ad alta velocità, e conclude che non c’è prova di efficacia; l’unico trial con numerosità adeguata non trova differenza dal finto (Proctor,</w:t>
      </w:r>
      <w:r>
        <w:t xml:space="preserve"> </w:t>
      </w:r>
      <w:r>
        <w:rPr>
          <w:i/>
          <w:iCs/>
        </w:rPr>
        <w:t xml:space="preserve">Cochrane Database Syst Rev</w:t>
      </w:r>
      <w:r>
        <w:t xml:space="preserve"> </w:t>
      </w:r>
      <w:r>
        <w:t xml:space="preserve">2006 — PMID 16855988). Misurato sulla dismenorrea in generale, non su donne con endometriosi confermata, e su un gesto — il thrust spinale — che non è il lavoro sui tessuti molli della parete.</w:t>
      </w:r>
    </w:p>
    <w:p>
      <w:pPr>
        <w:pStyle w:val="Compact"/>
        <w:numPr>
          <w:ilvl w:val="0"/>
          <w:numId w:val="1028"/>
        </w:numPr>
      </w:pPr>
      <w:r>
        <w:t xml:space="preserve">Che la</w:t>
      </w:r>
      <w:r>
        <w:t xml:space="preserve"> </w:t>
      </w:r>
      <w:r>
        <w:rPr>
          <w:b/>
          <w:bCs/>
        </w:rPr>
        <w:t xml:space="preserve">terapia manuale</w:t>
      </w:r>
      <w:r>
        <w:t xml:space="preserve"> </w:t>
      </w:r>
      <w:r>
        <w:t xml:space="preserve">batta il placebo sul dolore mestruale. Trentadue studi randomizzati e 2.566 donne: la terapia manuale supera il non-trattamento (differenza media 1,30) e supera i FANS (3,01), e</w:t>
      </w:r>
      <w:r>
        <w:t xml:space="preserve"> </w:t>
      </w:r>
      <w:r>
        <w:rPr>
          <w:b/>
          <w:bCs/>
        </w:rPr>
        <w:t xml:space="preserve">contro placebo la differenza è 0,10, con intervallo da −0,37 a 0,58</w:t>
      </w:r>
      <w:r>
        <w:t xml:space="preserve"> </w:t>
      </w:r>
      <w:r>
        <w:t xml:space="preserve">su 255 donne (Li,</w:t>
      </w:r>
      <w:r>
        <w:t xml:space="preserve"> </w:t>
      </w:r>
      <w:r>
        <w:rPr>
          <w:i/>
          <w:iCs/>
        </w:rPr>
        <w:t xml:space="preserve">J Pain Res</w:t>
      </w:r>
      <w:r>
        <w:t xml:space="preserve"> </w:t>
      </w:r>
      <w:r>
        <w:t xml:space="preserve">2024 — PMID 38736680). Misurato sulla dismenorrea primaria — donne senza endometriosi — e su tecniche in gran parte diverse dalle nostre (massaggio, digitopressione, riflessologia); e</w:t>
      </w:r>
      <w:r>
        <w:t xml:space="preserve"> </w:t>
      </w:r>
      <w:r>
        <w:rPr>
          <w:b/>
          <w:bCs/>
        </w:rPr>
        <w:t xml:space="preserve">la qualità delle prove è bassa in entrambe le direzioni, anche in quella negativa</w:t>
      </w:r>
      <w:r>
        <w:t xml:space="preserve">.</w:t>
      </w:r>
    </w:p>
    <w:p>
      <w:pPr>
        <w:pStyle w:val="Compact"/>
        <w:numPr>
          <w:ilvl w:val="0"/>
          <w:numId w:val="1028"/>
        </w:numPr>
      </w:pPr>
      <w:r>
        <w:t xml:space="preserve">Che il lavoro manuale alzi le soglie di pressione per un meccanismo centrale. Ri-misurato due volte con controllo a manovra finta, l’effetto non sopravvive (Jung 2023 — PMID 37172128; Aspinall 2019 — PMID 30719281).</w:t>
      </w:r>
    </w:p>
    <w:p>
      <w:pPr>
        <w:pStyle w:val="Compact"/>
        <w:numPr>
          <w:ilvl w:val="0"/>
          <w:numId w:val="1028"/>
        </w:numPr>
      </w:pPr>
      <w:r>
        <w:t xml:space="preserve">Che il lavoro manuale esterno modifichi l’ipertono del pavimento pelvico. Nessuno l’ha misurato.</w:t>
      </w:r>
    </w:p>
    <w:p>
      <w:pPr>
        <w:pStyle w:val="Compact"/>
        <w:numPr>
          <w:ilvl w:val="0"/>
          <w:numId w:val="1028"/>
        </w:numPr>
      </w:pPr>
      <w:r>
        <w:t xml:space="preserve">Che una tecnica sciolga aderenze. Nessuna misura prima e dopo esiste per la mano.</w:t>
      </w:r>
    </w:p>
    <w:p>
      <w:pPr>
        <w:pStyle w:val="Compact"/>
        <w:numPr>
          <w:ilvl w:val="0"/>
          <w:numId w:val="1028"/>
        </w:numPr>
      </w:pPr>
      <w:r>
        <w:t xml:space="preserve">Che il nostro lavoro cambi il decorso della malattia, la fertilità o la necessità di chirurgia.</w:t>
      </w:r>
    </w:p>
    <w:p>
      <w:pPr>
        <w:pStyle w:val="FirstParagraph"/>
      </w:pPr>
      <w:r>
        <w:t xml:space="preserve">Una riga a parte merita la</w:t>
      </w:r>
      <w:r>
        <w:t xml:space="preserve"> </w:t>
      </w:r>
      <w:r>
        <w:rPr>
          <w:b/>
          <w:bCs/>
        </w:rPr>
        <w:t xml:space="preserve">stimolazione elettrica transcutanea</w:t>
      </w:r>
      <w:r>
        <w:t xml:space="preserve">, che ha uno studio randomizzato non in cieco a proprio favore e, dallo stesso gruppo, uno studio precedente</w:t>
      </w:r>
      <w:r>
        <w:t xml:space="preserve"> </w:t>
      </w:r>
      <w:r>
        <w:rPr>
          <w:b/>
          <w:bCs/>
        </w:rPr>
        <w:t xml:space="preserve">ritrattato</w:t>
      </w:r>
      <w:r>
        <w:t xml:space="preserve"> </w:t>
      </w:r>
      <w:r>
        <w:t xml:space="preserve">(Mira 2020 — PMID 33129015; ritrattazione PMID 26319650). Non è materia nostra — è un apparecchio, non una mano — ed è parte della ragione per cui il tetto di Can 2026 viene dagli apparecchi.</w:t>
      </w:r>
    </w:p>
    <w:p>
      <w:pPr>
        <w:pStyle w:val="Compact"/>
        <w:numPr>
          <w:ilvl w:val="0"/>
          <w:numId w:val="1029"/>
        </w:numPr>
      </w:pPr>
      <w:r>
        <w:t xml:space="preserve">Che l’esercizio, da solo, riduca il dolore complessivo: nella sintesi che confronta fra loro tutti gli interventi su 33 studi è l’unica categoria che non batte le cure usuali (Zheng 2026 — PMID 41743446).</w:t>
      </w:r>
    </w:p>
    <w:p>
      <w:pPr>
        <w:pStyle w:val="Compact"/>
        <w:numPr>
          <w:ilvl w:val="0"/>
          <w:numId w:val="1029"/>
        </w:numPr>
      </w:pPr>
      <w:r>
        <w:t xml:space="preserve">Che il nostro lavoro manuale esterno alzi le soglie a distanza</w:t>
      </w:r>
      <w:r>
        <w:t xml:space="preserve"> </w:t>
      </w:r>
      <w:r>
        <w:rPr>
          <w:b/>
          <w:bCs/>
        </w:rPr>
        <w:t xml:space="preserve">a settimane</w:t>
      </w:r>
      <w:r>
        <w:t xml:space="preserve">: la sola prova favorevole riguardava la manipolazione spinale e il solo effetto immediato (Coronado 2012 — PMID 22296867), e non ha retto al confronto con la manovra finta.</w:t>
      </w:r>
    </w:p>
    <w:p>
      <w:pPr>
        <w:pStyle w:val="Compact"/>
        <w:numPr>
          <w:ilvl w:val="0"/>
          <w:numId w:val="1029"/>
        </w:numPr>
      </w:pPr>
      <w:r>
        <w:t xml:space="preserve">Che il beneficio che vedi su una paziente sia il tuo: una donna su tre migliora con un intervento finto e in cieco (Sutton 1994 — PMID 7926075; Abbott 2004 — PMID 15482763).</w:t>
      </w:r>
    </w:p>
    <w:bookmarkEnd w:id="64"/>
    <w:bookmarkStart w:id="65" w:name="quando-la-scienza-tace"/>
    <w:p>
      <w:pPr>
        <w:pStyle w:val="Heading3"/>
      </w:pPr>
      <w:r>
        <w:t xml:space="preserve">Quando la scienza tace</w:t>
      </w:r>
    </w:p>
    <w:p>
      <w:pPr>
        <w:pStyle w:val="FirstParagraph"/>
      </w:pPr>
      <w:r>
        <w:t xml:space="preserve">Su questa condizione la scienza non tace del tutto:</w:t>
      </w:r>
      <w:r>
        <w:t xml:space="preserve"> </w:t>
      </w:r>
      <w:r>
        <w:rPr>
          <w:b/>
          <w:bCs/>
        </w:rPr>
        <w:t xml:space="preserve">tace in modo selettivo</w:t>
      </w:r>
      <w:r>
        <w:t xml:space="preserve">. Parla molto del meccanismo, e non parla quasi per niente del nostro gesto. Va detto in cinque punti.</w:t>
      </w:r>
    </w:p>
    <w:p>
      <w:pPr>
        <w:pStyle w:val="BodyText"/>
      </w:pPr>
      <w:r>
        <w:rPr>
          <w:b/>
          <w:bCs/>
        </w:rPr>
        <w:t xml:space="preserve">1. Nessuno ha misurato l’effetto del trattamento manuale esterno sul dolore da endometriosi.</w:t>
      </w:r>
      <w:r>
        <w:t xml:space="preserve"> </w:t>
      </w:r>
      <w:r>
        <w:t xml:space="preserve">L’assenza di misura non dice niente sulla sua efficacia: dice che nessuno l’ha misurata.</w:t>
      </w:r>
    </w:p>
    <w:p>
      <w:pPr>
        <w:pStyle w:val="BodyText"/>
      </w:pPr>
      <w:r>
        <w:rPr>
          <w:b/>
          <w:bCs/>
        </w:rPr>
        <w:t xml:space="preserve">2. Perché quella letteratura non esiste — e dove invece esiste ed è negativa.</w:t>
      </w:r>
      <w:r>
        <w:t xml:space="preserve"> </w:t>
      </w:r>
      <w:r>
        <w:t xml:space="preserve">Sul</w:t>
      </w:r>
      <w:r>
        <w:t xml:space="preserve"> </w:t>
      </w:r>
      <w:r>
        <w:rPr>
          <w:b/>
          <w:bCs/>
        </w:rPr>
        <w:t xml:space="preserve">nostro gesto su questa malattia</w:t>
      </w:r>
      <w:r>
        <w:t xml:space="preserve"> </w:t>
      </w:r>
      <w:r>
        <w:t xml:space="preserve">non sono stati fatti studi, e le ragioni sono note. Nessun finanziamento per la terapia manuale in ginecologia. Nessun placebo credibile per il tocco. Campioni piccoli, perché il reclutamento passa dai centri di terzo livello. Ed esiti standard che sono la riduzione della lesione o la fertilità, non la funzione muscolo-scheletrica. Che lo studio si possa fare lo dimostra chi lo ha appena disegnato (Comptour 2025 — PMID 40338925).</w:t>
      </w:r>
    </w:p>
    <w:p>
      <w:pPr>
        <w:pStyle w:val="BodyText"/>
      </w:pPr>
      <w:r>
        <w:t xml:space="preserve">Ma su due lati il silenzio si è rotto, e in direzioni opposte. Sul lavoro attivo e sulla leva comportamentale la letteratura del 2025-2026 esiste ed è migliore della nostra.</w:t>
      </w:r>
      <w:r>
        <w:t xml:space="preserve"> </w:t>
      </w:r>
      <w:r>
        <w:rPr>
          <w:b/>
          <w:bCs/>
        </w:rPr>
        <w:t xml:space="preserve">Sul meccanismo gli studi ci sono e in gran parte sono negativi</w:t>
      </w:r>
      <w:r>
        <w:t xml:space="preserve">, e stanno sopra in «Cosa non possiamo dire». Il vuoto è nostro; il pieno che lo circonda non ci è favorevole.</w:t>
      </w:r>
    </w:p>
    <w:p>
      <w:pPr>
        <w:pStyle w:val="BodyText"/>
      </w:pPr>
      <w:r>
        <w:rPr>
          <w:b/>
          <w:bCs/>
        </w:rPr>
        <w:t xml:space="preserve">3. Su cosa ti basi allora</w:t>
      </w:r>
      <w:r>
        <w:t xml:space="preserve">, in ordine di forza.</w:t>
      </w:r>
    </w:p>
    <w:p>
      <w:pPr>
        <w:pStyle w:val="BodyText"/>
      </w:pPr>
      <w:r>
        <w:t xml:space="preserve">Sul</w:t>
      </w:r>
      <w:r>
        <w:t xml:space="preserve"> </w:t>
      </w:r>
      <w:r>
        <w:rPr>
          <w:b/>
          <w:bCs/>
        </w:rPr>
        <w:t xml:space="preserve">meccanismo fisiologico documentato</w:t>
      </w:r>
      <w:r>
        <w:t xml:space="preserve">: territorio somatico T10-L1, iperalgesia miofasciale misurata, sensibilizzazione misurata, tono vagale ridotto misurato in queste donne. Con la distinzione che regge tutto il capitolo, e che è facile perdere leggendo l’abbondanza del primo cerchio:</w:t>
      </w:r>
      <w:r>
        <w:t xml:space="preserve"> </w:t>
      </w:r>
      <w:r>
        <w:rPr>
          <w:b/>
          <w:bCs/>
        </w:rPr>
        <w:t xml:space="preserve">il meccanismo documentato è che il bersaglio esiste, non che si muova quando lo tocchi.</w:t>
      </w:r>
      <w:r>
        <w:t xml:space="preserve"> </w:t>
      </w:r>
      <w:r>
        <w:t xml:space="preserve">Sono due affermazioni diverse, e la seconda non ha prove.</w:t>
      </w:r>
    </w:p>
    <w:p>
      <w:pPr>
        <w:pStyle w:val="BodyText"/>
      </w:pPr>
      <w:r>
        <w:t xml:space="preserve">Sul</w:t>
      </w:r>
      <w:r>
        <w:t xml:space="preserve"> </w:t>
      </w:r>
      <w:r>
        <w:rPr>
          <w:b/>
          <w:bCs/>
        </w:rPr>
        <w:t xml:space="preserve">ragionamento clinico</w:t>
      </w:r>
      <w:r>
        <w:t xml:space="preserve">, dichiarato come tale.</w:t>
      </w:r>
    </w:p>
    <w:p>
      <w:pPr>
        <w:pStyle w:val="BodyText"/>
      </w:pPr>
      <w:r>
        <w:t xml:space="preserve">Sulla</w:t>
      </w:r>
      <w:r>
        <w:t xml:space="preserve"> </w:t>
      </w:r>
      <w:r>
        <w:rPr>
          <w:b/>
          <w:bCs/>
        </w:rPr>
        <w:t xml:space="preserve">verifica sulla singola paziente</w:t>
      </w:r>
      <w:r>
        <w:t xml:space="preserve">: due marker scelti prima, con la soglia scritta prima, uno su un piano che non hai toccato.</w:t>
      </w:r>
    </w:p>
    <w:p>
      <w:pPr>
        <w:pStyle w:val="BodyText"/>
      </w:pPr>
      <w:r>
        <w:rPr>
          <w:b/>
          <w:bCs/>
        </w:rPr>
        <w:t xml:space="preserve">4. Cosa separa tutto questo dal pensiero magico.</w:t>
      </w:r>
      <w:r>
        <w:t xml:space="preserve"> </w:t>
      </w:r>
      <w:r>
        <w:t xml:space="preserve">La verifica, e nient’altro: il marker scelto prima e accettato nel suo verdetto. E il limite della difesa va detto, altrimenti la difesa non è onesta:</w:t>
      </w:r>
      <w:r>
        <w:t xml:space="preserve"> </w:t>
      </w:r>
      <w:r>
        <w:rPr>
          <w:b/>
          <w:bCs/>
        </w:rPr>
        <w:t xml:space="preserve">una donna su tre migliora anche con un intervento finto e in cieco</w:t>
      </w:r>
      <w:r>
        <w:t xml:space="preserve"> </w:t>
      </w:r>
      <w:r>
        <w:t xml:space="preserve">(Sutton 1994 — PMID 7926075; Abbott 2004 — PMID 15482763). Un marker che si muove su una paziente sola, in un campo con quel tasso di risposta non specifica,</w:t>
      </w:r>
      <w:r>
        <w:t xml:space="preserve"> </w:t>
      </w:r>
      <w:r>
        <w:rPr>
          <w:b/>
          <w:bCs/>
        </w:rPr>
        <w:t xml:space="preserve">non è una prova di efficacia: è la condizione minima per continuare.</w:t>
      </w:r>
      <w:r>
        <w:t xml:space="preserve"> </w:t>
      </w:r>
      <w:r>
        <w:t xml:space="preserve">Se non si muove, sai qualcosa. Se si muove, sai solo di avere il permesso di andare avanti.</w:t>
      </w:r>
    </w:p>
    <w:p>
      <w:pPr>
        <w:pStyle w:val="BodyText"/>
      </w:pPr>
      <w:r>
        <w:rPr>
          <w:b/>
          <w:bCs/>
        </w:rPr>
        <w:t xml:space="preserve">5. Cosa non autorizza.</w:t>
      </w:r>
      <w:r>
        <w:t xml:space="preserve"> </w:t>
      </w:r>
      <w:r>
        <w:t xml:space="preserve">Non autorizza a promettere un esito. Non autorizza a scrivere DIMOSTRATO dove c’è IPOTESI. Non autorizza a dire che</w:t>
      </w:r>
      <w:r>
        <w:t xml:space="preserve"> </w:t>
      </w:r>
      <w:r>
        <w:t xml:space="preserve">“gli studi lo confermano”</w:t>
      </w:r>
      <w:r>
        <w:t xml:space="preserve">. La libertà che questo ragionamento dà è quella di</w:t>
      </w:r>
      <w:r>
        <w:t xml:space="preserve"> </w:t>
      </w:r>
      <w:r>
        <w:rPr>
          <w:b/>
          <w:bCs/>
        </w:rPr>
        <w:t xml:space="preserve">trattare e verificare</w:t>
      </w:r>
      <w:r>
        <w:t xml:space="preserve">, non di affermare.</w:t>
      </w:r>
    </w:p>
    <w:p>
      <w:pPr>
        <w:pStyle w:val="BodyText"/>
      </w:pPr>
      <w:r>
        <w:rPr>
          <w:b/>
          <w:bCs/>
        </w:rPr>
        <w:t xml:space="preserve">Le tre cose da ricordare, più una</w:t>
      </w:r>
    </w:p>
    <w:p>
      <w:pPr>
        <w:pStyle w:val="Compact"/>
        <w:numPr>
          <w:ilvl w:val="0"/>
          <w:numId w:val="1030"/>
        </w:numPr>
      </w:pPr>
      <w:r>
        <w:t xml:space="preserve">Il meccanismo è misurato bene, il nostro gesto non è misurato: le due cose vanno tenute separate in ogni frase che dici.</w:t>
      </w:r>
    </w:p>
    <w:p>
      <w:pPr>
        <w:pStyle w:val="Compact"/>
        <w:numPr>
          <w:ilvl w:val="0"/>
          <w:numId w:val="1030"/>
        </w:numPr>
      </w:pPr>
      <w:r>
        <w:t xml:space="preserve">Il tetto dell’effetto dimostrato dalla fisioterapia sono due punti su dieci, e vengono in gran parte da apparecchi.</w:t>
      </w:r>
    </w:p>
    <w:p>
      <w:pPr>
        <w:pStyle w:val="Compact"/>
        <w:numPr>
          <w:ilvl w:val="0"/>
          <w:numId w:val="1030"/>
        </w:numPr>
      </w:pPr>
      <w:r>
        <w:t xml:space="preserve">Il vuoto riguarda il nostro gesto; attorno a quel vuoto la letteratura c’è, e su due lati va in direzioni opposte — a favore sul lavoro attivo e sulla leva comportamentale, contro sulla terapia manuale confrontata con la manovra finta.</w:t>
      </w:r>
    </w:p>
    <w:p>
      <w:pPr>
        <w:pStyle w:val="Compact"/>
        <w:numPr>
          <w:ilvl w:val="0"/>
          <w:numId w:val="1030"/>
        </w:numPr>
      </w:pPr>
      <w:r>
        <w:rPr>
          <w:b/>
          <w:bCs/>
        </w:rPr>
        <w:t xml:space="preserve">Perché ci sei tu.</w:t>
      </w:r>
      <w:r>
        <w:t xml:space="preserve"> </w:t>
      </w:r>
      <w:r>
        <w:t xml:space="preserve">Lo stesso studio randomizzato che ha aumentato l’apertura dello iato levatorio e ridotto la dispareunia d’ingresso</w:t>
      </w:r>
      <w:r>
        <w:t xml:space="preserve"> </w:t>
      </w:r>
      <w:r>
        <w:rPr>
          <w:b/>
          <w:bCs/>
        </w:rPr>
        <w:t xml:space="preserve">non ha trovato differenze</w:t>
      </w:r>
      <w:r>
        <w:t xml:space="preserve"> </w:t>
      </w:r>
      <w:r>
        <w:t xml:space="preserve">fra trattate e controlli su funzione urinaria, intestinale e sessuale (Del Forno,</w:t>
      </w:r>
      <w:r>
        <w:t xml:space="preserve"> </w:t>
      </w:r>
      <w:r>
        <w:rPr>
          <w:i/>
          <w:iCs/>
        </w:rPr>
        <w:t xml:space="preserve">Medicina</w:t>
      </w:r>
      <w:r>
        <w:t xml:space="preserve"> </w:t>
      </w:r>
      <w:r>
        <w:t xml:space="preserve">2023 — PMID 38256327). Questo ti autorizza a promettere alla paziente un bersaglio stretto e nominato, non un miglioramento globale. Non ti autorizza a presentare la terapia fisica come una risposta ai suoi sintomi intestinali e urinari: su quelli, la prova migliore che esiste è negativa.</w:t>
      </w:r>
    </w:p>
    <w:p>
      <w:r>
        <w:pict>
          <v:rect style="width:0;height:1.5pt" o:hralign="center" o:hrstd="t" o:hr="t"/>
        </w:pict>
      </w:r>
    </w:p>
    <w:bookmarkEnd w:id="65"/>
    <w:bookmarkEnd w:id="66"/>
    <w:bookmarkStart w:id="7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toccano la malattia e non raggiungono il bersaglio meglio dimostrato — quello che possono fare è tutto quello che sta attorno a quei due limiti, ed è più di quanto la paziente abbia ricevuto finora.</w:t>
      </w:r>
    </w:p>
    <w:bookmarkStart w:id="67" w:name="X7b24e6ae9a1bd1d2ae9eefaef88af03186ef945"/>
    <w:p>
      <w:pPr>
        <w:pStyle w:val="Heading3"/>
      </w:pPr>
      <w:r>
        <w:t xml:space="preserve">Cosa non possono fare le mani, detto per primo</w:t>
      </w:r>
    </w:p>
    <w:p>
      <w:pPr>
        <w:pStyle w:val="FirstParagraph"/>
      </w:pPr>
      <w:r>
        <w:t xml:space="preserve">Non modificano le lesioni. Non cambiano il decorso della malattia. Non incidono sulla fertilità. Non riducono la necessità di chirurgia. Non sciolgono aderenze in modo verificabile. E</w:t>
      </w:r>
      <w:r>
        <w:t xml:space="preserve"> </w:t>
      </w:r>
      <w:r>
        <w:rPr>
          <w:b/>
          <w:bCs/>
        </w:rPr>
        <w:t xml:space="preserve">non raggiungono il pavimento pelvico</w:t>
      </w:r>
      <w:r>
        <w:t xml:space="preserve">, che è il bersaglio meglio dimostrato del quadro.</w:t>
      </w:r>
    </w:p>
    <w:p>
      <w:pPr>
        <w:pStyle w:val="BodyText"/>
      </w:pPr>
      <w:r>
        <w:t xml:space="preserve">Quest’ultima frase va detta in due tempi, perché nella versione corta insegna una cosa falsa.</w:t>
      </w:r>
      <w:r>
        <w:t xml:space="preserve"> </w:t>
      </w:r>
      <w:r>
        <w:rPr>
          <w:b/>
          <w:bCs/>
        </w:rPr>
        <w:t xml:space="preserve">Non lo raggiunge la tua mano.</w:t>
      </w:r>
      <w:r>
        <w:t xml:space="preserve"> </w:t>
      </w:r>
      <w:r>
        <w:t xml:space="preserve">Lo raggiungono la fisioterapista pelvi-perineale, per via interna, e il</w:t>
      </w:r>
      <w:r>
        <w:t xml:space="preserve"> </w:t>
      </w:r>
      <w:r>
        <w:rPr>
          <w:b/>
          <w:bCs/>
        </w:rPr>
        <w:t xml:space="preserve">lavoro attivo della paziente</w:t>
      </w:r>
      <w:r>
        <w:t xml:space="preserve">. Entrambe le vie hanno uno studio randomizzato alle spalle (Del Forno 2021 — PMID 33428320; Gabrielsen 2025 — PMID 41006088). Il bersaglio non è perduto: è di qualcun altro, e in parte è suo. E aprire quelle strade è lavoro tuo.</w:t>
      </w:r>
    </w:p>
    <w:p>
      <w:pPr>
        <w:pStyle w:val="BodyText"/>
      </w:pPr>
      <w:r>
        <w:t xml:space="preserve">Su sei meccanismi, sul quarto non hai nessuna leva e sul primo non ne hai una tua.</w:t>
      </w:r>
    </w:p>
    <w:p>
      <w:pPr>
        <w:pStyle w:val="BodyText"/>
      </w:pPr>
      <w:r>
        <w:t xml:space="preserve">Detto questo, si può dire cosa resta. Si riprendono i meccanismi di «Cosa si rompe», uno per uno.</w:t>
      </w:r>
    </w:p>
    <w:bookmarkEnd w:id="67"/>
    <w:bookmarkStart w:id="68" w:name="Xc6aad813c544a337955291260a1a98ca2c4fd65"/>
    <w:p>
      <w:pPr>
        <w:pStyle w:val="Heading3"/>
      </w:pPr>
      <w:r>
        <w:t xml:space="preserve">Leva 1 — sulla parete addominale iperalgesica (meccanismo 2, la parete che diventa il posto dove fa male)</w:t>
      </w:r>
    </w:p>
    <w:p>
      <w:pPr>
        <w:pStyle w:val="FirstParagraph"/>
      </w:pPr>
      <w:r>
        <w:rPr>
          <w:b/>
          <w:bCs/>
        </w:rPr>
        <w:t xml:space="preserve">Su cosa può agire una mano.</w:t>
      </w:r>
      <w:r>
        <w:t xml:space="preserve"> </w:t>
      </w:r>
      <w:r>
        <w:t xml:space="preserve">Sui tessuti somatici di T10-L1 — retti, piani laterali, paraspinali lombari — raggiungibili dall’esterno, che condividono il segmento con l’afferenza uterina.</w:t>
      </w:r>
    </w:p>
    <w:p>
      <w:pPr>
        <w:pStyle w:val="BodyText"/>
      </w:pPr>
      <w:r>
        <w:rPr>
          <w:b/>
          <w:bCs/>
        </w:rPr>
        <w:t xml:space="preserve">Che effetto ci si aspetta.</w:t>
      </w:r>
      <w:r>
        <w:t xml:space="preserve"> </w:t>
      </w:r>
      <w:r>
        <w:t xml:space="preserve">Un innalzamento della soglia di pressione locale e, se il sistema risponde, anche a distanza. Non</w:t>
      </w:r>
      <w:r>
        <w:t xml:space="preserve"> </w:t>
      </w:r>
      <w:r>
        <w:t xml:space="preserve">“sciogliere una contrattura”</w:t>
      </w:r>
      <w:r>
        <w:t xml:space="preserve">: alzare una soglia.</w:t>
      </w:r>
    </w:p>
    <w:p>
      <w:pPr>
        <w:pStyle w:val="BlockText"/>
      </w:pPr>
      <w:r>
        <w:rPr>
          <w:b/>
          <w:bCs/>
        </w:rPr>
        <w:t xml:space="preserve">Quanto è solido:</w:t>
      </w:r>
      <w:r>
        <w:t xml:space="preserve"> </w:t>
      </w:r>
      <w:r>
        <w:t xml:space="preserve">l’etichetta si spezza in tre. Che il bersaglio esista in questa popolazione:</w:t>
      </w:r>
      <w:r>
        <w:t xml:space="preserve"> </w:t>
      </w:r>
      <w:r>
        <w:rPr>
          <w:b/>
          <w:bCs/>
        </w:rPr>
        <w:t xml:space="preserve">DIMOSTRATO</w:t>
      </w:r>
      <w:r>
        <w:t xml:space="preserve"> </w:t>
      </w:r>
      <w:r>
        <w:rPr>
          <w:i/>
          <w:iCs/>
        </w:rPr>
        <w:t xml:space="preserve">(studi sull’uomo, solidi)</w:t>
      </w:r>
      <w:r>
        <w:t xml:space="preserve"> </w:t>
      </w:r>
      <w:r>
        <w:t xml:space="preserve">— Phan 2021 (PMID 33326662); Mui e Yong 2016 (PMID 27032740). Che scegliere</w:t>
      </w:r>
      <w:r>
        <w:t xml:space="preserve"> </w:t>
      </w:r>
      <w:r>
        <w:rPr>
          <w:b/>
          <w:bCs/>
        </w:rPr>
        <w:t xml:space="preserve">un bersaglio locale invece di un approccio generico</w:t>
      </w:r>
      <w:r>
        <w:t xml:space="preserve"> </w:t>
      </w:r>
      <w:r>
        <w:t xml:space="preserve">faccia differenza:</w:t>
      </w:r>
      <w:r>
        <w:t xml:space="preserve"> </w:t>
      </w:r>
      <w:r>
        <w:rPr>
          <w:b/>
          <w:bCs/>
        </w:rPr>
        <w:t xml:space="preserve">PROBABILE</w:t>
      </w:r>
      <w:r>
        <w:t xml:space="preserve"> </w:t>
      </w:r>
      <w:r>
        <w:rPr>
          <w:i/>
          <w:iCs/>
        </w:rPr>
        <w:t xml:space="preserve">(razionale forte, prove parziali)</w:t>
      </w:r>
      <w:r>
        <w:t xml:space="preserve"> </w:t>
      </w:r>
      <w:r>
        <w:t xml:space="preserve">sul solo meccanismo — il lavoro miofasciale mirato ha battuto il massaggio terapeutico globale, a parità di sedute e di tempo di contatto, in ottantuno donne con dolore pelvico cronico (FitzGerald 2012 — PMID 22503015); misurato su cistite interstiziale e non su endometriosi, con un intervento che comprendeva</w:t>
      </w:r>
      <w:r>
        <w:t xml:space="preserve"> </w:t>
      </w:r>
      <w:r>
        <w:rPr>
          <w:b/>
          <w:bCs/>
        </w:rPr>
        <w:t xml:space="preserve">lavoro per via interna che tu non fai</w:t>
      </w:r>
      <w:r>
        <w:t xml:space="preserve">, e con le scale di dolore, urgenza e frequenza che</w:t>
      </w:r>
      <w:r>
        <w:t xml:space="preserve"> </w:t>
      </w:r>
      <w:r>
        <w:rPr>
          <w:b/>
          <w:bCs/>
        </w:rPr>
        <w:t xml:space="preserve">non</w:t>
      </w:r>
      <w:r>
        <w:t xml:space="preserve"> </w:t>
      </w:r>
      <w:r>
        <w:t xml:space="preserve">hanno separato i due gruppi. Che il lavoro manuale alzi le soglie di pressione a distanza, e che questo riduca il dolore da endometriosi:</w:t>
      </w:r>
      <w:r>
        <w:t xml:space="preserve"> </w:t>
      </w:r>
      <w:r>
        <w:rPr>
          <w:b/>
          <w:bCs/>
        </w:rPr>
        <w:t xml:space="preserve">IPOTESI</w:t>
      </w:r>
      <w:r>
        <w:t xml:space="preserve"> </w:t>
      </w:r>
      <w:r>
        <w:rPr>
          <w:i/>
          <w:iCs/>
        </w:rPr>
        <w:t xml:space="preserve">(meccanismo coerente, nessuno studio)</w:t>
      </w:r>
      <w:r>
        <w:t xml:space="preserve">, e qui con due classi di prove contrarie da dichiarare nella stessa riga — l’effetto sulla soglia non sopravvive al confronto con la manovra finta (Jung 2023 — PMID 37172128; Aspinall 2019 — PMID 30719281), e sulla compressione manuale dei punti di parete esiste una prova diretta in direzione contraria (Montenegro 2015 — PMID 26628263).</w:t>
      </w:r>
    </w:p>
    <w:p>
      <w:pPr>
        <w:pStyle w:val="FirstParagraph"/>
      </w:pPr>
      <w:r>
        <w:rPr>
          <w:b/>
          <w:bCs/>
        </w:rPr>
        <w:t xml:space="preserve">Una conseguenza pratica.</w:t>
      </w:r>
      <w:r>
        <w:t xml:space="preserve"> </w:t>
      </w:r>
      <w:r>
        <w:t xml:space="preserve">Nessun ingresso ha, oggi, una prova alle spalle per muovere una soglia lontana. La scelta resta un</w:t>
      </w:r>
      <w:r>
        <w:t xml:space="preserve"> </w:t>
      </w:r>
      <w:r>
        <w:rPr>
          <w:b/>
          <w:bCs/>
        </w:rPr>
        <w:t xml:space="preserve">RAGIONAMENTO</w:t>
      </w:r>
      <w:r>
        <w:t xml:space="preserve"> </w:t>
      </w:r>
      <w:r>
        <w:rPr>
          <w:i/>
          <w:iCs/>
        </w:rPr>
        <w:t xml:space="preserve">(cornice clinica, non una prova)</w:t>
      </w:r>
      <w:r>
        <w:t xml:space="preserve">: si lavora sul territorio somatico che condivide il segmento con l’organo, perché è la via anatomica che esiste. Il marker invece non cambia: si misura fuori dal piano trattato</w:t>
      </w:r>
      <w:r>
        <w:t xml:space="preserve"> </w:t>
      </w:r>
      <w:r>
        <w:rPr>
          <w:b/>
          <w:bCs/>
        </w:rPr>
        <w:t xml:space="preserve">non</w:t>
      </w:r>
      <w:r>
        <w:t xml:space="preserve"> </w:t>
      </w:r>
      <w:r>
        <w:t xml:space="preserve">perché sia dimostrato che si muova, ma perché è il solo modo di accorgersi se non si muove.</w:t>
      </w:r>
    </w:p>
    <w:p>
      <w:pPr>
        <w:pStyle w:val="BodyText"/>
      </w:pPr>
      <w:r>
        <w:rPr>
          <w:b/>
          <w:bCs/>
        </w:rPr>
        <w:t xml:space="preserve">In quanto tempo si vedrebbe.</w:t>
      </w:r>
      <w:r>
        <w:t xml:space="preserve"> </w:t>
      </w:r>
      <w:r>
        <w:t xml:space="preserve">La soglia locale si muove dentro la seduta, o il bersaglio è sbagliato. Il cambiamento sui giorni di dolore, se arriva, si conta in settimane — e va confrontato a pari fase del ciclo.</w:t>
      </w:r>
    </w:p>
    <w:bookmarkEnd w:id="68"/>
    <w:bookmarkStart w:id="69" w:name="Xf0f6ebc252559c16de2734095d557902fd6ec0d"/>
    <w:p>
      <w:pPr>
        <w:pStyle w:val="Heading3"/>
      </w:pPr>
      <w:r>
        <w:t xml:space="preserve">Leva 2 — sul livello di attivazione (meccanismo 3, la soglia che scende in tutto il corpo)</w:t>
      </w:r>
    </w:p>
    <w:p>
      <w:pPr>
        <w:pStyle w:val="FirstParagraph"/>
      </w:pPr>
      <w:r>
        <w:rPr>
          <w:b/>
          <w:bCs/>
        </w:rPr>
        <w:t xml:space="preserve">Su cosa può agire una mano.</w:t>
      </w:r>
      <w:r>
        <w:t xml:space="preserve"> </w:t>
      </w:r>
      <w:r>
        <w:t xml:space="preserve">Sul contatto stesso: velocità, prevedibilità, durata, e il ritmo del respiro che lo accompagna. È lavoro manuale a tutti gli effetti, mirato al guadagno del sistema invece che al tessuto.</w:t>
      </w:r>
    </w:p>
    <w:p>
      <w:pPr>
        <w:pStyle w:val="BodyText"/>
      </w:pPr>
      <w:r>
        <w:rPr>
          <w:b/>
          <w:bCs/>
        </w:rPr>
        <w:t xml:space="preserve">Che effetto ci si aspetta.</w:t>
      </w:r>
      <w:r>
        <w:t xml:space="preserve"> </w:t>
      </w:r>
      <w:r>
        <w:t xml:space="preserve">Un abbassamento del livello di allarme dentro la seduta. E, se ripetuto, uno spostamento della soglia nelle settimane. Sono due effetti diversi, e vanno tenuti distinti.</w:t>
      </w:r>
    </w:p>
    <w:p>
      <w:pPr>
        <w:pStyle w:val="BlockText"/>
      </w:pPr>
      <w:r>
        <w:rPr>
          <w:b/>
          <w:bCs/>
        </w:rPr>
        <w:t xml:space="preserve">Quanto è solido:</w:t>
      </w:r>
      <w:r>
        <w:t xml:space="preserve"> </w:t>
      </w:r>
      <w:r>
        <w:t xml:space="preserve">l’etichetta si spezza. Che il bersaglio autonomico esista</w:t>
      </w:r>
      <w:r>
        <w:t xml:space="preserve"> </w:t>
      </w:r>
      <w:r>
        <w:rPr>
          <w:b/>
          <w:bCs/>
        </w:rPr>
        <w:t xml:space="preserve">in queste donne</w:t>
      </w:r>
      <w:r>
        <w:t xml:space="preserve">:</w:t>
      </w:r>
      <w:r>
        <w:t xml:space="preserve"> </w:t>
      </w:r>
      <w:r>
        <w:rPr>
          <w:b/>
          <w:bCs/>
        </w:rPr>
        <w:t xml:space="preserve">DIMOSTRATO</w:t>
      </w:r>
      <w:r>
        <w:t xml:space="preserve"> </w:t>
      </w:r>
      <w:r>
        <w:rPr>
          <w:i/>
          <w:iCs/>
        </w:rPr>
        <w:t xml:space="preserve">(studi sull’uomo, solidi)</w:t>
      </w:r>
      <w:r>
        <w:t xml:space="preserve"> </w:t>
      </w:r>
      <w:r>
        <w:t xml:space="preserve">sulla sola associazione — tono vagale a riposo ridotto rispetto ai controlli e più basso in chi ha dolore più intenso (Hao 2021 — PMID 33446725; de França Moreira 2021 — PMID 34719338). È un’associazione trasversale, e non dice se il tono basso produce il dolore o se il dolore abbassa il tono; e di Hao entra</w:t>
      </w:r>
      <w:r>
        <w:t xml:space="preserve"> </w:t>
      </w:r>
      <w:r>
        <w:rPr>
          <w:b/>
          <w:bCs/>
        </w:rPr>
        <w:t xml:space="preserve">solo il braccio umano</w:t>
      </w:r>
      <w:r>
        <w:t xml:space="preserve">, perché la parte terapeutica sulla stimolazione vagale è condotta su topi. Che il respiro lento modifichi indici autonomici:</w:t>
      </w:r>
      <w:r>
        <w:t xml:space="preserve"> </w:t>
      </w:r>
      <w:r>
        <w:rPr>
          <w:b/>
          <w:bCs/>
        </w:rPr>
        <w:t xml:space="preserve">PROBABILE</w:t>
      </w:r>
      <w:r>
        <w:t xml:space="preserve"> </w:t>
      </w:r>
      <w:r>
        <w:rPr>
          <w:i/>
          <w:iCs/>
        </w:rPr>
        <w:t xml:space="preserve">(razionale forte, prove parziali)</w:t>
      </w:r>
      <w:r>
        <w:t xml:space="preserve">, salto di</w:t>
      </w:r>
      <w:r>
        <w:t xml:space="preserve"> </w:t>
      </w:r>
      <w:r>
        <w:rPr>
          <w:b/>
          <w:bCs/>
        </w:rPr>
        <w:t xml:space="preserve">popolazione</w:t>
      </w:r>
      <w:r>
        <w:t xml:space="preserve"> </w:t>
      </w:r>
      <w:r>
        <w:t xml:space="preserve">— volontari e popolazioni generali (Sevoz-Couche e Laborde 2022 — PMID 35167847). Che il tocco lento abbia una via afferente propria:</w:t>
      </w:r>
      <w:r>
        <w:t xml:space="preserve"> </w:t>
      </w:r>
      <w:r>
        <w:rPr>
          <w:b/>
          <w:bCs/>
        </w:rPr>
        <w:t xml:space="preserve">PROBABILE</w:t>
      </w:r>
      <w:r>
        <w:t xml:space="preserve"> </w:t>
      </w:r>
      <w:r>
        <w:rPr>
          <w:i/>
          <w:iCs/>
        </w:rPr>
        <w:t xml:space="preserve">(razionale forte, prove parziali)</w:t>
      </w:r>
      <w:r>
        <w:t xml:space="preserve">, salto di</w:t>
      </w:r>
      <w:r>
        <w:t xml:space="preserve"> </w:t>
      </w:r>
      <w:r>
        <w:rPr>
          <w:b/>
          <w:bCs/>
        </w:rPr>
        <w:t xml:space="preserve">popolazione e di esito</w:t>
      </w:r>
      <w:r>
        <w:t xml:space="preserve"> </w:t>
      </w:r>
      <w:r>
        <w:t xml:space="preserve">— volontari sani, esito di piacevolezza e non di dolore (Löken 2009 — PMID 19363489). Che tutto questo riduca il dolore in questa condizione:</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In quanto tempo si vedrebbe.</w:t>
      </w:r>
      <w:r>
        <w:t xml:space="preserve"> </w:t>
      </w:r>
      <w:r>
        <w:t xml:space="preserve">L’effetto di stato è immediato, e non prova niente da solo: è la differenza fra il piatto caldo di stasera e la spesa che riempie la dispensa. Lo spostamento della soglia, se c’è, si vede a distanza di settimane — ma</w:t>
      </w:r>
      <w:r>
        <w:t xml:space="preserve"> </w:t>
      </w:r>
      <w:r>
        <w:rPr>
          <w:b/>
          <w:bCs/>
        </w:rPr>
        <w:t xml:space="preserve">non sul trapezio</w:t>
      </w:r>
      <w:r>
        <w:t xml:space="preserve">: dopo questa leva né trapezio né parete sono piani non trattati. Il marker che decide diventa l’escursione lombare, se quel giorno non hai trattato il tronco, oppure i giorni di dolore fuori dal flusso (vedi «La regola che accoppia la leva al marker»).</w:t>
      </w:r>
    </w:p>
    <w:bookmarkEnd w:id="69"/>
    <w:bookmarkStart w:id="70" w:name="X26a0306623fb9d11585e9b64b98569e2c052a7c"/>
    <w:p>
      <w:pPr>
        <w:pStyle w:val="Heading3"/>
      </w:pPr>
      <w:r>
        <w:t xml:space="preserve">Leva 3 — sul contenitore lombo-pelvico e sulla pressione (meccanismo 5, il bacino che ha perso lo scorrimento)</w:t>
      </w:r>
    </w:p>
    <w:p>
      <w:pPr>
        <w:pStyle w:val="FirstParagraph"/>
      </w:pPr>
      <w:r>
        <w:rPr>
          <w:b/>
          <w:bCs/>
        </w:rPr>
        <w:t xml:space="preserve">Su cosa può agire una mano.</w:t>
      </w:r>
      <w:r>
        <w:t xml:space="preserve"> </w:t>
      </w:r>
      <w:r>
        <w:t xml:space="preserve">Sulla mobilità del complesso lombo-sacrale, delle anche e del diaframma: le tre strutture che governano quanta pressione e quanto movimento arrivano al contenuto pelvico.</w:t>
      </w:r>
    </w:p>
    <w:p>
      <w:pPr>
        <w:pStyle w:val="BodyText"/>
      </w:pPr>
      <w:r>
        <w:rPr>
          <w:b/>
          <w:bCs/>
        </w:rPr>
        <w:t xml:space="preserve">Che effetto ci si aspetta.</w:t>
      </w:r>
      <w:r>
        <w:t xml:space="preserve"> </w:t>
      </w:r>
      <w:r>
        <w:t xml:space="preserve">Un recupero di escursione misurabile e una redistribuzione del carico.</w:t>
      </w:r>
      <w:r>
        <w:t xml:space="preserve"> </w:t>
      </w:r>
      <w:r>
        <w:rPr>
          <w:b/>
          <w:bCs/>
        </w:rPr>
        <w:t xml:space="preserve">Non</w:t>
      </w:r>
      <w:r>
        <w:t xml:space="preserve"> </w:t>
      </w:r>
      <w:r>
        <w:t xml:space="preserve">un effetto sulle aderenze, che non sai misurare. E</w:t>
      </w:r>
      <w:r>
        <w:t xml:space="preserve"> </w:t>
      </w:r>
      <w:r>
        <w:rPr>
          <w:b/>
          <w:bCs/>
        </w:rPr>
        <w:t xml:space="preserve">non</w:t>
      </w:r>
      <w:r>
        <w:t xml:space="preserve"> </w:t>
      </w:r>
      <w:r>
        <w:t xml:space="preserve">sul tono dell’elevatore, che non tocchi.</w:t>
      </w:r>
    </w:p>
    <w:p>
      <w:pPr>
        <w:pStyle w:val="BodyText"/>
      </w:pPr>
      <w:r>
        <w:rPr>
          <w:b/>
          <w:bCs/>
        </w:rPr>
        <w:t xml:space="preserve">Sul meccanismo 1 questa leva non agisce</w:t>
      </w:r>
      <w:r>
        <w:t xml:space="preserve">: non tocchi il tono dell’elevatore e non lo misuri. Esiste una sola via esterna che la fisiologia autorizza a</w:t>
      </w:r>
      <w:r>
        <w:t xml:space="preserve"> </w:t>
      </w:r>
      <w:r>
        <w:rPr>
          <w:b/>
          <w:bCs/>
        </w:rPr>
        <w:t xml:space="preserve">nominare</w:t>
      </w:r>
      <w:r>
        <w:t xml:space="preserve">: l’elevatore è comandato da</w:t>
      </w:r>
      <w:r>
        <w:t xml:space="preserve"> </w:t>
      </w:r>
      <w:r>
        <w:rPr>
          <w:b/>
          <w:bCs/>
        </w:rPr>
        <w:t xml:space="preserve">S3-S4</w:t>
      </w:r>
      <w:r>
        <w:t xml:space="preserve">, e quei segmenti hanno un involucro somatico raggiungibile da fuori. Ma non è una scorciatoia verso il lavoro interno, e non rende il pavimento pelvico un bersaglio. Risposta attesa sui tessuti S2-S4,</w:t>
      </w:r>
      <w:r>
        <w:t xml:space="preserve"> </w:t>
      </w:r>
      <w:r>
        <w:rPr>
          <w:b/>
          <w:bCs/>
        </w:rPr>
        <w:t xml:space="preserve">nessuna attesa</w:t>
      </w:r>
      <w:r>
        <w:t xml:space="preserve"> </w:t>
      </w:r>
      <w:r>
        <w:t xml:space="preserve">sul tono dell’elevatore.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sull’effetto sul dolore da endometriosi, sia per la via lombo-pelvica sia per la via sacrale. Il razionale poggia sull’anatomia della cavità, sull’innervazione S3-S4 dell’elevatore, e sull’associazione fra ipertono del pavimento e stitichezza cronica in queste donne (Raimondo 2022 — PMID 34995357), che è un’associazione e non una direzione di causa.</w:t>
      </w:r>
    </w:p>
    <w:p>
      <w:pPr>
        <w:pStyle w:val="FirstParagraph"/>
      </w:pPr>
      <w:r>
        <w:rPr>
          <w:b/>
          <w:bCs/>
        </w:rPr>
        <w:t xml:space="preserve">In quanto tempo si vedrebbe.</w:t>
      </w:r>
      <w:r>
        <w:t xml:space="preserve"> </w:t>
      </w:r>
      <w:r>
        <w:t xml:space="preserve">L’escursione lombare cambia dentro la seduta, o non cambia. Il dolore legato alla posizione, se risponde, risponde in due o tre settimane.</w:t>
      </w:r>
    </w:p>
    <w:bookmarkEnd w:id="70"/>
    <w:bookmarkStart w:id="71" w:name="X28081d0901d6550feaf5eaae30c6f10106dca0e"/>
    <w:p>
      <w:pPr>
        <w:pStyle w:val="Heading3"/>
      </w:pPr>
      <w:r>
        <w:t xml:space="preserve">Leva 4 — sulla spiegazione e sul contesto (meccanismo 6, l’allarme costruito in anni di dolore non creduto)</w:t>
      </w:r>
    </w:p>
    <w:p>
      <w:pPr>
        <w:pStyle w:val="FirstParagraph"/>
      </w:pPr>
      <w:r>
        <w:rPr>
          <w:b/>
          <w:bCs/>
        </w:rPr>
        <w:t xml:space="preserve">Su cosa può agire una mano.</w:t>
      </w:r>
      <w:r>
        <w:t xml:space="preserve"> </w:t>
      </w:r>
      <w:r>
        <w:t xml:space="preserve">Non solo la mano: il tempo dedicato, l’ordine in cui spieghi, e il fatto che tu palpi ciò che nessuno ha palpato. La spiegazione ha qui un contenuto specifico — perché il dolore non segue l’immagine — e quel contenuto lei non ce l’ha.</w:t>
      </w:r>
    </w:p>
    <w:p>
      <w:pPr>
        <w:pStyle w:val="BodyText"/>
      </w:pPr>
      <w:r>
        <w:rPr>
          <w:b/>
          <w:bCs/>
        </w:rPr>
        <w:t xml:space="preserve">E ha un bersaglio preciso, che non è quello che verrebbe da dire.</w:t>
      </w:r>
      <w:r>
        <w:t xml:space="preserve"> </w:t>
      </w:r>
      <w:r>
        <w:t xml:space="preserve">Non «ascolta di più il tuo corpo». In queste donne l’accuratezza nel leggere i segnali interni è</w:t>
      </w:r>
      <w:r>
        <w:t xml:space="preserve"> </w:t>
      </w:r>
      <w:r>
        <w:rPr>
          <w:b/>
          <w:bCs/>
        </w:rPr>
        <w:t xml:space="preserve">bassa</w:t>
      </w:r>
      <w:r>
        <w:t xml:space="preserve">, mentre la convinzione su quei segnali è</w:t>
      </w:r>
      <w:r>
        <w:t xml:space="preserve"> </w:t>
      </w:r>
      <w:r>
        <w:rPr>
          <w:b/>
          <w:bCs/>
        </w:rPr>
        <w:t xml:space="preserve">alta</w:t>
      </w:r>
      <w:r>
        <w:t xml:space="preserve"> </w:t>
      </w:r>
      <w:r>
        <w:t xml:space="preserve">(Cantoni 2025 — PMID 40323957, meccanismo 6). Il consiglio ingenuo alza la seconda e non tocca la prima. Il bersaglio è la</w:t>
      </w:r>
      <w:r>
        <w:t xml:space="preserve"> </w:t>
      </w:r>
      <w:r>
        <w:rPr>
          <w:b/>
          <w:bCs/>
        </w:rPr>
        <w:t xml:space="preserve">taratura</w:t>
      </w:r>
      <w:r>
        <w:t xml:space="preserve">: cosa quel segnale significa e cosa no.</w:t>
      </w:r>
    </w:p>
    <w:p>
      <w:pPr>
        <w:pStyle w:val="BodyText"/>
      </w:pPr>
      <w:r>
        <w:rPr>
          <w:b/>
          <w:bCs/>
        </w:rPr>
        <w:t xml:space="preserve">Che effetto ci si aspetta.</w:t>
      </w:r>
      <w:r>
        <w:t xml:space="preserve"> </w:t>
      </w:r>
      <w:r>
        <w:t xml:space="preserve">Migliore aderenza al percorso. E — separatamente — una riduzione della vigilanza sul sintomo.</w:t>
      </w:r>
    </w:p>
    <w:p>
      <w:pPr>
        <w:pStyle w:val="BlockText"/>
      </w:pPr>
      <w:r>
        <w:rPr>
          <w:b/>
          <w:bCs/>
        </w:rPr>
        <w:t xml:space="preserve">Quanto è solido:</w:t>
      </w:r>
      <w:r>
        <w:t xml:space="preserve"> </w:t>
      </w:r>
      <w:r>
        <w:t xml:space="preserve">l’etichetta si spezza, perché i due effetti non hanno la stessa prova. Sull’</w:t>
      </w:r>
      <w:r>
        <w:rPr>
          <w:b/>
          <w:bCs/>
        </w:rPr>
        <w:t xml:space="preserve">aderenza e sulla funzione fisica</w:t>
      </w:r>
      <w:r>
        <w:t xml:space="preserve">:</w:t>
      </w:r>
      <w:r>
        <w:t xml:space="preserve"> </w:t>
      </w:r>
      <w:r>
        <w:rPr>
          <w:b/>
          <w:bCs/>
        </w:rPr>
        <w:t xml:space="preserve">PROBABILE</w:t>
      </w:r>
      <w:r>
        <w:t xml:space="preserve"> </w:t>
      </w:r>
      <w:r>
        <w:rPr>
          <w:i/>
          <w:iCs/>
        </w:rPr>
        <w:t xml:space="preserve">(razionale forte, prove parziali)</w:t>
      </w:r>
      <w:r>
        <w:t xml:space="preserve">, con salto di</w:t>
      </w:r>
      <w:r>
        <w:t xml:space="preserve"> </w:t>
      </w:r>
      <w:r>
        <w:rPr>
          <w:b/>
          <w:bCs/>
        </w:rPr>
        <w:t xml:space="preserve">popolazione</w:t>
      </w:r>
      <w:r>
        <w:t xml:space="preserve"> </w:t>
      </w:r>
      <w:r>
        <w:t xml:space="preserve">(Hall 2010 — PMID 20576715). Sulla</w:t>
      </w:r>
      <w:r>
        <w:t xml:space="preserve"> </w:t>
      </w:r>
      <w:r>
        <w:rPr>
          <w:b/>
          <w:bCs/>
        </w:rPr>
        <w:t xml:space="preserve">riduzione dell’ipervigilanza e della catastrofizzazione</w:t>
      </w:r>
      <w:r>
        <w:t xml:space="preserve">: quel piano è modificabile in questa popolazione — ma da un intervento strutturato che non è il nostro (Evans 2026 — PMID 41717450); che lo muova la nostra spiegazione dentro una seduta è</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In quanto tempo si vedrebbe.</w:t>
      </w:r>
      <w:r>
        <w:t xml:space="preserve"> </w:t>
      </w:r>
      <w:r>
        <w:t xml:space="preserve">Nella prima seduta, sul modo in cui parla del proprio dolore alla seconda.</w:t>
      </w:r>
    </w:p>
    <w:bookmarkEnd w:id="71"/>
    <w:bookmarkStart w:id="72" w:name="X313a9305afc17cefd332a43187892ca69ddea55"/>
    <w:p>
      <w:pPr>
        <w:pStyle w:val="Heading3"/>
      </w:pPr>
      <w:r>
        <w:t xml:space="preserve">Cosa fa l’osteopata che il resto del percorso non fa</w:t>
      </w:r>
    </w:p>
    <w:p>
      <w:pPr>
        <w:pStyle w:val="FirstParagraph"/>
      </w:pPr>
      <w:r>
        <w:t xml:space="preserve">Tre cose, e riguardano i</w:t>
      </w:r>
      <w:r>
        <w:t xml:space="preserve"> </w:t>
      </w:r>
      <w:r>
        <w:rPr>
          <w:b/>
          <w:bCs/>
        </w:rPr>
        <w:t xml:space="preserve">meccanismi</w:t>
      </w:r>
      <w:r>
        <w:t xml:space="preserve">, non le persone. Palpa e qualifica il territorio somatico di T10-L1 (meccanismo 2). Produce una misura di funzione invece di un punteggio di sintomo. E dà un tempo di contatto che, su un sistema con la soglia abbassata, non è un contorno gentile: è la leva dei meccanismi 3 e 6.</w:t>
      </w:r>
    </w:p>
    <w:p>
      <w:pPr>
        <w:pStyle w:val="BodyText"/>
      </w:pPr>
      <w:r>
        <w:t xml:space="preserve">Tutte e tre valgono</w:t>
      </w:r>
      <w:r>
        <w:t xml:space="preserve"> </w:t>
      </w:r>
      <w:r>
        <w:rPr>
          <w:b/>
          <w:bCs/>
        </w:rPr>
        <w:t xml:space="preserve">finché le verifichi in anamnesi</w:t>
      </w:r>
      <w:r>
        <w:t xml:space="preserve">. Una paziente già passata da un centro per il dolore pelvico può averle ricevute, e l’affermazione assoluta cade davanti a lei portandosi dietro la tua credibilità.</w:t>
      </w:r>
    </w:p>
    <w:p>
      <w:pPr>
        <w:pStyle w:val="BodyText"/>
      </w:pPr>
      <w:r>
        <w:rPr>
          <w:b/>
          <w:bCs/>
        </w:rPr>
        <w:t xml:space="preserve">Il come si fa non è qui.</w:t>
      </w:r>
      <w:r>
        <w:t xml:space="preserve"> </w:t>
      </w:r>
      <w:r>
        <w:t xml:space="preserve">Sta nella Procedura dell’endometriosi: due pagine, tecniche, dosi e piano delle sedute.</w:t>
      </w:r>
    </w:p>
    <w:p>
      <w:pPr>
        <w:pStyle w:val="BodyText"/>
      </w:pPr>
      <w:r>
        <w:rPr>
          <w:b/>
          <w:bCs/>
        </w:rPr>
        <w:t xml:space="preserve">Le tre cose da ricordare, più una</w:t>
      </w:r>
    </w:p>
    <w:p>
      <w:pPr>
        <w:pStyle w:val="Compact"/>
        <w:numPr>
          <w:ilvl w:val="0"/>
          <w:numId w:val="1031"/>
        </w:numPr>
      </w:pPr>
      <w:r>
        <w:t xml:space="preserve">I limiti si dicono per primi, e su questa condizione sono due grossi: la malattia, e il pavimento pelvico che la tua mano non raggiunge — ma che la paziente e la fisioterapista sì.</w:t>
      </w:r>
    </w:p>
    <w:p>
      <w:pPr>
        <w:pStyle w:val="Compact"/>
        <w:numPr>
          <w:ilvl w:val="0"/>
          <w:numId w:val="1031"/>
        </w:numPr>
      </w:pPr>
      <w:r>
        <w:t xml:space="preserve">L’effetto di stato dentro la seduta e lo spostamento della soglia nelle settimane sono cose diverse: attribuire il secondo alla singola tecnica porta a concludere che non funzioni niente.</w:t>
      </w:r>
    </w:p>
    <w:p>
      <w:pPr>
        <w:pStyle w:val="Compact"/>
        <w:numPr>
          <w:ilvl w:val="0"/>
          <w:numId w:val="1031"/>
        </w:numPr>
      </w:pPr>
      <w:r>
        <w:t xml:space="preserve">La leva sull’attivazione è lavoro manuale, non un ripiego: è la leva del meccanismo con le prove migliori del documento.</w:t>
      </w:r>
    </w:p>
    <w:p>
      <w:pPr>
        <w:pStyle w:val="Compact"/>
        <w:numPr>
          <w:ilvl w:val="0"/>
          <w:numId w:val="1031"/>
        </w:numPr>
      </w:pPr>
      <w:r>
        <w:rPr>
          <w:b/>
          <w:bCs/>
        </w:rPr>
        <w:t xml:space="preserve">Perché ci sei tu.</w:t>
      </w:r>
      <w:r>
        <w:t xml:space="preserve"> </w:t>
      </w:r>
      <w:r>
        <w:t xml:space="preserve">Il lavoro manuale</w:t>
      </w:r>
      <w:r>
        <w:t xml:space="preserve"> </w:t>
      </w:r>
      <w:r>
        <w:rPr>
          <w:b/>
          <w:bCs/>
        </w:rPr>
        <w:t xml:space="preserve">mirato su un reperto</w:t>
      </w:r>
      <w:r>
        <w:t xml:space="preserve"> </w:t>
      </w:r>
      <w:r>
        <w:t xml:space="preserve">ha battuto il massaggio manuale</w:t>
      </w:r>
      <w:r>
        <w:t xml:space="preserve"> </w:t>
      </w:r>
      <w:r>
        <w:rPr>
          <w:b/>
          <w:bCs/>
        </w:rPr>
        <w:t xml:space="preserve">generico</w:t>
      </w:r>
      <w:r>
        <w:t xml:space="preserve">, a parità di sedute e di tempo di contatto, in ottantuno donne con dolore pelvico cronico seguite in undici centri: risposta globale 59% contro 26% (FitzGerald,</w:t>
      </w:r>
      <w:r>
        <w:t xml:space="preserve"> </w:t>
      </w:r>
      <w:r>
        <w:rPr>
          <w:i/>
          <w:iCs/>
        </w:rPr>
        <w:t xml:space="preserve">J Urol</w:t>
      </w:r>
      <w:r>
        <w:t xml:space="preserve"> </w:t>
      </w:r>
      <w:r>
        <w:t xml:space="preserve">2012 — PMID 22503015). Misurato su cistite interstiziale e non su endometriosi, con un intervento che comprendeva</w:t>
      </w:r>
      <w:r>
        <w:t xml:space="preserve"> </w:t>
      </w:r>
      <w:r>
        <w:rPr>
          <w:b/>
          <w:bCs/>
        </w:rPr>
        <w:t xml:space="preserve">lavoro per via interna che tu non fai</w:t>
      </w:r>
      <w:r>
        <w:t xml:space="preserve">, e con le scale di dolore, urgenza e frequenza che non hanno separato i due gruppi. Questo ti autorizza a spendere il tuo tempo su un bersaglio scelto e documentato invece che su un trattamento generale, perché la differenza non è stare addosso alla paziente: è scegliere dove. Non ti autorizza a dire che il tuo lavoro agisce sulla sensibilizzazione di questa paziente — quel ponte non l’ha attraversato nessuno, e le due sintesi che ci hanno provato con la manovra finta non lo hanno trovato.</w:t>
      </w:r>
    </w:p>
    <w:p>
      <w:r>
        <w:pict>
          <v:rect style="width:0;height:1.5pt" o:hralign="center" o:hrstd="t" o:hr="t"/>
        </w:pict>
      </w:r>
    </w:p>
    <w:bookmarkEnd w:id="72"/>
    <w:bookmarkEnd w:id="73"/>
    <w:bookmarkStart w:id="74" w:name="Xab083995fcdfe57d4dc757cc13364eed7866fff"/>
    <w:p>
      <w:pPr>
        <w:pStyle w:val="Heading2"/>
      </w:pPr>
      <w:r>
        <w:t xml:space="preserve">Capitolo 12 — Cosa può fare la paziente da sola</w:t>
      </w:r>
    </w:p>
    <w:p>
      <w:pPr>
        <w:pStyle w:val="BlockText"/>
      </w:pPr>
      <w:r>
        <w:rPr>
          <w:b/>
          <w:bCs/>
        </w:rPr>
        <w:t xml:space="preserve">In una riga:</w:t>
      </w:r>
      <w:r>
        <w:t xml:space="preserve"> </w:t>
      </w:r>
      <w:r>
        <w:t xml:space="preserve">il bersaglio che la tua mano non raggiunge lo raggiunge lei, e lo studio con il disegno migliore di tutta questa condizione riguarda esattamente quello che fa da sola.</w:t>
      </w:r>
    </w:p>
    <w:p>
      <w:pPr>
        <w:pStyle w:val="FirstParagraph"/>
      </w:pPr>
      <w:r>
        <w:t xml:space="preserve">Il capitolo è attivo perché uno strumento attivo regge</w:t>
      </w:r>
      <w:r>
        <w:t xml:space="preserve"> </w:t>
      </w:r>
      <w:r>
        <w:rPr>
          <w:b/>
          <w:bCs/>
        </w:rPr>
        <w:t xml:space="preserve">PROBABILE</w:t>
      </w:r>
      <w:r>
        <w:t xml:space="preserve"> </w:t>
      </w:r>
      <w:r>
        <w:t xml:space="preserve">con più studi controllati. E lo studio che lo regge ha il disegno migliore di tutta la condizione. Chi assegnava le donne ai due gruppi non poteva sapere in anticipo dove sarebbe finita la prossima. Tutte le partecipanti sono state contate nel gruppo di partenza, anche se hanno mollato. E il controllo è arrivato a dodici mesi. Meglio di qualunque studio sul nostro gesto.</w:t>
      </w:r>
    </w:p>
    <w:p>
      <w:pPr>
        <w:pStyle w:val="BodyText"/>
      </w:pPr>
      <w:r>
        <w:rPr>
          <w:b/>
          <w:bCs/>
        </w:rPr>
        <w:t xml:space="preserve">Che cos’è.</w:t>
      </w:r>
      <w:r>
        <w:t xml:space="preserve"> </w:t>
      </w:r>
      <w:r>
        <w:t xml:space="preserve">Allenamento generale progressivo con</w:t>
      </w:r>
      <w:r>
        <w:t xml:space="preserve"> </w:t>
      </w:r>
      <w:r>
        <w:rPr>
          <w:b/>
          <w:bCs/>
        </w:rPr>
        <w:t xml:space="preserve">training del pavimento pelvico</w:t>
      </w:r>
      <w:r>
        <w:t xml:space="preserve"> </w:t>
      </w:r>
      <w:r>
        <w:t xml:space="preserve">e una componente di rilassamento, in una progressione che parte sotto la soglia che spaventa. Non è</w:t>
      </w:r>
      <w:r>
        <w:t xml:space="preserve"> </w:t>
      </w:r>
      <w:r>
        <w:t xml:space="preserve">“fare sport”</w:t>
      </w:r>
      <w:r>
        <w:t xml:space="preserve">: all’inizio è supervisionato, poi diventa autonomo. È la prima volta in autostrada con qualcuno accanto: la strada è la stessa, la paura no.</w:t>
      </w:r>
    </w:p>
    <w:p>
      <w:pPr>
        <w:pStyle w:val="BodyText"/>
      </w:pPr>
      <w:r>
        <w:rPr>
          <w:b/>
          <w:bCs/>
        </w:rPr>
        <w:t xml:space="preserve">A quale meccanismo si aggancia.</w:t>
      </w:r>
      <w:r>
        <w:t xml:space="preserve"> </w:t>
      </w:r>
      <w:r>
        <w:t xml:space="preserve">Al</w:t>
      </w:r>
      <w:r>
        <w:t xml:space="preserve"> </w:t>
      </w:r>
      <w:r>
        <w:rPr>
          <w:b/>
          <w:bCs/>
        </w:rPr>
        <w:t xml:space="preserve">meccanismo 1</w:t>
      </w:r>
      <w:r>
        <w:t xml:space="preserve">, il pavimento pelvico che non molla — l’unico bersaglio che la mano dell’osteopata dichiara di non raggiungere. Secondariamente al</w:t>
      </w:r>
      <w:r>
        <w:t xml:space="preserve"> </w:t>
      </w:r>
      <w:r>
        <w:rPr>
          <w:b/>
          <w:bCs/>
        </w:rPr>
        <w:t xml:space="preserve">3</w:t>
      </w:r>
      <w:r>
        <w:t xml:space="preserve"> </w:t>
      </w:r>
      <w:r>
        <w:t xml:space="preserve">e al</w:t>
      </w:r>
      <w:r>
        <w:t xml:space="preserve"> </w:t>
      </w:r>
      <w:r>
        <w:rPr>
          <w:b/>
          <w:bCs/>
        </w:rPr>
        <w:t xml:space="preserve">6</w:t>
      </w:r>
      <w:r>
        <w:t xml:space="preserve">: muoversi di nuovo in sicurezza è esposizione graduata, non solo esercizio.</w:t>
      </w:r>
    </w:p>
    <w:p>
      <w:pPr>
        <w:pStyle w:val="BodyText"/>
      </w:pPr>
      <w:r>
        <w:rPr>
          <w:b/>
          <w:bCs/>
        </w:rPr>
        <w:t xml:space="preserve">Cosa hanno misurato gli studi.</w:t>
      </w:r>
      <w:r>
        <w:t xml:space="preserve"> </w:t>
      </w:r>
      <w:r>
        <w:t xml:space="preserve">Nello studio norvegese, 81 donne con endometriosi confermata in laparoscopia hanno seguito tutte un corso di gestione del dolore. Di queste, 41 hanno aggiunto quattro mesi di allenamento di gruppo supervisionato con training del pavimento pelvico, più allenamento a casa due-tre volte a settimana. Il dolore pelvico e genitale</w:t>
      </w:r>
      <w:r>
        <w:t xml:space="preserve"> </w:t>
      </w:r>
      <w:r>
        <w:rPr>
          <w:b/>
          <w:bCs/>
        </w:rPr>
        <w:t xml:space="preserve">attuale</w:t>
      </w:r>
      <w:r>
        <w:t xml:space="preserve"> </w:t>
      </w:r>
      <w:r>
        <w:t xml:space="preserve">è migliorato di 1,1 punti (IC 95% 0,2-2,1) a fine intervento, e di 1,5 (IC 95% 0,2-2,7) a dodici mesi (Gabrielsen,</w:t>
      </w:r>
      <w:r>
        <w:t xml:space="preserve"> </w:t>
      </w:r>
      <w:r>
        <w:rPr>
          <w:i/>
          <w:iCs/>
        </w:rPr>
        <w:t xml:space="preserve">J Physiother</w:t>
      </w:r>
      <w:r>
        <w:t xml:space="preserve"> </w:t>
      </w:r>
      <w:r>
        <w:t xml:space="preserve">2025 — PMID 41006088).</w:t>
      </w:r>
    </w:p>
    <w:p>
      <w:pPr>
        <w:pStyle w:val="BodyText"/>
      </w:pPr>
      <w:r>
        <w:t xml:space="preserve">Attorno a quello studio c’è dell’altro. Sei studi randomizzati su 251 donne, senza problemi di sicurezza segnalati (Xie,</w:t>
      </w:r>
      <w:r>
        <w:t xml:space="preserve"> </w:t>
      </w:r>
      <w:r>
        <w:rPr>
          <w:i/>
          <w:iCs/>
        </w:rPr>
        <w:t xml:space="preserve">PLoS One</w:t>
      </w:r>
      <w:r>
        <w:t xml:space="preserve"> </w:t>
      </w:r>
      <w:r>
        <w:t xml:space="preserve">2025 — PMID 39946383). Diciassette trial con risultato aggregato favorevole su dolore e qualità di vita (Rodríguez-Ruiz,</w:t>
      </w:r>
      <w:r>
        <w:t xml:space="preserve"> </w:t>
      </w:r>
      <w:r>
        <w:rPr>
          <w:i/>
          <w:iCs/>
        </w:rPr>
        <w:t xml:space="preserve">J Clin Med</w:t>
      </w:r>
      <w:r>
        <w:t xml:space="preserve"> </w:t>
      </w:r>
      <w:r>
        <w:t xml:space="preserve">2025 — PMID 41375589). E una sintesi che giudica le prove di qualità media, ma in cui i singoli studi danno risultati così diversi fra loro che la media descrive male ciascuno di essi (Mena-González,</w:t>
      </w:r>
      <w:r>
        <w:t xml:space="preserve"> </w:t>
      </w:r>
      <w:r>
        <w:rPr>
          <w:i/>
          <w:iCs/>
        </w:rPr>
        <w:t xml:space="preserve">Braz J Phys Ther</w:t>
      </w:r>
      <w:r>
        <w:t xml:space="preserve"> </w:t>
      </w:r>
      <w:r>
        <w:t xml:space="preserve">2026 — PMID 42308873).</w:t>
      </w:r>
    </w:p>
    <w:p>
      <w:pPr>
        <w:pStyle w:val="BodyText"/>
      </w:pPr>
      <w:r>
        <w:t xml:space="preserve">Sul versante comportamentale, 334 donne randomizzate a CBT a distanza, yoga o materiali educativi. La CBT ha battuto l’educazione — un controllo</w:t>
      </w:r>
      <w:r>
        <w:t xml:space="preserve"> </w:t>
      </w:r>
      <w:r>
        <w:rPr>
          <w:b/>
          <w:bCs/>
        </w:rPr>
        <w:t xml:space="preserve">attivo</w:t>
      </w:r>
      <w:r>
        <w:t xml:space="preserve"> </w:t>
      </w:r>
      <w:r>
        <w:t xml:space="preserve">— su qualità di vita, dolore e catastrofizzazione. Lo yoga l’ha battuta su sintomi mestruali e dolore ai rapporti (Evans,</w:t>
      </w:r>
      <w:r>
        <w:t xml:space="preserve"> </w:t>
      </w:r>
      <w:r>
        <w:rPr>
          <w:i/>
          <w:iCs/>
        </w:rPr>
        <w:t xml:space="preserve">Hum Reprod Open</w:t>
      </w:r>
      <w:r>
        <w:t xml:space="preserve"> </w:t>
      </w:r>
      <w:r>
        <w:t xml:space="preserve">2026 — PMID 41717450).</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 lavoro attivo combinato, con il contrappeso dentro la frase: nella sintesi che mette a confronto tutti gli interventi fra loro — 33 studi, 2.323 donne —</w:t>
      </w:r>
      <w:r>
        <w:t xml:space="preserve"> </w:t>
      </w:r>
      <w:r>
        <w:rPr>
          <w:b/>
          <w:bCs/>
        </w:rPr>
        <w:t xml:space="preserve">l’esercizio da solo non batte le cure usuali</w:t>
      </w:r>
      <w:r>
        <w:t xml:space="preserve"> </w:t>
      </w:r>
      <w:r>
        <w:t xml:space="preserve">sul dolore complessivo, mentre fisioterapia, agopuntura e interventi psicologici sì, con effetti fra loro simili (Zheng,</w:t>
      </w:r>
      <w:r>
        <w:t xml:space="preserve"> </w:t>
      </w:r>
      <w:r>
        <w:rPr>
          <w:i/>
          <w:iCs/>
        </w:rPr>
        <w:t xml:space="preserve">J Pain Res</w:t>
      </w:r>
      <w:r>
        <w:t xml:space="preserve"> </w:t>
      </w:r>
      <w:r>
        <w:t xml:space="preserve">2026 — PMID 41743446). È il dato che impedisce di scrivere DIMOSTRATO.</w:t>
      </w:r>
      <w:r>
        <w:t xml:space="preserve"> </w:t>
      </w:r>
      <w:r>
        <w:rPr>
          <w:b/>
          <w:bCs/>
        </w:rPr>
        <w:t xml:space="preserve">DIMOSTRATO</w:t>
      </w:r>
      <w:r>
        <w:t xml:space="preserve"> </w:t>
      </w:r>
      <w:r>
        <w:rPr>
          <w:i/>
          <w:iCs/>
        </w:rPr>
        <w:t xml:space="preserve">(studi sull’uomo, solidi)</w:t>
      </w:r>
      <w:r>
        <w:t xml:space="preserve">, senza salto di popolazione, che la CBT strutturata migliori qualità di vita, dolore e catastrofizzazione in queste donne — ma con salto di</w:t>
      </w:r>
      <w:r>
        <w:t xml:space="preserve"> </w:t>
      </w:r>
      <w:r>
        <w:rPr>
          <w:b/>
          <w:bCs/>
        </w:rPr>
        <w:t xml:space="preserve">erogatore</w:t>
      </w:r>
      <w:r>
        <w:t xml:space="preserve">: la fa uno psicologo.</w:t>
      </w:r>
    </w:p>
    <w:p>
      <w:pPr>
        <w:pStyle w:val="FirstParagraph"/>
      </w:pPr>
      <w:r>
        <w:rPr>
          <w:b/>
          <w:bCs/>
        </w:rPr>
        <w:t xml:space="preserve">Cosa non fa, detto prima di cosa fa.</w:t>
      </w:r>
      <w:r>
        <w:t xml:space="preserve"> </w:t>
      </w:r>
      <w:r>
        <w:t xml:space="preserve">Non ha spostato il</w:t>
      </w:r>
      <w:r>
        <w:t xml:space="preserve"> </w:t>
      </w:r>
      <w:r>
        <w:rPr>
          <w:b/>
          <w:bCs/>
        </w:rPr>
        <w:t xml:space="preserve">dolore peggiore</w:t>
      </w:r>
      <w:r>
        <w:t xml:space="preserve"> </w:t>
      </w:r>
      <w:r>
        <w:t xml:space="preserve">del mese, solo quello attuale. Non tocca malattia, lesioni, fertilità. Non sostituisce la fisioterapia pelvi-perineale né la terapia medica. E la revisione precedente sulla sola attività fisica concludeva che l’effetto</w:t>
      </w:r>
      <w:r>
        <w:t xml:space="preserve"> </w:t>
      </w:r>
      <w:r>
        <w:rPr>
          <w:b/>
          <w:bCs/>
        </w:rPr>
        <w:t xml:space="preserve">non poteva essere determinato</w:t>
      </w:r>
      <w:r>
        <w:t xml:space="preserve"> </w:t>
      </w:r>
      <w:r>
        <w:t xml:space="preserve">(Tennfjord,</w:t>
      </w:r>
      <w:r>
        <w:t xml:space="preserve"> </w:t>
      </w:r>
      <w:r>
        <w:rPr>
          <w:i/>
          <w:iCs/>
        </w:rPr>
        <w:t xml:space="preserve">BMC Womens Health</w:t>
      </w:r>
      <w:r>
        <w:t xml:space="preserve"> </w:t>
      </w:r>
      <w:r>
        <w:t xml:space="preserve">2021 — PMID 34627209): la base è cambiata nel 2025, non era solida prima.</w:t>
      </w:r>
    </w:p>
    <w:p>
      <w:pPr>
        <w:pStyle w:val="BodyText"/>
      </w:pPr>
      <w:r>
        <w:rPr>
          <w:b/>
          <w:bCs/>
        </w:rPr>
        <w:t xml:space="preserve">Perché smette.</w:t>
      </w:r>
      <w:r>
        <w:t xml:space="preserve"> </w:t>
      </w:r>
      <w:r>
        <w:t xml:space="preserve">Nello studio qualitativo che accompagna quello randomizzato, le donne hanno descritto l’esercizio come «meno spaventoso e gestibile»</w:t>
      </w:r>
      <w:r>
        <w:t xml:space="preserve"> </w:t>
      </w:r>
      <w:r>
        <w:rPr>
          <w:b/>
          <w:bCs/>
        </w:rPr>
        <w:t xml:space="preserve">solo dopo</w:t>
      </w:r>
      <w:r>
        <w:t xml:space="preserve"> </w:t>
      </w:r>
      <w:r>
        <w:t xml:space="preserve">essere state esposte a intensità diverse in un ambiente supervisionato. E hanno indicato il training del pavimento pelvico come la cosa che riuscivano a fare nei giorni in cui il resto non reggeva (Tennfjord,</w:t>
      </w:r>
      <w:r>
        <w:t xml:space="preserve"> </w:t>
      </w:r>
      <w:r>
        <w:rPr>
          <w:i/>
          <w:iCs/>
        </w:rPr>
        <w:t xml:space="preserve">BMC Womens Health</w:t>
      </w:r>
      <w:r>
        <w:t xml:space="preserve"> </w:t>
      </w:r>
      <w:r>
        <w:t xml:space="preserve">2024 — PMID 39261815). La paura di muoversi nei giorni del flusso non è resistenza: è il punto di partenza.</w:t>
      </w:r>
    </w:p>
    <w:p>
      <w:pPr>
        <w:pStyle w:val="BodyText"/>
      </w:pPr>
      <w:r>
        <w:rPr>
          <w:b/>
          <w:bCs/>
        </w:rPr>
        <w:t xml:space="preserve">Quello che tu fai con questo capitolo.</w:t>
      </w:r>
      <w:r>
        <w:t xml:space="preserve"> </w:t>
      </w:r>
      <w:r>
        <w:t xml:space="preserve">Lo</w:t>
      </w:r>
      <w:r>
        <w:t xml:space="preserve"> </w:t>
      </w:r>
      <w:r>
        <w:rPr>
          <w:b/>
          <w:bCs/>
        </w:rPr>
        <w:t xml:space="preserve">informi</w:t>
      </w:r>
      <w:r>
        <w:t xml:space="preserve">, non lo prescrivi. Le dici cosa hanno misurato quegli studi, con che disegno e con quali limiti, e apri il canale verso chi glielo insegna.</w:t>
      </w:r>
      <w:r>
        <w:t xml:space="preserve"> </w:t>
      </w:r>
      <w:r>
        <w:rPr>
          <w:b/>
          <w:bCs/>
        </w:rPr>
        <w:t xml:space="preserve">Come e quando consegnarlo alla tua paziente sta nella Procedura.</w:t>
      </w:r>
    </w:p>
    <w:p>
      <w:pPr>
        <w:pStyle w:val="BodyText"/>
      </w:pPr>
      <w:r>
        <w:rPr>
          <w:b/>
          <w:bCs/>
        </w:rPr>
        <w:t xml:space="preserve">Le tre cose da ricordare, più una</w:t>
      </w:r>
    </w:p>
    <w:p>
      <w:pPr>
        <w:pStyle w:val="Compact"/>
        <w:numPr>
          <w:ilvl w:val="0"/>
          <w:numId w:val="1032"/>
        </w:numPr>
      </w:pPr>
      <w:r>
        <w:t xml:space="preserve">Il bersaglio che la tua mano non raggiunge lo raggiungono lei e la fisioterapista: dirle che è perduto è falso.</w:t>
      </w:r>
    </w:p>
    <w:p>
      <w:pPr>
        <w:pStyle w:val="Compact"/>
        <w:numPr>
          <w:ilvl w:val="0"/>
          <w:numId w:val="1032"/>
        </w:numPr>
      </w:pPr>
      <w:r>
        <w:t xml:space="preserve">L’effetto documentato è stretto e va nominato stretto: dolore attuale sì, dolore peggiore del mese no.</w:t>
      </w:r>
    </w:p>
    <w:p>
      <w:pPr>
        <w:pStyle w:val="Compact"/>
        <w:numPr>
          <w:ilvl w:val="0"/>
          <w:numId w:val="1032"/>
        </w:numPr>
      </w:pPr>
      <w:r>
        <w:t xml:space="preserve">L’esercizio da solo non batte le cure usuali sul dolore complessivo: quello che ha una base è il lavoro combinato, e la CBT su un altro piano.</w:t>
      </w:r>
    </w:p>
    <w:p>
      <w:pPr>
        <w:pStyle w:val="Compact"/>
        <w:numPr>
          <w:ilvl w:val="0"/>
          <w:numId w:val="1032"/>
        </w:numPr>
      </w:pPr>
      <w:r>
        <w:rPr>
          <w:b/>
          <w:bCs/>
        </w:rPr>
        <w:t xml:space="preserve">Perché ci sei tu.</w:t>
      </w:r>
      <w:r>
        <w:t xml:space="preserve"> </w:t>
      </w:r>
      <w:r>
        <w:t xml:space="preserve">Quattro mesi di allenamento supervisionato con training del pavimento pelvico, aggiunti a un corso di gestione del dolore, hanno ridotto il dolore pelvico attuale, e l’effetto reggeva ancora a dodici mesi (Gabrielsen 2025 — PMID 41006088). Questo ti autorizza a dire alla tua paziente che qualcosa che dipende da lei ha una prova migliore del tuo gesto, e a metterla in contatto con chi glielo insegna. Non ti autorizza a consegnarle un programma: nello studio il lavoro era</w:t>
      </w:r>
      <w:r>
        <w:t xml:space="preserve"> </w:t>
      </w:r>
      <w:r>
        <w:rPr>
          <w:b/>
          <w:bCs/>
        </w:rPr>
        <w:t xml:space="preserve">aggiunto</w:t>
      </w:r>
      <w:r>
        <w:t xml:space="preserve"> </w:t>
      </w:r>
      <w:r>
        <w:t xml:space="preserve">e</w:t>
      </w:r>
      <w:r>
        <w:t xml:space="preserve"> </w:t>
      </w:r>
      <w:r>
        <w:rPr>
          <w:b/>
          <w:bCs/>
        </w:rPr>
        <w:t xml:space="preserve">supervisionato</w:t>
      </w:r>
      <w:r>
        <w:t xml:space="preserve">, non sostitutivo e non fai-da-te.</w:t>
      </w:r>
    </w:p>
    <w:p>
      <w:r>
        <w:pict>
          <v:rect style="width:0;height:1.5pt" o:hralign="center" o:hrstd="t" o:hr="t"/>
        </w:pict>
      </w:r>
    </w:p>
    <w:bookmarkEnd w:id="74"/>
    <w:bookmarkStart w:id="79" w:name="capitolo-13-cosa-dire-alla-paziente"/>
    <w:p>
      <w:pPr>
        <w:pStyle w:val="Heading2"/>
      </w:pPr>
      <w:r>
        <w:t xml:space="preserve">Capitolo 13 — Cosa dire alla paziente</w:t>
      </w:r>
    </w:p>
    <w:p>
      <w:pPr>
        <w:pStyle w:val="BlockText"/>
      </w:pPr>
      <w:r>
        <w:rPr>
          <w:b/>
          <w:bCs/>
        </w:rPr>
        <w:t xml:space="preserve">In una riga:</w:t>
      </w:r>
      <w:r>
        <w:t xml:space="preserve"> </w:t>
      </w:r>
      <w:r>
        <w:t xml:space="preserve">la frase che le serve non promette niente e nomina due cose che nessuno le ha ancora nominato: la parte meccanica del suo dolore, e il fatto che tu non curi la malattia.</w:t>
      </w:r>
    </w:p>
    <w:bookmarkStart w:id="75" w:name="lo-script"/>
    <w:p>
      <w:pPr>
        <w:pStyle w:val="Heading3"/>
      </w:pPr>
      <w:r>
        <w:t xml:space="preserve">Lo script</w:t>
      </w:r>
    </w:p>
    <w:p>
      <w:pPr>
        <w:pStyle w:val="FirstParagraph"/>
      </w:pPr>
      <w:r>
        <w:rPr>
          <w:i/>
          <w:iCs/>
        </w:rPr>
        <w:t xml:space="preserve">“La malattia la cura il tuo ginecologo, e io non la tratto. Ma il dolore non viene tutto da lì: in tanti anni pancia, schiena bassa e bacino hanno imparato a stare in difesa, e quella parte fa male per conto suo. È come una perdita d’acqua in un muro: la perdita la ripara chi di dovere, ma intanto si sono bagnate altre stanze. Su quelle si può lavorare, solo dall’esterno. Non ti prometto di togliere il dolore: ti prometto di misurare quanta parte si riproduce quando premo da fuori, e di dirti i numeri anche quando non si muovono.”</w:t>
      </w:r>
    </w:p>
    <w:bookmarkEnd w:id="75"/>
    <w:bookmarkStart w:id="76" w:name="le-obiezioni-e-le-risposte-oneste"/>
    <w:p>
      <w:pPr>
        <w:pStyle w:val="Heading3"/>
      </w:pPr>
      <w:r>
        <w:t xml:space="preserve">Le obiezioni, e le risposte oneste</w:t>
      </w:r>
    </w:p>
    <w:p>
      <w:pPr>
        <w:pStyle w:val="FirstParagraph"/>
      </w:pPr>
      <w:r>
        <w:rPr>
          <w:b/>
          <w:bCs/>
        </w:rPr>
        <w:t xml:space="preserve">“L’endometriosi non si cura con le mani.”</w:t>
      </w:r>
      <w:r>
        <w:t xml:space="preserve"> </w:t>
      </w:r>
      <w:r>
        <w:t xml:space="preserve">Verissimo, e non è quello che facciamo: la malattia la cura il medico. Noi lavoriamo su una componente diversa — parete addominale, zona lombo-sacrale, respiro — che la terapia non tocca perché non è fatta per toccarla.</w:t>
      </w:r>
    </w:p>
    <w:p>
      <w:pPr>
        <w:pStyle w:val="BodyText"/>
      </w:pPr>
      <w:r>
        <w:rPr>
          <w:b/>
          <w:bCs/>
        </w:rPr>
        <w:t xml:space="preserve">“Prendo già la terapia ormonale.”</w:t>
      </w:r>
      <w:r>
        <w:t xml:space="preserve"> </w:t>
      </w:r>
      <w:r>
        <w:t xml:space="preserve">E continui a prenderla secondo le indicazioni del tuo medico: agisce sulla malattia, e su quel piano non interveniamo. Quello che resta scoperto — il bacino rigido, la schiena che tira, la parete dolente — è campo nostro. Le due cose convivono: io ho trovato qualcosa da trattare, non ho scoperto cos’hai.</w:t>
      </w:r>
    </w:p>
    <w:p>
      <w:pPr>
        <w:pStyle w:val="BodyText"/>
      </w:pPr>
      <w:r>
        <w:rPr>
          <w:b/>
          <w:bCs/>
        </w:rPr>
        <w:t xml:space="preserve">“Mi imbarazza la zona.”</w:t>
      </w:r>
      <w:r>
        <w:t xml:space="preserve"> </w:t>
      </w:r>
      <w:r>
        <w:t xml:space="preserve">Si lavora</w:t>
      </w:r>
      <w:r>
        <w:t xml:space="preserve"> </w:t>
      </w:r>
      <w:r>
        <w:rPr>
          <w:b/>
          <w:bCs/>
        </w:rPr>
        <w:t xml:space="preserve">solo dall’esterno</w:t>
      </w:r>
      <w:r>
        <w:t xml:space="preserve">, con abbigliamento comodo, spiegando ogni passaggio prima di farlo. Nessuna manovra interna, in nessun caso: è fuori dal nostro perimetro professionale, non una scelta di stile. E puoi fermare tutto in qualsiasi momento, senza spiegare perché.</w:t>
      </w:r>
    </w:p>
    <w:p>
      <w:pPr>
        <w:pStyle w:val="BodyText"/>
      </w:pPr>
      <w:r>
        <w:rPr>
          <w:b/>
          <w:bCs/>
        </w:rPr>
        <w:t xml:space="preserve">“Ho sopportato per anni: cosa volete fare voi?”</w:t>
      </w:r>
      <w:r>
        <w:t xml:space="preserve"> </w:t>
      </w:r>
      <w:r>
        <w:t xml:space="preserve">Non promettiamo di cancellare il dolore. Dal tuo racconto, questa è una cosa che non ti ha ancora fatto nessuno: misuriamo quanta parte del dolore si riproduce premendo da fuori, e la seguiamo con dei numeri per due mesi. Se non si muovono, te lo dico e cambiamo strada — ed è comunque un’informazione utile per il tuo ginecologo.</w:t>
      </w:r>
    </w:p>
    <w:p>
      <w:pPr>
        <w:pStyle w:val="BodyText"/>
      </w:pPr>
      <w:r>
        <w:rPr>
          <w:b/>
          <w:bCs/>
        </w:rPr>
        <w:t xml:space="preserve">“Se vengo da lei, posso ridurre la terapia ormonale?”</w:t>
      </w:r>
      <w:r>
        <w:t xml:space="preserve"> </w:t>
      </w:r>
      <w:r>
        <w:t xml:space="preserve">No, e non è una risposta prudente: è che la terapia la decide e la modifica solo chi te l’ha prescritta. Io non do indicazioni sui farmaci, né sulla dose né sulla durata, nemmeno se i numeri migliorano. Se vuoi cambiare qualcosa ne parli con il tuo ginecologo, e se ti fa comodo io gli scrivo quello che ho trovato e come l’ho misurato.</w:t>
      </w:r>
    </w:p>
    <w:p>
      <w:pPr>
        <w:pStyle w:val="BodyText"/>
      </w:pPr>
      <w:r>
        <w:rPr>
          <w:b/>
          <w:bCs/>
        </w:rPr>
        <w:t xml:space="preserve">“Quindi devo fare tutto io?”</w:t>
      </w:r>
      <w:r>
        <w:t xml:space="preserve"> </w:t>
      </w:r>
      <w:r>
        <w:t xml:space="preserve">No. Negli studi il lavoro della paziente era</w:t>
      </w:r>
      <w:r>
        <w:t xml:space="preserve"> </w:t>
      </w:r>
      <w:r>
        <w:rPr>
          <w:b/>
          <w:bCs/>
        </w:rPr>
        <w:t xml:space="preserve">aggiunto</w:t>
      </w:r>
      <w:r>
        <w:t xml:space="preserve"> </w:t>
      </w:r>
      <w:r>
        <w:t xml:space="preserve">alla presa in carico, non al posto, e partiva con qualcuno che glielo insegnava, da un livello che non spaventa.</w:t>
      </w:r>
    </w:p>
    <w:p>
      <w:pPr>
        <w:pStyle w:val="BodyText"/>
      </w:pPr>
      <w:r>
        <w:rPr>
          <w:b/>
          <w:bCs/>
        </w:rPr>
        <w:t xml:space="preserve">“Allora il mio dolore è muscolare?”</w:t>
      </w:r>
      <w:r>
        <w:t xml:space="preserve"> </w:t>
      </w:r>
      <w:r>
        <w:t xml:space="preserve">No, e attenzione a questa. Una parte del dolore è muscolare e miofasciale, ed è quella su cui lavoro. Che io trovi quella parte non esclude niente sulla malattia.</w:t>
      </w:r>
      <w:r>
        <w:t xml:space="preserve"> </w:t>
      </w:r>
      <w:r>
        <w:rPr>
          <w:b/>
          <w:bCs/>
        </w:rPr>
        <w:t xml:space="preserve">Le due cose convivono</w:t>
      </w:r>
      <w:r>
        <w:t xml:space="preserve">, e vanno tenute insieme: il tuo ginecologo continua a seguirti, io lavoro in parallelo.</w:t>
      </w:r>
    </w:p>
    <w:bookmarkEnd w:id="76"/>
    <w:bookmarkStart w:id="77" w:name="cosa-non-promettere-mai"/>
    <w:p>
      <w:pPr>
        <w:pStyle w:val="Heading3"/>
      </w:pPr>
      <w:r>
        <w:t xml:space="preserve">Cosa non promettere mai</w:t>
      </w:r>
    </w:p>
    <w:p>
      <w:pPr>
        <w:pStyle w:val="Compact"/>
        <w:numPr>
          <w:ilvl w:val="0"/>
          <w:numId w:val="1033"/>
        </w:numPr>
      </w:pPr>
      <w:r>
        <w:t xml:space="preserve">Mai un esito: non</w:t>
      </w:r>
      <w:r>
        <w:t xml:space="preserve"> </w:t>
      </w:r>
      <w:r>
        <w:t xml:space="preserve">“ti tolgo il dolore”</w:t>
      </w:r>
      <w:r>
        <w:t xml:space="preserve">, non</w:t>
      </w:r>
      <w:r>
        <w:t xml:space="preserve"> </w:t>
      </w:r>
      <w:r>
        <w:t xml:space="preserve">“risolviamo”</w:t>
      </w:r>
      <w:r>
        <w:t xml:space="preserve">.</w:t>
      </w:r>
    </w:p>
    <w:p>
      <w:pPr>
        <w:pStyle w:val="Compact"/>
        <w:numPr>
          <w:ilvl w:val="0"/>
          <w:numId w:val="1033"/>
        </w:numPr>
      </w:pPr>
      <w:r>
        <w:t xml:space="preserve">Mai un effetto sulla malattia, sulle lesioni, sulle aderenze o sulla fertilità.</w:t>
      </w:r>
    </w:p>
    <w:p>
      <w:pPr>
        <w:pStyle w:val="Compact"/>
        <w:numPr>
          <w:ilvl w:val="0"/>
          <w:numId w:val="1033"/>
        </w:numPr>
      </w:pPr>
      <w:r>
        <w:t xml:space="preserve">Mai una parola sui farmaci — dose, durata, sospensione — nemmeno in forma dubitativa, nemmeno se te lo chiede due volte.</w:t>
      </w:r>
    </w:p>
    <w:p>
      <w:pPr>
        <w:pStyle w:val="Compact"/>
        <w:numPr>
          <w:ilvl w:val="0"/>
          <w:numId w:val="1033"/>
        </w:numPr>
      </w:pPr>
      <w:r>
        <w:t xml:space="preserve">Mai una</w:t>
      </w:r>
      <w:r>
        <w:t xml:space="preserve"> </w:t>
      </w:r>
      <w:r>
        <w:rPr>
          <w:b/>
          <w:bCs/>
        </w:rPr>
        <w:t xml:space="preserve">quantificazione della componente meccanica</w:t>
      </w:r>
      <w:r>
        <w:t xml:space="preserve">: si misura una soglia, non una percentuale di causa.</w:t>
      </w:r>
      <w:r>
        <w:t xml:space="preserve"> </w:t>
      </w:r>
      <w:r>
        <w:t xml:space="preserve">“Il 40% del tuo dolore è muscolare”</w:t>
      </w:r>
      <w:r>
        <w:t xml:space="preserve"> </w:t>
      </w:r>
      <w:r>
        <w:t xml:space="preserve">è una frase che nessuno strumento in stanza produce.</w:t>
      </w:r>
    </w:p>
    <w:bookmarkEnd w:id="77"/>
    <w:bookmarkStart w:id="78" w:name="cosa-le-dici-prima-che-esca"/>
    <w:p>
      <w:pPr>
        <w:pStyle w:val="Heading3"/>
      </w:pPr>
      <w:r>
        <w:t xml:space="preserve">Cosa le dici prima che esca</w:t>
      </w:r>
    </w:p>
    <w:p>
      <w:pPr>
        <w:pStyle w:val="FirstParagraph"/>
      </w:pPr>
      <w:r>
        <w:t xml:space="preserve">La tabella delle bandiere rosse è scritta per te. Questa è la stessa conoscenza dal lato suo, e qui serve più che altrove. Ha passato anni a sentirsi dire che il suo dolore era normale, e lo chiama</w:t>
      </w:r>
      <w:r>
        <w:t xml:space="preserve"> </w:t>
      </w:r>
      <w:r>
        <w:rPr>
          <w:i/>
          <w:iCs/>
        </w:rPr>
        <w:t xml:space="preserve">il mio normale</w:t>
      </w:r>
      <w:r>
        <w:t xml:space="preserve">. È la persona meno probabile al mondo ad andare in pronto soccorso di sua iniziativa, perché ha imparato che non le crederanno.</w:t>
      </w:r>
    </w:p>
    <w:p>
      <w:pPr>
        <w:pStyle w:val="BodyText"/>
      </w:pPr>
      <w:r>
        <w:t xml:space="preserve">Cinque righe, dette una volta e messe per iscritto:</w:t>
      </w:r>
    </w:p>
    <w:p>
      <w:pPr>
        <w:pStyle w:val="Compact"/>
        <w:numPr>
          <w:ilvl w:val="0"/>
          <w:numId w:val="1034"/>
        </w:numPr>
      </w:pPr>
      <w:r>
        <w:t xml:space="preserve">Dolore addominale acuto e</w:t>
      </w:r>
      <w:r>
        <w:t xml:space="preserve"> </w:t>
      </w:r>
      <w:r>
        <w:rPr>
          <w:b/>
          <w:bCs/>
        </w:rPr>
        <w:t xml:space="preserve">diverso dal solito</w:t>
      </w:r>
      <w:r>
        <w:t xml:space="preserve">.</w:t>
      </w:r>
    </w:p>
    <w:p>
      <w:pPr>
        <w:pStyle w:val="Compact"/>
        <w:numPr>
          <w:ilvl w:val="0"/>
          <w:numId w:val="1034"/>
        </w:numPr>
      </w:pPr>
      <w:r>
        <w:t xml:space="preserve">Impossibilità a urinare, oppure vomito con la pancia chiusa a feci e gas.</w:t>
      </w:r>
    </w:p>
    <w:p>
      <w:pPr>
        <w:pStyle w:val="Compact"/>
        <w:numPr>
          <w:ilvl w:val="0"/>
          <w:numId w:val="1034"/>
        </w:numPr>
      </w:pPr>
      <w:r>
        <w:t xml:space="preserve">Febbre con dolore pelvico.</w:t>
      </w:r>
    </w:p>
    <w:p>
      <w:pPr>
        <w:pStyle w:val="Compact"/>
        <w:numPr>
          <w:ilvl w:val="0"/>
          <w:numId w:val="1034"/>
        </w:numPr>
      </w:pPr>
      <w:r>
        <w:t xml:space="preserve">Dolore al torace o alla spalla con il fiato corto nei giorni del ciclo, o un polpaccio gonfio e dolente.</w:t>
      </w:r>
    </w:p>
    <w:p>
      <w:pPr>
        <w:pStyle w:val="Compact"/>
        <w:numPr>
          <w:ilvl w:val="0"/>
          <w:numId w:val="1034"/>
        </w:numPr>
      </w:pPr>
      <w:r>
        <w:t xml:space="preserve">Un ritardo mestruale con dolore.</w:t>
      </w:r>
    </w:p>
    <w:p>
      <w:pPr>
        <w:pStyle w:val="FirstParagraph"/>
      </w:pPr>
      <w:r>
        <w:t xml:space="preserve">→</w:t>
      </w:r>
      <w:r>
        <w:t xml:space="preserve"> </w:t>
      </w:r>
      <w:r>
        <w:rPr>
          <w:b/>
          <w:bCs/>
        </w:rPr>
        <w:t xml:space="preserve">Pronto soccorso, e non aspetti la prossima seduta per dirmelo.</w:t>
      </w:r>
    </w:p>
    <w:p>
      <w:pPr>
        <w:pStyle w:val="BodyText"/>
      </w:pPr>
      <w:r>
        <w:t xml:space="preserve">E una sesta che non è pronto soccorso, ma non aspetta: sangue nelle urine o nelle feci nei giorni del ciclo →</w:t>
      </w:r>
      <w:r>
        <w:t xml:space="preserve"> </w:t>
      </w:r>
      <w:r>
        <w:rPr>
          <w:b/>
          <w:bCs/>
        </w:rPr>
        <w:t xml:space="preserve">il tuo ginecologo, senza rimandare alla prossima seduta.</w:t>
      </w:r>
    </w:p>
    <w:p>
      <w:pPr>
        <w:pStyle w:val="BodyText"/>
      </w:pPr>
      <w:r>
        <w:t xml:space="preserve">E si dice anche perché glielo stai dicendo:</w:t>
      </w:r>
      <w:r>
        <w:t xml:space="preserve"> </w:t>
      </w:r>
      <w:r>
        <w:rPr>
          <w:i/>
          <w:iCs/>
        </w:rPr>
        <w:t xml:space="preserve">non perché sia probabile, ma perché tu hai imparato a sopportare, e quella soglia va rialzata da fuori.</w:t>
      </w:r>
    </w:p>
    <w:p>
      <w:pPr>
        <w:pStyle w:val="BodyText"/>
      </w:pPr>
      <w:r>
        <w:rPr>
          <w:b/>
          <w:bCs/>
        </w:rPr>
        <w:t xml:space="preserve">Le tre cose da ricordare, più una</w:t>
      </w:r>
    </w:p>
    <w:p>
      <w:pPr>
        <w:pStyle w:val="Compact"/>
        <w:numPr>
          <w:ilvl w:val="0"/>
          <w:numId w:val="1035"/>
        </w:numPr>
      </w:pPr>
      <w:r>
        <w:t xml:space="preserve">La frase che apre è quella che dichiara cosa</w:t>
      </w:r>
      <w:r>
        <w:t xml:space="preserve"> </w:t>
      </w:r>
      <w:r>
        <w:rPr>
          <w:b/>
          <w:bCs/>
        </w:rPr>
        <w:t xml:space="preserve">non</w:t>
      </w:r>
      <w:r>
        <w:t xml:space="preserve"> </w:t>
      </w:r>
      <w:r>
        <w:t xml:space="preserve">fai: su questa paziente è la sola che compra credibilità.</w:t>
      </w:r>
    </w:p>
    <w:p>
      <w:pPr>
        <w:pStyle w:val="Compact"/>
        <w:numPr>
          <w:ilvl w:val="0"/>
          <w:numId w:val="1035"/>
        </w:numPr>
      </w:pPr>
      <w:r>
        <w:t xml:space="preserve">“Le due cose convivono”</w:t>
      </w:r>
      <w:r>
        <w:t xml:space="preserve"> </w:t>
      </w:r>
      <w:r>
        <w:t xml:space="preserve">va detto con queste parole: è la stessa frase del cancello, e serve a impedirle di leggere il tuo reperto come una smentita della sua diagnosi.</w:t>
      </w:r>
    </w:p>
    <w:p>
      <w:pPr>
        <w:pStyle w:val="Compact"/>
        <w:numPr>
          <w:ilvl w:val="0"/>
          <w:numId w:val="1035"/>
        </w:numPr>
      </w:pPr>
      <w:r>
        <w:t xml:space="preserve">La promessa che puoi fare è una misura, non un risultato.</w:t>
      </w:r>
    </w:p>
    <w:p>
      <w:pPr>
        <w:pStyle w:val="Compact"/>
        <w:numPr>
          <w:ilvl w:val="0"/>
          <w:numId w:val="1035"/>
        </w:numPr>
      </w:pPr>
      <w:r>
        <w:rPr>
          <w:b/>
          <w:bCs/>
        </w:rPr>
        <w:t xml:space="preserve">Perché ci sei tu.</w:t>
      </w:r>
      <w:r>
        <w:t xml:space="preserve"> </w:t>
      </w:r>
      <w:r>
        <w:t xml:space="preserve">Fra le donne con endometriosi che avevano usato la pillola ciclica, il</w:t>
      </w:r>
      <w:r>
        <w:t xml:space="preserve"> </w:t>
      </w:r>
      <w:r>
        <w:rPr>
          <w:b/>
          <w:bCs/>
        </w:rPr>
        <w:t xml:space="preserve">45% l’ha dichiarata inefficace</w:t>
      </w:r>
      <w:r>
        <w:t xml:space="preserve"> </w:t>
      </w:r>
      <w:r>
        <w:t xml:space="preserve">sul proprio dolore e il</w:t>
      </w:r>
      <w:r>
        <w:t xml:space="preserve"> </w:t>
      </w:r>
      <w:r>
        <w:rPr>
          <w:b/>
          <w:bCs/>
        </w:rPr>
        <w:t xml:space="preserve">41% l’ha interrotta</w:t>
      </w:r>
      <w:r>
        <w:t xml:space="preserve"> </w:t>
      </w:r>
      <w:r>
        <w:t xml:space="preserve">per gli effetti collaterali; la dolorabilità del pavimento pelvico si associava all’inefficacia della terapia continua (Yong 2020 — PMID 32128454). Questo ti autorizza a dire che una parte del dolore resta scoperta dalla terapia, e che quella parte ha un profilo muscolare. Non ti autorizza a commentare la sua terapia, né a lasciarle intendere che potrebbe farne a meno.</w:t>
      </w:r>
    </w:p>
    <w:p>
      <w:r>
        <w:pict>
          <v:rect style="width:0;height:1.5pt" o:hralign="center" o:hrstd="t" o:hr="t"/>
        </w:pict>
      </w:r>
    </w:p>
    <w:bookmarkEnd w:id="78"/>
    <w:bookmarkEnd w:id="79"/>
    <w:bookmarkStart w:id="80" w:name="capitolo-14-cosa-fare-adesso"/>
    <w:p>
      <w:pPr>
        <w:pStyle w:val="Heading2"/>
      </w:pPr>
      <w:r>
        <w:t xml:space="preserve">Capitolo 14 — Cosa fare adesso</w:t>
      </w:r>
    </w:p>
    <w:p>
      <w:pPr>
        <w:pStyle w:val="BlockText"/>
      </w:pPr>
      <w:r>
        <w:rPr>
          <w:b/>
          <w:bCs/>
        </w:rPr>
        <w:t xml:space="preserve">In una riga:</w:t>
      </w:r>
      <w:r>
        <w:t xml:space="preserve"> </w:t>
      </w:r>
      <w:r>
        <w:t xml:space="preserve">hai una paziente a cui nessuno ha mai palpato la parete, un meccanismo ben misurato, un gesto non misurato, e due limiti da dichiarare ad alta voce.</w:t>
      </w:r>
    </w:p>
    <w:p>
      <w:pPr>
        <w:pStyle w:val="FirstParagraph"/>
      </w:pPr>
      <w:r>
        <w:t xml:space="preserve">Il filo è questo. Arriva una donna che ha aspettato anni la diagnosi, e un dolore che la terapia copre solo in parte. Quel dolore ha sei sorgenti, e la malattia ne spiega direttamente una. Le altre cinque sono: un pavimento pelvico che non si rilascia, una parete che ha preso su di sé il dolore di un organo che condivide il suo segmento, una soglia scesa in tutto il corpo, un bacino che ha perso scorrimento, e un allarme costruito in anni di dolore non creduto.</w:t>
      </w:r>
    </w:p>
    <w:p>
      <w:pPr>
        <w:pStyle w:val="BodyText"/>
      </w:pPr>
      <w:r>
        <w:t xml:space="preserve">Di queste cinque, una non la raggiunge la tua mano: la raggiungono lei e la fisioterapista, e aprire quelle strade è lavoro tuo. Le altre quattro le tocchi, e nessuno le ha ancora guardate. Il tuo campo finisce in tre punti: dove comincia la malattia, dove comincia il corpo per via interna, e dove comincia una bandiera rossa che sembra un dolore muscolare.</w:t>
      </w:r>
    </w:p>
    <w:p>
      <w:pPr>
        <w:pStyle w:val="BodyText"/>
      </w:pPr>
      <w:r>
        <w:rPr>
          <w:b/>
          <w:bCs/>
        </w:rPr>
        <w:t xml:space="preserve">Le tre cose che cambi da lunedì</w:t>
      </w:r>
    </w:p>
    <w:p>
      <w:pPr>
        <w:pStyle w:val="Compact"/>
        <w:numPr>
          <w:ilvl w:val="0"/>
          <w:numId w:val="1036"/>
        </w:numPr>
      </w:pPr>
      <w:r>
        <w:rPr>
          <w:b/>
          <w:bCs/>
        </w:rPr>
        <w:t xml:space="preserve">Guarda</w:t>
      </w:r>
      <w:r>
        <w:t xml:space="preserve"> </w:t>
      </w:r>
      <w:r>
        <w:t xml:space="preserve">la parete addominale sotto l’ombelico, con l’algometro se ce l’hai, e qualifica il reperto con il</w:t>
      </w:r>
      <w:r>
        <w:t xml:space="preserve"> </w:t>
      </w:r>
      <w:r>
        <w:rPr>
          <w:b/>
          <w:bCs/>
        </w:rPr>
        <w:t xml:space="preserve">test di Carnett</w:t>
      </w:r>
      <w:r>
        <w:t xml:space="preserve"> </w:t>
      </w:r>
      <w:r>
        <w:t xml:space="preserve">— su ogni paziente con questa diagnosi, e mai prima della tabella delle bandiere rosse e del filtro. Se senti una massa che non conoscevi, quel giorno non tratti: documenti e invii.</w:t>
      </w:r>
    </w:p>
    <w:p>
      <w:pPr>
        <w:pStyle w:val="Compact"/>
        <w:numPr>
          <w:ilvl w:val="0"/>
          <w:numId w:val="1036"/>
        </w:numPr>
      </w:pPr>
      <w:r>
        <w:rPr>
          <w:b/>
          <w:bCs/>
        </w:rPr>
        <w:t xml:space="preserve">Di’</w:t>
      </w:r>
      <w:r>
        <w:t xml:space="preserve"> </w:t>
      </w:r>
      <w:r>
        <w:t xml:space="preserve">questa frase:</w:t>
      </w:r>
      <w:r>
        <w:t xml:space="preserve"> </w:t>
      </w:r>
      <w:r>
        <w:rPr>
          <w:i/>
          <w:iCs/>
        </w:rPr>
        <w:t xml:space="preserve">“io ho trovato qualcosa da trattare, non ho scoperto cos’hai — le due cose convivono”</w:t>
      </w:r>
      <w:r>
        <w:t xml:space="preserve">. E la seconda:</w:t>
      </w:r>
      <w:r>
        <w:t xml:space="preserve"> </w:t>
      </w:r>
      <w:r>
        <w:rPr>
          <w:i/>
          <w:iCs/>
        </w:rPr>
        <w:t xml:space="preserve">“lavoro solo dall’esterno”</w:t>
      </w:r>
      <w:r>
        <w:t xml:space="preserve">, prima che te lo chieda.</w:t>
      </w:r>
    </w:p>
    <w:p>
      <w:pPr>
        <w:pStyle w:val="Compact"/>
        <w:numPr>
          <w:ilvl w:val="0"/>
          <w:numId w:val="1036"/>
        </w:numPr>
      </w:pPr>
      <w:r>
        <w:rPr>
          <w:b/>
          <w:bCs/>
        </w:rPr>
        <w:t xml:space="preserve">Smetti</w:t>
      </w:r>
      <w:r>
        <w:t xml:space="preserve"> </w:t>
      </w:r>
      <w:r>
        <w:t xml:space="preserve">di dire che una tecnica scioglie aderenze, e smetti di leggere un referto ad alta voce davanti alla paziente.</w:t>
      </w:r>
    </w:p>
    <w:p>
      <w:pPr>
        <w:pStyle w:val="FirstParagraph"/>
      </w:pPr>
      <w:r>
        <w:rPr>
          <w:i/>
          <w:iCs/>
        </w:rPr>
        <w:t xml:space="preserve">Questa è una delle poche condizioni in cui la cosa più utile che fai non è una tecnica: è appoggiare le mani dove nessuno le ha appoggiate e scrivere quello che trovi. Per una donna che si è sentita dire per vent’anni che era normale, un numero misurato due volte vale più di una spiegazione — ed è l’unica cosa che possiamo promettere davvero.</w:t>
      </w:r>
    </w:p>
    <w:p>
      <w:pPr>
        <w:pStyle w:val="BodyText"/>
      </w:pPr>
      <w:r>
        <w:rPr>
          <w:b/>
          <w:bCs/>
        </w:rPr>
        <w:t xml:space="preserve">Le tre cose da ricordare, più una</w:t>
      </w:r>
    </w:p>
    <w:p>
      <w:pPr>
        <w:pStyle w:val="Compact"/>
        <w:numPr>
          <w:ilvl w:val="0"/>
          <w:numId w:val="1037"/>
        </w:numPr>
      </w:pPr>
      <w:r>
        <w:t xml:space="preserve">Palpa la parete sotto l’ombelico, e qualificala.</w:t>
      </w:r>
    </w:p>
    <w:p>
      <w:pPr>
        <w:pStyle w:val="Compact"/>
        <w:numPr>
          <w:ilvl w:val="0"/>
          <w:numId w:val="1037"/>
        </w:numPr>
      </w:pPr>
      <w:r>
        <w:t xml:space="preserve">Di’ la frase della convivenza e quella del lavoro esterno.</w:t>
      </w:r>
    </w:p>
    <w:p>
      <w:pPr>
        <w:pStyle w:val="Compact"/>
        <w:numPr>
          <w:ilvl w:val="0"/>
          <w:numId w:val="1037"/>
        </w:numPr>
      </w:pPr>
      <w:r>
        <w:t xml:space="preserve">Smetti di parlare di aderenze sciolte e di commentare referti.</w:t>
      </w:r>
    </w:p>
    <w:p>
      <w:pPr>
        <w:pStyle w:val="Compact"/>
        <w:numPr>
          <w:ilvl w:val="0"/>
          <w:numId w:val="1037"/>
        </w:numPr>
      </w:pPr>
      <w:r>
        <w:rPr>
          <w:b/>
          <w:bCs/>
        </w:rPr>
        <w:t xml:space="preserve">Perché ci sei tu.</w:t>
      </w:r>
      <w:r>
        <w:t xml:space="preserve"> </w:t>
      </w:r>
      <w:r>
        <w:t xml:space="preserve">L’alleanza fra terapista e paziente si associa ad aderenza al trattamento e funzione fisica migliori, misurata in contesti riabilitativi muscolo-scheletrici, cardiaci e neurologici e</w:t>
      </w:r>
      <w:r>
        <w:t xml:space="preserve"> </w:t>
      </w:r>
      <w:r>
        <w:rPr>
          <w:b/>
          <w:bCs/>
        </w:rPr>
        <w:t xml:space="preserve">non</w:t>
      </w:r>
      <w:r>
        <w:t xml:space="preserve"> </w:t>
      </w:r>
      <w:r>
        <w:t xml:space="preserve">in donne con endometriosi (Hall 2010 — PMID 20576715). Questo ti autorizza a considerare il tempo che le dedichi come parte del trattamento e non come cortesia. Non ti autorizza a chiamarlo terapia, né a sostituire con esso il canale medico e psicologico che quella paziente deve avere.</w:t>
      </w:r>
    </w:p>
    <w:p>
      <w:r>
        <w:pict>
          <v:rect style="width:0;height:1.5pt" o:hralign="center" o:hrstd="t" o:hr="t"/>
        </w:pict>
      </w:r>
    </w:p>
    <w:bookmarkEnd w:id="80"/>
    <w:bookmarkStart w:id="81" w:name="appendice-a-glossario"/>
    <w:p>
      <w:pPr>
        <w:pStyle w:val="Heading2"/>
      </w:pPr>
      <w:r>
        <w:t xml:space="preserve">Appendice A — Glossario</w:t>
      </w:r>
    </w:p>
    <w:p>
      <w:pPr>
        <w:pStyle w:val="FirstParagraph"/>
      </w:pPr>
      <w:r>
        <w:rPr>
          <w:b/>
          <w:bCs/>
        </w:rPr>
        <w:t xml:space="preserve">ACNES</w:t>
      </w:r>
      <w:r>
        <w:t xml:space="preserve"> </w:t>
      </w:r>
      <w:r>
        <w:t xml:space="preserve">—</w:t>
      </w:r>
      <w:r>
        <w:t xml:space="preserve"> </w:t>
      </w:r>
      <w:r>
        <w:rPr>
          <w:i/>
          <w:iCs/>
        </w:rPr>
        <w:t xml:space="preserve">(sindrome da intrappolamento del nervo cutaneo anteriore)</w:t>
      </w:r>
      <w:r>
        <w:t xml:space="preserve"> </w:t>
      </w:r>
      <w:r>
        <w:t xml:space="preserve">dolore di parete da intrappolamento del ramo cutaneo anteriore di un nervo intercostale, al margine laterale del retto dell’addome: puntiforme, urente, con Carnett positivo.</w:t>
      </w:r>
    </w:p>
    <w:p>
      <w:pPr>
        <w:pStyle w:val="BodyText"/>
      </w:pPr>
      <w:r>
        <w:rPr>
          <w:b/>
          <w:bCs/>
        </w:rPr>
        <w:t xml:space="preserve">Adenomiosi</w:t>
      </w:r>
      <w:r>
        <w:t xml:space="preserve"> </w:t>
      </w:r>
      <w:r>
        <w:t xml:space="preserve">— presenza di tessuto endometriale dentro la parete muscolare dell’utero; dà flussi abbondanti e utero globoso.</w:t>
      </w:r>
    </w:p>
    <w:p>
      <w:pPr>
        <w:pStyle w:val="BodyText"/>
      </w:pPr>
      <w:r>
        <w:rPr>
          <w:b/>
          <w:bCs/>
        </w:rPr>
        <w:t xml:space="preserve">Analoghi e antagonisti del GnRH</w:t>
      </w:r>
      <w:r>
        <w:t xml:space="preserve"> </w:t>
      </w:r>
      <w:r>
        <w:t xml:space="preserve">— farmaci che inducono una menopausa farmacologica sopprimendo l’asse ormonale; fra gli effetti attesi c’è la perdita di densità ossea.</w:t>
      </w:r>
    </w:p>
    <w:p>
      <w:pPr>
        <w:pStyle w:val="BodyText"/>
      </w:pPr>
      <w:r>
        <w:rPr>
          <w:b/>
          <w:bCs/>
        </w:rPr>
        <w:t xml:space="preserve">Algometro</w:t>
      </w:r>
      <w:r>
        <w:t xml:space="preserve"> </w:t>
      </w:r>
      <w:r>
        <w:t xml:space="preserve">— strumento che misura la pressione alla quale un tessuto comincia a fare male.</w:t>
      </w:r>
    </w:p>
    <w:p>
      <w:pPr>
        <w:pStyle w:val="BodyText"/>
      </w:pPr>
      <w:r>
        <w:rPr>
          <w:b/>
          <w:bCs/>
        </w:rPr>
        <w:t xml:space="preserve">Allodinia</w:t>
      </w:r>
      <w:r>
        <w:t xml:space="preserve"> </w:t>
      </w:r>
      <w:r>
        <w:t xml:space="preserve">— dolore provocato da uno stimolo che normalmente non fa male, come una carezza.</w:t>
      </w:r>
    </w:p>
    <w:p>
      <w:pPr>
        <w:pStyle w:val="BodyText"/>
      </w:pPr>
      <w:r>
        <w:rPr>
          <w:b/>
          <w:bCs/>
        </w:rPr>
        <w:t xml:space="preserve">Catena</w:t>
      </w:r>
      <w:r>
        <w:t xml:space="preserve"> </w:t>
      </w:r>
      <w:r>
        <w:t xml:space="preserve">—</w:t>
      </w:r>
      <w:r>
        <w:t xml:space="preserve"> </w:t>
      </w:r>
      <w:r>
        <w:rPr>
          <w:i/>
          <w:iCs/>
        </w:rPr>
        <w:t xml:space="preserve">(termine del metodo)</w:t>
      </w:r>
      <w:r>
        <w:t xml:space="preserve"> </w:t>
      </w:r>
      <w:r>
        <w:t xml:space="preserve">insieme di strutture collegate che si influenzano a distanza, per continuità meccanica o per via nervosa. Spiega perché un problema in un punto può manifestarsi in un altro.</w:t>
      </w:r>
    </w:p>
    <w:p>
      <w:pPr>
        <w:pStyle w:val="BodyText"/>
      </w:pPr>
      <w:r>
        <w:rPr>
          <w:b/>
          <w:bCs/>
        </w:rPr>
        <w:t xml:space="preserve">Carnett (test di)</w:t>
      </w:r>
      <w:r>
        <w:t xml:space="preserve"> </w:t>
      </w:r>
      <w:r>
        <w:t xml:space="preserve">— si preme il punto dolente della parete e si chiede alla paziente di contrarre l’addome. Se il dolore aumenta o resta uguale, la sorgente è nella parete; se si attenua, viene da dentro.</w:t>
      </w:r>
    </w:p>
    <w:p>
      <w:pPr>
        <w:pStyle w:val="BodyText"/>
      </w:pPr>
      <w:r>
        <w:rPr>
          <w:b/>
          <w:bCs/>
        </w:rPr>
        <w:t xml:space="preserve">Cavo del Douglas</w:t>
      </w:r>
      <w:r>
        <w:t xml:space="preserve"> </w:t>
      </w:r>
      <w:r>
        <w:t xml:space="preserve">— spazio fra utero e retto; sede elettiva della malattia profonda.</w:t>
      </w:r>
    </w:p>
    <w:p>
      <w:pPr>
        <w:pStyle w:val="BodyText"/>
      </w:pPr>
      <w:r>
        <w:rPr>
          <w:b/>
          <w:bCs/>
        </w:rPr>
        <w:t xml:space="preserve">Chilopascal (kPa)</w:t>
      </w:r>
      <w:r>
        <w:t xml:space="preserve"> </w:t>
      </w:r>
      <w:r>
        <w:t xml:space="preserve">— unità di pressione in cui l’algometro esprime la soglia di dolore.</w:t>
      </w:r>
    </w:p>
    <w:p>
      <w:pPr>
        <w:pStyle w:val="BodyText"/>
      </w:pPr>
      <w:r>
        <w:rPr>
          <w:b/>
          <w:bCs/>
        </w:rPr>
        <w:t xml:space="preserve">CSI (Central Sensitization Inventory)</w:t>
      </w:r>
      <w:r>
        <w:t xml:space="preserve"> </w:t>
      </w:r>
      <w:r>
        <w:t xml:space="preserve">— questionario che stima il carico di sensibilizzazione centrale; su questa condizione la soglia pubblicata è 40.</w:t>
      </w:r>
    </w:p>
    <w:p>
      <w:pPr>
        <w:pStyle w:val="BodyText"/>
      </w:pPr>
      <w:r>
        <w:rPr>
          <w:b/>
          <w:bCs/>
        </w:rPr>
        <w:t xml:space="preserve">Compenso</w:t>
      </w:r>
      <w:r>
        <w:t xml:space="preserve"> </w:t>
      </w:r>
      <w:r>
        <w:t xml:space="preserve">—</w:t>
      </w:r>
      <w:r>
        <w:t xml:space="preserve"> </w:t>
      </w:r>
      <w:r>
        <w:rPr>
          <w:i/>
          <w:iCs/>
        </w:rPr>
        <w:t xml:space="preserve">(termine del metodo)</w:t>
      </w:r>
      <w:r>
        <w:t xml:space="preserve"> </w:t>
      </w:r>
      <w:r>
        <w:t xml:space="preserve">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Dienogest</w:t>
      </w:r>
      <w:r>
        <w:t xml:space="preserve"> </w:t>
      </w:r>
      <w:r>
        <w:t xml:space="preserve">— progestinico usato come terapia di fondo dell’endometriosi; con l’uso prolungato riduce la densità minerale ossea.</w:t>
      </w:r>
    </w:p>
    <w:p>
      <w:pPr>
        <w:pStyle w:val="BodyText"/>
      </w:pPr>
      <w:r>
        <w:rPr>
          <w:b/>
          <w:bCs/>
        </w:rPr>
        <w:t xml:space="preserve">DIMOSTRATO</w:t>
      </w:r>
      <w:r>
        <w:t xml:space="preserve"> </w:t>
      </w:r>
      <w:r>
        <w:t xml:space="preserve">— etichetta di solidità:</w:t>
      </w:r>
      <w:r>
        <w:t xml:space="preserve"> </w:t>
      </w:r>
      <w:r>
        <w:rPr>
          <w:i/>
          <w:iCs/>
        </w:rPr>
        <w:t xml:space="preserve">(studi sull’uomo, solidi)</w:t>
      </w:r>
      <w:r>
        <w:t xml:space="preserve">.</w:t>
      </w:r>
    </w:p>
    <w:p>
      <w:pPr>
        <w:pStyle w:val="BodyText"/>
      </w:pPr>
      <w:r>
        <w:rPr>
          <w:b/>
          <w:bCs/>
        </w:rPr>
        <w:t xml:space="preserve">Disfunzione somatica</w:t>
      </w:r>
      <w:r>
        <w:t xml:space="preserve"> </w:t>
      </w:r>
      <w:r>
        <w:t xml:space="preserve">—</w:t>
      </w:r>
      <w:r>
        <w:t xml:space="preserve"> </w:t>
      </w:r>
      <w:r>
        <w:rPr>
          <w:i/>
          <w:iCs/>
        </w:rPr>
        <w:t xml:space="preserve">(termine del metodo)</w:t>
      </w:r>
      <w:r>
        <w:t xml:space="preserve"> </w:t>
      </w:r>
      <w:r>
        <w:t xml:space="preserve">alterazione della funzione di una parte del sistema muscolo-scheletrico e delle strutture collegate, riconoscibile all’esame manuale. È una descrizione di funzione, non una diagnosi di malattia.</w:t>
      </w:r>
    </w:p>
    <w:p>
      <w:pPr>
        <w:pStyle w:val="BodyText"/>
      </w:pPr>
      <w:r>
        <w:rPr>
          <w:b/>
          <w:bCs/>
        </w:rPr>
        <w:t xml:space="preserve">Dischezia</w:t>
      </w:r>
      <w:r>
        <w:t xml:space="preserve"> </w:t>
      </w:r>
      <w:r>
        <w:t xml:space="preserve">— dolore durante l’evacuazione.</w:t>
      </w:r>
    </w:p>
    <w:p>
      <w:pPr>
        <w:pStyle w:val="BodyText"/>
      </w:pPr>
      <w:r>
        <w:rPr>
          <w:b/>
          <w:bCs/>
        </w:rPr>
        <w:t xml:space="preserve">Dispareunia</w:t>
      </w:r>
      <w:r>
        <w:t xml:space="preserve"> </w:t>
      </w:r>
      <w:r>
        <w:t xml:space="preserve">— dolore durante i rapporti;</w:t>
      </w:r>
      <w:r>
        <w:t xml:space="preserve"> </w:t>
      </w:r>
      <w:r>
        <w:rPr>
          <w:i/>
          <w:iCs/>
        </w:rPr>
        <w:t xml:space="preserve">superficiale</w:t>
      </w:r>
      <w:r>
        <w:t xml:space="preserve"> </w:t>
      </w:r>
      <w:r>
        <w:t xml:space="preserve">all’ingresso,</w:t>
      </w:r>
      <w:r>
        <w:t xml:space="preserve"> </w:t>
      </w:r>
      <w:r>
        <w:rPr>
          <w:i/>
          <w:iCs/>
        </w:rPr>
        <w:t xml:space="preserve">profonda</w:t>
      </w:r>
      <w:r>
        <w:t xml:space="preserve"> </w:t>
      </w:r>
      <w:r>
        <w:t xml:space="preserve">in profondità.</w:t>
      </w:r>
    </w:p>
    <w:p>
      <w:pPr>
        <w:pStyle w:val="BodyText"/>
      </w:pPr>
      <w:r>
        <w:rPr>
          <w:b/>
          <w:bCs/>
        </w:rPr>
        <w:t xml:space="preserve">Endometrioma</w:t>
      </w:r>
      <w:r>
        <w:t xml:space="preserve"> </w:t>
      </w:r>
      <w:r>
        <w:t xml:space="preserve">— cisti ovarica formata da tessuto endometriosico.</w:t>
      </w:r>
    </w:p>
    <w:p>
      <w:pPr>
        <w:pStyle w:val="BodyText"/>
      </w:pPr>
      <w:r>
        <w:rPr>
          <w:b/>
          <w:bCs/>
        </w:rPr>
        <w:t xml:space="preserve">Endometriosi profonda infiltrante</w:t>
      </w:r>
      <w:r>
        <w:t xml:space="preserve"> </w:t>
      </w:r>
      <w:r>
        <w:t xml:space="preserve">— lesioni che invadono oltre cinque millimetri sotto il peritoneo.</w:t>
      </w:r>
    </w:p>
    <w:p>
      <w:pPr>
        <w:pStyle w:val="BodyText"/>
      </w:pPr>
      <w:r>
        <w:rPr>
          <w:b/>
          <w:bCs/>
        </w:rPr>
        <w:t xml:space="preserve">Fase follicolare</w:t>
      </w:r>
      <w:r>
        <w:t xml:space="preserve"> </w:t>
      </w:r>
      <w:r>
        <w:t xml:space="preserve">— la prima metà del ciclo, dal primo giorno di flusso all’ovulazione. Comprende i giorni del flusso: non è sinonimo di</w:t>
      </w:r>
      <w:r>
        <w:t xml:space="preserve"> </w:t>
      </w:r>
      <w:r>
        <w:t xml:space="preserve">“fuori dal ciclo”</w:t>
      </w:r>
      <w:r>
        <w:t xml:space="preserve">.</w:t>
      </w:r>
    </w:p>
    <w:p>
      <w:pPr>
        <w:pStyle w:val="BodyText"/>
      </w:pPr>
      <w:r>
        <w:rPr>
          <w:b/>
          <w:bCs/>
        </w:rPr>
        <w:t xml:space="preserve">Fibre C-tattili</w:t>
      </w:r>
      <w:r>
        <w:t xml:space="preserve"> </w:t>
      </w:r>
      <w:r>
        <w:t xml:space="preserve">— fibre nervose lente della pelle che rispondono al massimo per carezze lente.</w:t>
      </w:r>
    </w:p>
    <w:p>
      <w:pPr>
        <w:pStyle w:val="BodyText"/>
      </w:pPr>
      <w:r>
        <w:rPr>
          <w:b/>
          <w:bCs/>
        </w:rPr>
        <w:t xml:space="preserve">Frequenza di risonanza (del respiro)</w:t>
      </w:r>
      <w:r>
        <w:t xml:space="preserve"> </w:t>
      </w:r>
      <w:r>
        <w:t xml:space="preserve">— la frequenza respiratoria lenta, attorno a sei atti al minuto, alla quale la variabilità della frequenza cardiaca raggiunge il massimo.</w:t>
      </w:r>
    </w:p>
    <w:p>
      <w:pPr>
        <w:pStyle w:val="BodyText"/>
      </w:pPr>
      <w:r>
        <w:rPr>
          <w:b/>
          <w:bCs/>
        </w:rPr>
        <w:t xml:space="preserve">Guadagno (del dolore)</w:t>
      </w:r>
      <w:r>
        <w:t xml:space="preserve"> </w:t>
      </w:r>
      <w:r>
        <w:t xml:space="preserve">— quanta parte del traffico nocicettivo che arriva al sistema nervoso diventa dolore percepito. Nella sensibilizzazione il guadagno</w:t>
      </w:r>
      <w:r>
        <w:t xml:space="preserve"> </w:t>
      </w:r>
      <w:r>
        <w:rPr>
          <w:b/>
          <w:bCs/>
        </w:rPr>
        <w:t xml:space="preserve">sale</w:t>
      </w:r>
      <w:r>
        <w:t xml:space="preserve"> </w:t>
      </w:r>
      <w:r>
        <w:t xml:space="preserve">e la soglia</w:t>
      </w:r>
      <w:r>
        <w:t xml:space="preserve"> </w:t>
      </w:r>
      <w:r>
        <w:rPr>
          <w:b/>
          <w:bCs/>
        </w:rPr>
        <w:t xml:space="preserve">scende</w:t>
      </w:r>
      <w:r>
        <w:t xml:space="preserve">: sono due modi di dire la stessa ritaratura.</w:t>
      </w:r>
    </w:p>
    <w:p>
      <w:pPr>
        <w:pStyle w:val="BodyText"/>
      </w:pPr>
      <w:r>
        <w:rPr>
          <w:b/>
          <w:bCs/>
        </w:rPr>
        <w:t xml:space="preserve">IPOTESI</w:t>
      </w:r>
      <w:r>
        <w:t xml:space="preserve"> </w:t>
      </w:r>
      <w:r>
        <w:t xml:space="preserve">— etichetta di solidità:</w:t>
      </w:r>
      <w:r>
        <w:t xml:space="preserve"> </w:t>
      </w:r>
      <w:r>
        <w:rPr>
          <w:i/>
          <w:iCs/>
        </w:rPr>
        <w:t xml:space="preserve">(meccanismo coerente, nessuno studio)</w:t>
      </w:r>
      <w:r>
        <w:t xml:space="preserve">.</w:t>
      </w:r>
    </w:p>
    <w:p>
      <w:pPr>
        <w:pStyle w:val="BodyText"/>
      </w:pPr>
      <w:r>
        <w:rPr>
          <w:b/>
          <w:bCs/>
        </w:rPr>
        <w:t xml:space="preserve">Iato levatorio</w:t>
      </w:r>
      <w:r>
        <w:t xml:space="preserve"> </w:t>
      </w:r>
      <w:r>
        <w:t xml:space="preserve">— apertura delimitata dall’elevatore dell’ano; la sua area si misura in ecografia transperineale.</w:t>
      </w:r>
    </w:p>
    <w:p>
      <w:pPr>
        <w:pStyle w:val="BodyText"/>
      </w:pPr>
      <w:r>
        <w:rPr>
          <w:b/>
          <w:bCs/>
        </w:rPr>
        <w:t xml:space="preserve">Lesione primaria</w:t>
      </w:r>
      <w:r>
        <w:t xml:space="preserve"> </w:t>
      </w:r>
      <w:r>
        <w:t xml:space="preserve">—</w:t>
      </w:r>
      <w:r>
        <w:t xml:space="preserve"> </w:t>
      </w:r>
      <w:r>
        <w:rPr>
          <w:i/>
          <w:iCs/>
        </w:rPr>
        <w:t xml:space="preserve">(termine del metodo)</w:t>
      </w:r>
      <w:r>
        <w:t xml:space="preserve"> </w:t>
      </w:r>
      <w:r>
        <w:t xml:space="preserve">la disfunzione che, nella ricostruzione clinica, ha innescato le altre. È una ricostruzione a posteriori e non una prova: si scrive come ipotesi, mai come fatto.</w:t>
      </w:r>
    </w:p>
    <w:p>
      <w:pPr>
        <w:pStyle w:val="BodyText"/>
      </w:pPr>
      <w:r>
        <w:rPr>
          <w:b/>
          <w:bCs/>
        </w:rPr>
        <w:t xml:space="preserve">Modulazione discendente</w:t>
      </w:r>
      <w:r>
        <w:t xml:space="preserve"> </w:t>
      </w:r>
      <w:r>
        <w:t xml:space="preserve">— l’insieme dei circuiti che dal cervello riducono o aumentano il segnale doloroso lungo la via. È ciò che il marker misurato su un piano non trattato sta interrogando.</w:t>
      </w:r>
    </w:p>
    <w:p>
      <w:pPr>
        <w:pStyle w:val="BodyText"/>
      </w:pPr>
      <w:r>
        <w:rPr>
          <w:b/>
          <w:bCs/>
        </w:rPr>
        <w:t xml:space="preserve">Marker</w:t>
      </w:r>
      <w:r>
        <w:t xml:space="preserve"> </w:t>
      </w:r>
      <w:r>
        <w:t xml:space="preserve">—</w:t>
      </w:r>
      <w:r>
        <w:t xml:space="preserve"> </w:t>
      </w:r>
      <w:r>
        <w:rPr>
          <w:i/>
          <w:iCs/>
        </w:rPr>
        <w:t xml:space="preserve">(termine del metodo)</w:t>
      </w:r>
      <w:r>
        <w:t xml:space="preserve"> </w:t>
      </w:r>
      <w:r>
        <w:t xml:space="preserve">segno misurabile che scegli</w:t>
      </w:r>
      <w:r>
        <w:t xml:space="preserve"> </w:t>
      </w:r>
      <w:r>
        <w:rPr>
          <w:b/>
          <w:bCs/>
        </w:rPr>
        <w:t xml:space="preserve">prima</w:t>
      </w:r>
      <w:r>
        <w:t xml:space="preserve"> </w:t>
      </w:r>
      <w:r>
        <w:t xml:space="preserve">di trattare e che rimisuri dopo, per sapere se quello che hai fatto ha cambiato qualcosa. Non è il sintomo della paziente: è il segno che ti dice se la tua ipotesi era giusta.</w:t>
      </w:r>
    </w:p>
    <w:p>
      <w:pPr>
        <w:pStyle w:val="BodyText"/>
      </w:pPr>
      <w:r>
        <w:rPr>
          <w:b/>
          <w:bCs/>
        </w:rPr>
        <w:t xml:space="preserve">Neuroangiogenesi</w:t>
      </w:r>
      <w:r>
        <w:t xml:space="preserve"> </w:t>
      </w:r>
      <w:r>
        <w:t xml:space="preserve">— crescita contemporanea di vasi e nervi nuovi dentro un tessuto.</w:t>
      </w:r>
    </w:p>
    <w:p>
      <w:pPr>
        <w:pStyle w:val="BodyText"/>
      </w:pPr>
      <w:r>
        <w:rPr>
          <w:b/>
          <w:bCs/>
        </w:rPr>
        <w:t xml:space="preserve">Neurotrofine (fattori neurotrofici)</w:t>
      </w:r>
      <w:r>
        <w:t xml:space="preserve"> </w:t>
      </w:r>
      <w:r>
        <w:t xml:space="preserve">— molecole che fanno crescere e sopravvivere le fibre nervose; nelle lesioni endometriosiche sono sovraespresse.</w:t>
      </w:r>
    </w:p>
    <w:p>
      <w:pPr>
        <w:pStyle w:val="BodyText"/>
      </w:pPr>
      <w:r>
        <w:rPr>
          <w:b/>
          <w:bCs/>
        </w:rPr>
        <w:t xml:space="preserve">Nocicettivo, neuropatico, nociplastico</w:t>
      </w:r>
      <w:r>
        <w:t xml:space="preserve"> </w:t>
      </w:r>
      <w:r>
        <w:t xml:space="preserve">— le tre categorie del dolore: da tessuto danneggiato o infiammato; da nervo leso o compresso; da ritaratura del sistema che elabora il segnale, senza danno che lo spieghi.</w:t>
      </w:r>
    </w:p>
    <w:p>
      <w:pPr>
        <w:pStyle w:val="BodyText"/>
      </w:pPr>
      <w:r>
        <w:rPr>
          <w:b/>
          <w:bCs/>
        </w:rPr>
        <w:t xml:space="preserve">Nullipara</w:t>
      </w:r>
      <w:r>
        <w:t xml:space="preserve"> </w:t>
      </w:r>
      <w:r>
        <w:t xml:space="preserve">— donna che non ha mai partorito.</w:t>
      </w:r>
    </w:p>
    <w:p>
      <w:pPr>
        <w:pStyle w:val="BodyText"/>
      </w:pPr>
      <w:r>
        <w:rPr>
          <w:b/>
          <w:bCs/>
        </w:rPr>
        <w:t xml:space="preserve">Nervi ipogastrici</w:t>
      </w:r>
      <w:r>
        <w:t xml:space="preserve"> </w:t>
      </w:r>
      <w:r>
        <w:t xml:space="preserve">— vie che portano il dolore del corpo dell’utero ai segmenti T10-L1.</w:t>
      </w:r>
    </w:p>
    <w:p>
      <w:pPr>
        <w:pStyle w:val="BodyText"/>
      </w:pPr>
      <w:r>
        <w:rPr>
          <w:b/>
          <w:bCs/>
        </w:rPr>
        <w:t xml:space="preserve">Nervi pelvici</w:t>
      </w:r>
      <w:r>
        <w:t xml:space="preserve"> </w:t>
      </w:r>
      <w:r>
        <w:t xml:space="preserve">— vie che portano il dolore di cervice e vagina alta ai segmenti S2-S4.</w:t>
      </w:r>
    </w:p>
    <w:p>
      <w:pPr>
        <w:pStyle w:val="BodyText"/>
      </w:pPr>
      <w:r>
        <w:rPr>
          <w:b/>
          <w:bCs/>
        </w:rPr>
        <w:t xml:space="preserve">Ponzamento</w:t>
      </w:r>
      <w:r>
        <w:t xml:space="preserve"> </w:t>
      </w:r>
      <w:r>
        <w:t xml:space="preserve">— lo sforzo che si fa spingendo verso il basso, come per evacuare. È la manovra sotto la quale si misura l’apertura dello iato levatorio.</w:t>
      </w:r>
    </w:p>
    <w:p>
      <w:pPr>
        <w:pStyle w:val="BodyText"/>
      </w:pPr>
      <w:r>
        <w:rPr>
          <w:b/>
          <w:bCs/>
        </w:rPr>
        <w:t xml:space="preserve">Pneumotorace catameniale</w:t>
      </w:r>
      <w:r>
        <w:t xml:space="preserve"> </w:t>
      </w:r>
      <w:r>
        <w:t xml:space="preserve">— collasso polmonare che ricompare in coincidenza con il ciclo; manifestazione più frequente della sindrome toracica da endometriosi.</w:t>
      </w:r>
    </w:p>
    <w:p>
      <w:pPr>
        <w:pStyle w:val="BodyText"/>
      </w:pPr>
      <w:r>
        <w:rPr>
          <w:b/>
          <w:bCs/>
        </w:rPr>
        <w:t xml:space="preserve">PROBABILE</w:t>
      </w:r>
      <w:r>
        <w:t xml:space="preserve"> </w:t>
      </w:r>
      <w:r>
        <w:t xml:space="preserve">— etichetta di solidità:</w:t>
      </w:r>
      <w:r>
        <w:t xml:space="preserve"> </w:t>
      </w:r>
      <w:r>
        <w:rPr>
          <w:i/>
          <w:iCs/>
        </w:rPr>
        <w:t xml:space="preserve">(razionale forte, prove parziali)</w:t>
      </w:r>
      <w:r>
        <w:t xml:space="preserve">.</w:t>
      </w:r>
    </w:p>
    <w:p>
      <w:pPr>
        <w:pStyle w:val="BodyText"/>
      </w:pPr>
      <w:r>
        <w:rPr>
          <w:b/>
          <w:bCs/>
        </w:rPr>
        <w:t xml:space="preserve">RAGIONAMENTO</w:t>
      </w:r>
      <w:r>
        <w:t xml:space="preserve"> </w:t>
      </w:r>
      <w:r>
        <w:t xml:space="preserve">— etichetta di solidità:</w:t>
      </w:r>
      <w:r>
        <w:t xml:space="preserve"> </w:t>
      </w:r>
      <w:r>
        <w:rPr>
          <w:i/>
          <w:iCs/>
        </w:rPr>
        <w:t xml:space="preserve">(cornice clinica, non una prova)</w:t>
      </w:r>
      <w:r>
        <w:t xml:space="preserve">.</w:t>
      </w:r>
    </w:p>
    <w:p>
      <w:pPr>
        <w:pStyle w:val="BodyText"/>
      </w:pPr>
      <w:r>
        <w:rPr>
          <w:b/>
          <w:bCs/>
        </w:rPr>
        <w:t xml:space="preserve">Reperto disfunzionale</w:t>
      </w:r>
      <w:r>
        <w:t xml:space="preserve"> </w:t>
      </w:r>
      <w:r>
        <w:t xml:space="preserve">—</w:t>
      </w:r>
      <w:r>
        <w:t xml:space="preserve"> </w:t>
      </w:r>
      <w:r>
        <w:rPr>
          <w:i/>
          <w:iCs/>
        </w:rPr>
        <w:t xml:space="preserve">(termine del metodo)</w:t>
      </w:r>
      <w:r>
        <w:t xml:space="preserve"> </w:t>
      </w:r>
      <w:r>
        <w:t xml:space="preserve">quello che trovi tu con le mani e con i test, e che scrivi in cartella: una zona che si muove meno, un tessuto che risponde diversamente, una funzione che non si esprime. Non è la diagnosi della paziente — è il bersaglio del tuo lavoro.</w:t>
      </w:r>
    </w:p>
    <w:p>
      <w:pPr>
        <w:pStyle w:val="BodyText"/>
      </w:pPr>
      <w:r>
        <w:rPr>
          <w:b/>
          <w:bCs/>
        </w:rPr>
        <w:t xml:space="preserve">Salto</w:t>
      </w:r>
      <w:r>
        <w:t xml:space="preserve"> </w:t>
      </w:r>
      <w:r>
        <w:t xml:space="preserve">—</w:t>
      </w:r>
      <w:r>
        <w:t xml:space="preserve"> </w:t>
      </w:r>
      <w:r>
        <w:rPr>
          <w:i/>
          <w:iCs/>
        </w:rPr>
        <w:t xml:space="preserve">(termine del metodo di questa Bibbia)</w:t>
      </w:r>
      <w:r>
        <w:t xml:space="preserve"> </w:t>
      </w:r>
      <w:r>
        <w:t xml:space="preserve">la distanza fra lo studio citato e la paziente che hai davanti. Le specie sono sei: di popolazione, di intervento o tecnica, di erogatore, di via di accesso, di esito misurato, di orizzonte temporale. Si dichiara sempre.</w:t>
      </w:r>
    </w:p>
    <w:p>
      <w:pPr>
        <w:pStyle w:val="BodyText"/>
      </w:pPr>
      <w:r>
        <w:rPr>
          <w:b/>
          <w:bCs/>
        </w:rPr>
        <w:t xml:space="preserve">Schober modificato</w:t>
      </w:r>
      <w:r>
        <w:t xml:space="preserve"> </w:t>
      </w:r>
      <w:r>
        <w:t xml:space="preserve">— misura in centimetri dell’escursione lombare in flessione. Si segnano due punti sulla linea mediana lombare a paziente in piedi, e si misura di quanto si allontanano in flessione massima. Serve come misura funzionale ripetibile, non come misura di dolore.</w:t>
      </w:r>
    </w:p>
    <w:p>
      <w:pPr>
        <w:pStyle w:val="BodyText"/>
      </w:pPr>
      <w:r>
        <w:rPr>
          <w:b/>
          <w:bCs/>
        </w:rPr>
        <w:t xml:space="preserve">Sensibilità barocettiva</w:t>
      </w:r>
      <w:r>
        <w:t xml:space="preserve"> </w:t>
      </w:r>
      <w:r>
        <w:t xml:space="preserve">— quanto efficacemente il sistema nervoso corregge la pressione arteriosa; è uno degli indici che il respiro lento modifica.</w:t>
      </w:r>
    </w:p>
    <w:p>
      <w:pPr>
        <w:pStyle w:val="BodyText"/>
      </w:pPr>
      <w:r>
        <w:rPr>
          <w:b/>
          <w:bCs/>
        </w:rPr>
        <w:t xml:space="preserve">Segno dello scorrimento</w:t>
      </w:r>
      <w:r>
        <w:t xml:space="preserve"> </w:t>
      </w:r>
      <w:r>
        <w:t xml:space="preserve">— manovra ecografica transvaginale che verifica se l’utero scivola sul retto.</w:t>
      </w:r>
    </w:p>
    <w:p>
      <w:pPr>
        <w:pStyle w:val="BodyText"/>
      </w:pPr>
      <w:r>
        <w:rPr>
          <w:b/>
          <w:bCs/>
        </w:rPr>
        <w:t xml:space="preserve">Sensibilizzazione centrale</w:t>
      </w:r>
      <w:r>
        <w:t xml:space="preserve"> </w:t>
      </w:r>
      <w:r>
        <w:t xml:space="preserve">— ritaratura del sistema nervoso che abbassa la soglia a cui uno stimolo diventa dolore.</w:t>
      </w:r>
    </w:p>
    <w:p>
      <w:pPr>
        <w:pStyle w:val="BodyText"/>
      </w:pPr>
      <w:r>
        <w:rPr>
          <w:b/>
          <w:bCs/>
        </w:rPr>
        <w:t xml:space="preserve">Sistema dominante</w:t>
      </w:r>
      <w:r>
        <w:t xml:space="preserve"> </w:t>
      </w:r>
      <w:r>
        <w:t xml:space="preserve">—</w:t>
      </w:r>
      <w:r>
        <w:t xml:space="preserve"> </w:t>
      </w:r>
      <w:r>
        <w:rPr>
          <w:i/>
          <w:iCs/>
        </w:rPr>
        <w:t xml:space="preserve">(termine del metodo)</w:t>
      </w:r>
      <w:r>
        <w:t xml:space="preserve"> </w:t>
      </w:r>
      <w:r>
        <w:t xml:space="preserve">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al dolore</w:t>
      </w:r>
      <w:r>
        <w:t xml:space="preserve"> </w:t>
      </w:r>
      <w:r>
        <w:t xml:space="preserve">— pressione alla quale la paziente comincia a sentire dolore anziché pressione.</w:t>
      </w:r>
    </w:p>
    <w:p>
      <w:pPr>
        <w:pStyle w:val="BodyText"/>
      </w:pPr>
      <w:r>
        <w:rPr>
          <w:b/>
          <w:bCs/>
        </w:rPr>
        <w:t xml:space="preserve">Stadio ASRM</w:t>
      </w:r>
      <w:r>
        <w:t xml:space="preserve"> </w:t>
      </w:r>
      <w:r>
        <w:t xml:space="preserve">— classificazione da I a IV della quantità di malattia vista in chirurgia; non predice il dolore.</w:t>
      </w:r>
    </w:p>
    <w:p>
      <w:pPr>
        <w:pStyle w:val="BodyText"/>
      </w:pPr>
      <w:r>
        <w:rPr>
          <w:b/>
          <w:bCs/>
        </w:rPr>
        <w:t xml:space="preserve">TENS (stimolazione elettrica nervosa transcutanea)</w:t>
      </w:r>
      <w:r>
        <w:t xml:space="preserve"> </w:t>
      </w:r>
      <w:r>
        <w:t xml:space="preserve">— apparecchio che applica una corrente a bassa intensità sulla pelle a scopo analgesico. Non è terapia manuale.</w:t>
      </w:r>
    </w:p>
    <w:p>
      <w:pPr>
        <w:pStyle w:val="BodyText"/>
      </w:pPr>
      <w:r>
        <w:rPr>
          <w:b/>
          <w:bCs/>
        </w:rPr>
        <w:t xml:space="preserve">Trigger point</w:t>
      </w:r>
      <w:r>
        <w:t xml:space="preserve"> </w:t>
      </w:r>
      <w:r>
        <w:t xml:space="preserve">— punto dolente dentro un muscolo, che alla pressione riproduce il dolore della paziente.</w:t>
      </w:r>
    </w:p>
    <w:p>
      <w:r>
        <w:pict>
          <v:rect style="width:0;height:1.5pt" o:hralign="center" o:hrstd="t" o:hr="t"/>
        </w:pict>
      </w:r>
    </w:p>
    <w:bookmarkEnd w:id="81"/>
    <w:bookmarkStart w:id="155" w:name="appendice-b-le-fonti"/>
    <w:p>
      <w:pPr>
        <w:pStyle w:val="Heading2"/>
      </w:pPr>
      <w:r>
        <w:t xml:space="preserve">Appendice B — Le fonti</w:t>
      </w:r>
    </w:p>
    <w:p>
      <w:pPr>
        <w:pStyle w:val="FirstParagraph"/>
      </w:pPr>
      <w:r>
        <w:t xml:space="preserve">In ordine alfabetico di primo autore.</w:t>
      </w:r>
    </w:p>
    <w:p>
      <w:pPr>
        <w:pStyle w:val="Compact"/>
        <w:numPr>
          <w:ilvl w:val="0"/>
          <w:numId w:val="1038"/>
        </w:numPr>
      </w:pPr>
      <w:r>
        <w:t xml:space="preserve">Abbott J, Hawe J, Hunter D, Holmes M, Finn P, Garry R.</w:t>
      </w:r>
      <w:r>
        <w:t xml:space="preserve"> </w:t>
      </w:r>
      <w:r>
        <w:rPr>
          <w:i/>
          <w:iCs/>
        </w:rPr>
        <w:t xml:space="preserve">Laparoscopic excision of endometriosis: a randomized, placebo-controlled trial.</w:t>
      </w:r>
      <w:r>
        <w:t xml:space="preserve"> </w:t>
      </w:r>
      <w:r>
        <w:t xml:space="preserve">Fertil Steril 2004;82(4):878-84. —</w:t>
      </w:r>
      <w:r>
        <w:t xml:space="preserve"> </w:t>
      </w:r>
      <w:hyperlink r:id="rId82">
        <w:r>
          <w:rPr>
            <w:rStyle w:val="Hyperlink"/>
          </w:rPr>
          <w:t xml:space="preserve">PMID 15482763</w:t>
        </w:r>
      </w:hyperlink>
    </w:p>
    <w:p>
      <w:pPr>
        <w:pStyle w:val="Compact"/>
        <w:numPr>
          <w:ilvl w:val="0"/>
          <w:numId w:val="1038"/>
        </w:numPr>
      </w:pPr>
      <w:r>
        <w:t xml:space="preserve">Ameer MA, Peterson DC.</w:t>
      </w:r>
      <w:r>
        <w:t xml:space="preserve"> </w:t>
      </w:r>
      <w:r>
        <w:rPr>
          <w:i/>
          <w:iCs/>
        </w:rPr>
        <w:t xml:space="preserve">Anatomy, Abdomen and Pelvis: Uterus.</w:t>
      </w:r>
      <w:r>
        <w:t xml:space="preserve"> </w:t>
      </w:r>
      <w:r>
        <w:t xml:space="preserve">StatPearls, 2025. —</w:t>
      </w:r>
      <w:r>
        <w:t xml:space="preserve"> </w:t>
      </w:r>
      <w:hyperlink r:id="rId83">
        <w:r>
          <w:rPr>
            <w:rStyle w:val="Hyperlink"/>
          </w:rPr>
          <w:t xml:space="preserve">PMID 29262069</w:t>
        </w:r>
      </w:hyperlink>
    </w:p>
    <w:p>
      <w:pPr>
        <w:pStyle w:val="Compact"/>
        <w:numPr>
          <w:ilvl w:val="0"/>
          <w:numId w:val="1038"/>
        </w:numPr>
      </w:pPr>
      <w:r>
        <w:t xml:space="preserve">Arányi Z, Csillik A, Böhm J, Schelle T.</w:t>
      </w:r>
      <w:r>
        <w:t xml:space="preserve"> </w:t>
      </w:r>
      <w:r>
        <w:rPr>
          <w:i/>
          <w:iCs/>
        </w:rPr>
        <w:t xml:space="preserve">Ultrasonography of sciatic nerve endometriosis.</w:t>
      </w:r>
      <w:r>
        <w:t xml:space="preserve"> </w:t>
      </w:r>
      <w:r>
        <w:t xml:space="preserve">Muscle Nerve 2016;54(3):500-5. —</w:t>
      </w:r>
      <w:r>
        <w:t xml:space="preserve"> </w:t>
      </w:r>
      <w:hyperlink r:id="rId84">
        <w:r>
          <w:rPr>
            <w:rStyle w:val="Hyperlink"/>
          </w:rPr>
          <w:t xml:space="preserve">PMID 27105020</w:t>
        </w:r>
      </w:hyperlink>
    </w:p>
    <w:p>
      <w:pPr>
        <w:pStyle w:val="Compact"/>
        <w:numPr>
          <w:ilvl w:val="0"/>
          <w:numId w:val="1038"/>
        </w:numPr>
      </w:pPr>
      <w:r>
        <w:t xml:space="preserve">As-Sanie S, Harris RE, Napadow V, et al. </w:t>
      </w:r>
      <w:r>
        <w:rPr>
          <w:i/>
          <w:iCs/>
        </w:rPr>
        <w:t xml:space="preserve">Changes in regional gray matter volume in women with chronic pelvic pain: a voxel-based morphometry study.</w:t>
      </w:r>
      <w:r>
        <w:t xml:space="preserve"> </w:t>
      </w:r>
      <w:r>
        <w:t xml:space="preserve">Pain 2012;153(5):1006-1014. —</w:t>
      </w:r>
      <w:r>
        <w:t xml:space="preserve"> </w:t>
      </w:r>
      <w:hyperlink r:id="rId85">
        <w:r>
          <w:rPr>
            <w:rStyle w:val="Hyperlink"/>
          </w:rPr>
          <w:t xml:space="preserve">PMID 22387096</w:t>
        </w:r>
      </w:hyperlink>
    </w:p>
    <w:p>
      <w:pPr>
        <w:pStyle w:val="Compact"/>
        <w:numPr>
          <w:ilvl w:val="0"/>
          <w:numId w:val="1038"/>
        </w:numPr>
      </w:pPr>
      <w:r>
        <w:t xml:space="preserve">Aspinall SL, Leboeuf-Yde C, Etherington SJ, Walker BF.</w:t>
      </w:r>
      <w:r>
        <w:t xml:space="preserve"> </w:t>
      </w:r>
      <w:r>
        <w:rPr>
          <w:i/>
          <w:iCs/>
        </w:rPr>
        <w:t xml:space="preserve">Manipulation-induced hypoalgesia in musculoskeletal pain populations: a systematic critical review and meta-analysis.</w:t>
      </w:r>
      <w:r>
        <w:t xml:space="preserve"> </w:t>
      </w:r>
      <w:r>
        <w:t xml:space="preserve">Chiropr Man Therap 2019;27:7. —</w:t>
      </w:r>
      <w:r>
        <w:t xml:space="preserve"> </w:t>
      </w:r>
      <w:hyperlink r:id="rId86">
        <w:r>
          <w:rPr>
            <w:rStyle w:val="Hyperlink"/>
          </w:rPr>
          <w:t xml:space="preserve">PMID 30719281</w:t>
        </w:r>
      </w:hyperlink>
    </w:p>
    <w:p>
      <w:pPr>
        <w:pStyle w:val="Compact"/>
        <w:numPr>
          <w:ilvl w:val="0"/>
          <w:numId w:val="1038"/>
        </w:numPr>
      </w:pPr>
      <w:r>
        <w:t xml:space="preserve">Bajaj P, Bajaj P, Madsen H, Arendt-Nielsen L.</w:t>
      </w:r>
      <w:r>
        <w:t xml:space="preserve"> </w:t>
      </w:r>
      <w:r>
        <w:rPr>
          <w:i/>
          <w:iCs/>
        </w:rPr>
        <w:t xml:space="preserve">A comparison of modality-specific somatosensory changes during menstruation in dysmenorrheic and non-dysmenorrheic women.</w:t>
      </w:r>
      <w:r>
        <w:t xml:space="preserve"> </w:t>
      </w:r>
      <w:r>
        <w:t xml:space="preserve">Clin J Pain 2002;18(3):180-90. —</w:t>
      </w:r>
      <w:r>
        <w:t xml:space="preserve"> </w:t>
      </w:r>
      <w:hyperlink r:id="rId87">
        <w:r>
          <w:rPr>
            <w:rStyle w:val="Hyperlink"/>
          </w:rPr>
          <w:t xml:space="preserve">PMID 12048420</w:t>
        </w:r>
      </w:hyperlink>
    </w:p>
    <w:p>
      <w:pPr>
        <w:pStyle w:val="Compact"/>
        <w:numPr>
          <w:ilvl w:val="0"/>
          <w:numId w:val="1038"/>
        </w:numPr>
      </w:pPr>
      <w:r>
        <w:t xml:space="preserve">Bandini V, Vercellini P, et al. </w:t>
      </w:r>
      <w:r>
        <w:rPr>
          <w:i/>
          <w:iCs/>
        </w:rPr>
        <w:t xml:space="preserve">The natural evolution of untreated deep endometriosis and the effect of hormonal suppression: a systematic review and meta-analysis.</w:t>
      </w:r>
      <w:r>
        <w:t xml:space="preserve"> </w:t>
      </w:r>
      <w:r>
        <w:t xml:space="preserve">Acta Obstet Gynecol Scand 2024. —</w:t>
      </w:r>
      <w:r>
        <w:t xml:space="preserve"> </w:t>
      </w:r>
      <w:hyperlink r:id="rId88">
        <w:r>
          <w:rPr>
            <w:rStyle w:val="Hyperlink"/>
          </w:rPr>
          <w:t xml:space="preserve">PMID 38867640</w:t>
        </w:r>
      </w:hyperlink>
    </w:p>
    <w:p>
      <w:pPr>
        <w:pStyle w:val="Compact"/>
        <w:numPr>
          <w:ilvl w:val="0"/>
          <w:numId w:val="1038"/>
        </w:numPr>
      </w:pPr>
      <w:r>
        <w:t xml:space="preserve">Bankhead CR, Collins C, Stokes-Lampard H, et al. </w:t>
      </w:r>
      <w:r>
        <w:rPr>
          <w:i/>
          <w:iCs/>
        </w:rPr>
        <w:t xml:space="preserve">Identifying symptoms of ovarian cancer: a qualitative and quantitative study.</w:t>
      </w:r>
      <w:r>
        <w:t xml:space="preserve"> </w:t>
      </w:r>
      <w:r>
        <w:t xml:space="preserve">BJOG 2008;115(8):1008-14. —</w:t>
      </w:r>
      <w:r>
        <w:t xml:space="preserve"> </w:t>
      </w:r>
      <w:hyperlink r:id="rId89">
        <w:r>
          <w:rPr>
            <w:rStyle w:val="Hyperlink"/>
          </w:rPr>
          <w:t xml:space="preserve">PMID 18651882</w:t>
        </w:r>
      </w:hyperlink>
    </w:p>
    <w:p>
      <w:pPr>
        <w:pStyle w:val="Compact"/>
        <w:numPr>
          <w:ilvl w:val="0"/>
          <w:numId w:val="1038"/>
        </w:numPr>
      </w:pPr>
      <w:r>
        <w:t xml:space="preserve">Becker CM, Bokor A, Heikinheimo O, et al.; ESHRE Endometriosis Guideline Group.</w:t>
      </w:r>
      <w:r>
        <w:t xml:space="preserve"> </w:t>
      </w:r>
      <w:r>
        <w:rPr>
          <w:i/>
          <w:iCs/>
        </w:rPr>
        <w:t xml:space="preserve">ESHRE guideline: endometriosis.</w:t>
      </w:r>
      <w:r>
        <w:t xml:space="preserve"> </w:t>
      </w:r>
      <w:r>
        <w:t xml:space="preserve">Hum Reprod Open 2022;2022(2):hoac009. —</w:t>
      </w:r>
      <w:r>
        <w:t xml:space="preserve"> </w:t>
      </w:r>
      <w:hyperlink r:id="rId90">
        <w:r>
          <w:rPr>
            <w:rStyle w:val="Hyperlink"/>
          </w:rPr>
          <w:t xml:space="preserve">PMID 35350465</w:t>
        </w:r>
      </w:hyperlink>
    </w:p>
    <w:p>
      <w:pPr>
        <w:pStyle w:val="Compact"/>
        <w:numPr>
          <w:ilvl w:val="0"/>
          <w:numId w:val="1038"/>
        </w:numPr>
      </w:pPr>
      <w:r>
        <w:t xml:space="preserve">Brasil DL, Montagna E, Trevisan CM, et al. </w:t>
      </w:r>
      <w:r>
        <w:rPr>
          <w:i/>
          <w:iCs/>
        </w:rPr>
        <w:t xml:space="preserve">Psychological stress levels in women with endometriosis: systematic review and meta-analysis of observational studies.</w:t>
      </w:r>
      <w:r>
        <w:t xml:space="preserve"> </w:t>
      </w:r>
      <w:r>
        <w:t xml:space="preserve">Minerva Med 2020;111(1):90-102. —</w:t>
      </w:r>
      <w:r>
        <w:t xml:space="preserve"> </w:t>
      </w:r>
      <w:hyperlink r:id="rId91">
        <w:r>
          <w:rPr>
            <w:rStyle w:val="Hyperlink"/>
          </w:rPr>
          <w:t xml:space="preserve">PMID 31755674</w:t>
        </w:r>
      </w:hyperlink>
    </w:p>
    <w:p>
      <w:pPr>
        <w:pStyle w:val="Compact"/>
        <w:numPr>
          <w:ilvl w:val="0"/>
          <w:numId w:val="1038"/>
        </w:numPr>
      </w:pPr>
      <w:r>
        <w:t xml:space="preserve">Can G, das Virgens IPA, Fehér B, et al. </w:t>
      </w:r>
      <w:r>
        <w:rPr>
          <w:i/>
          <w:iCs/>
        </w:rPr>
        <w:t xml:space="preserve">Physiotherapy for endometriosis-associated pelvic pain: a systematic review and meta-analysis.</w:t>
      </w:r>
      <w:r>
        <w:t xml:space="preserve"> </w:t>
      </w:r>
      <w:r>
        <w:t xml:space="preserve">Pain Med 2026;27(1):95-103. —</w:t>
      </w:r>
      <w:r>
        <w:t xml:space="preserve"> </w:t>
      </w:r>
      <w:hyperlink r:id="rId92">
        <w:r>
          <w:rPr>
            <w:rStyle w:val="Hyperlink"/>
          </w:rPr>
          <w:t xml:space="preserve">PMID 40705433</w:t>
        </w:r>
      </w:hyperlink>
    </w:p>
    <w:p>
      <w:pPr>
        <w:pStyle w:val="Compact"/>
        <w:numPr>
          <w:ilvl w:val="0"/>
          <w:numId w:val="1038"/>
        </w:numPr>
      </w:pPr>
      <w:r>
        <w:t xml:space="preserve">Cantoni C, Ciccarone S, Porpora MG, Aglioti SM.</w:t>
      </w:r>
      <w:r>
        <w:t xml:space="preserve"> </w:t>
      </w:r>
      <w:r>
        <w:rPr>
          <w:i/>
          <w:iCs/>
        </w:rPr>
        <w:t xml:space="preserve">Impaired gastric and urinary but preserved cardiac interoception in women with endometriosis.</w:t>
      </w:r>
      <w:r>
        <w:t xml:space="preserve"> </w:t>
      </w:r>
      <w:r>
        <w:t xml:space="preserve">PLoS One 2025;20(5):e0322865. —</w:t>
      </w:r>
      <w:r>
        <w:t xml:space="preserve"> </w:t>
      </w:r>
      <w:hyperlink r:id="rId93">
        <w:r>
          <w:rPr>
            <w:rStyle w:val="Hyperlink"/>
          </w:rPr>
          <w:t xml:space="preserve">PMID 40323957</w:t>
        </w:r>
      </w:hyperlink>
    </w:p>
    <w:p>
      <w:pPr>
        <w:pStyle w:val="Compact"/>
        <w:numPr>
          <w:ilvl w:val="0"/>
          <w:numId w:val="1038"/>
        </w:numPr>
      </w:pPr>
      <w:r>
        <w:t xml:space="preserve">Chu ECP, Trager RJ, Lee LY, Niazi IK.</w:t>
      </w:r>
      <w:r>
        <w:t xml:space="preserve"> </w:t>
      </w:r>
      <w:r>
        <w:rPr>
          <w:i/>
          <w:iCs/>
        </w:rPr>
        <w:t xml:space="preserve">A retrospective analysis of the incidence of severe adverse events among recipients of chiropractic spinal manipulative therapy.</w:t>
      </w:r>
      <w:r>
        <w:t xml:space="preserve"> </w:t>
      </w:r>
      <w:r>
        <w:t xml:space="preserve">Sci Rep 2023;13(1):1254. —</w:t>
      </w:r>
      <w:r>
        <w:t xml:space="preserve"> </w:t>
      </w:r>
      <w:hyperlink r:id="rId94">
        <w:r>
          <w:rPr>
            <w:rStyle w:val="Hyperlink"/>
          </w:rPr>
          <w:t xml:space="preserve">PMID 36690712</w:t>
        </w:r>
      </w:hyperlink>
    </w:p>
    <w:p>
      <w:pPr>
        <w:pStyle w:val="Compact"/>
        <w:numPr>
          <w:ilvl w:val="0"/>
          <w:numId w:val="1038"/>
        </w:numPr>
      </w:pPr>
      <w:r>
        <w:t xml:space="preserve">Comptour A, Dechambenoit C, Kwiatkowski F, et al. </w:t>
      </w:r>
      <w:r>
        <w:rPr>
          <w:i/>
          <w:iCs/>
        </w:rPr>
        <w:t xml:space="preserve">Pilot study MOVENDOP protocol — impact on quality of life following postoperative osteopathic abdominal mobilizations in patients operated for endometriosis.</w:t>
      </w:r>
      <w:r>
        <w:t xml:space="preserve"> </w:t>
      </w:r>
      <w:r>
        <w:t xml:space="preserve">PLoS One 2025;20(5):e0323214. —</w:t>
      </w:r>
      <w:r>
        <w:t xml:space="preserve"> </w:t>
      </w:r>
      <w:hyperlink r:id="rId95">
        <w:r>
          <w:rPr>
            <w:rStyle w:val="Hyperlink"/>
          </w:rPr>
          <w:t xml:space="preserve">PMID 40338925</w:t>
        </w:r>
      </w:hyperlink>
    </w:p>
    <w:p>
      <w:pPr>
        <w:pStyle w:val="Compact"/>
        <w:numPr>
          <w:ilvl w:val="0"/>
          <w:numId w:val="1038"/>
        </w:numPr>
      </w:pPr>
      <w:r>
        <w:t xml:space="preserve">Coronado RA, Gay CW, Bialosky JE, Carnaby GD, Bishop MD, George SZ.</w:t>
      </w:r>
      <w:r>
        <w:t xml:space="preserve"> </w:t>
      </w:r>
      <w:r>
        <w:rPr>
          <w:i/>
          <w:iCs/>
        </w:rPr>
        <w:t xml:space="preserve">Changes in pain sensitivity following spinal manipulation: a systematic review and meta-analysis.</w:t>
      </w:r>
      <w:r>
        <w:t xml:space="preserve"> </w:t>
      </w:r>
      <w:r>
        <w:t xml:space="preserve">J Electromyogr Kinesiol 2012;22(5):752-67. —</w:t>
      </w:r>
      <w:r>
        <w:t xml:space="preserve"> </w:t>
      </w:r>
      <w:hyperlink r:id="rId96">
        <w:r>
          <w:rPr>
            <w:rStyle w:val="Hyperlink"/>
          </w:rPr>
          <w:t xml:space="preserve">PMID 22296867</w:t>
        </w:r>
      </w:hyperlink>
    </w:p>
    <w:p>
      <w:pPr>
        <w:pStyle w:val="Compact"/>
        <w:numPr>
          <w:ilvl w:val="0"/>
          <w:numId w:val="1038"/>
        </w:numPr>
      </w:pPr>
      <w:r>
        <w:t xml:space="preserve">De Corte P, Klinghardt M, von Stockum S, Heinemann K.</w:t>
      </w:r>
      <w:r>
        <w:t xml:space="preserve"> </w:t>
      </w:r>
      <w:r>
        <w:rPr>
          <w:i/>
          <w:iCs/>
        </w:rPr>
        <w:t xml:space="preserve">Time to Diagnose Endometriosis: Current Status, Challenges and Regional Characteristics — A Systematic Literature Review.</w:t>
      </w:r>
      <w:r>
        <w:t xml:space="preserve"> </w:t>
      </w:r>
      <w:r>
        <w:t xml:space="preserve">BJOG 2025;132(2):118-130. —</w:t>
      </w:r>
      <w:r>
        <w:t xml:space="preserve"> </w:t>
      </w:r>
      <w:hyperlink r:id="rId97">
        <w:r>
          <w:rPr>
            <w:rStyle w:val="Hyperlink"/>
          </w:rPr>
          <w:t xml:space="preserve">PMID 39373298</w:t>
        </w:r>
      </w:hyperlink>
    </w:p>
    <w:p>
      <w:pPr>
        <w:pStyle w:val="Compact"/>
        <w:numPr>
          <w:ilvl w:val="0"/>
          <w:numId w:val="1038"/>
        </w:numPr>
      </w:pPr>
      <w:r>
        <w:t xml:space="preserve">Costantini R, Affaitati G, Fiordaliso M, Giamberardino MA.</w:t>
      </w:r>
      <w:r>
        <w:t xml:space="preserve"> </w:t>
      </w:r>
      <w:r>
        <w:rPr>
          <w:i/>
          <w:iCs/>
        </w:rPr>
        <w:t xml:space="preserve">Viscero-visceral hyperalgesia in dysmenorrhoea plus previous urinary calculosis: role of myofascial trigger points and their injection treatment.</w:t>
      </w:r>
      <w:r>
        <w:t xml:space="preserve"> </w:t>
      </w:r>
      <w:r>
        <w:t xml:space="preserve">Eur J Pain 2020;24(5):933-944. —</w:t>
      </w:r>
      <w:r>
        <w:t xml:space="preserve"> </w:t>
      </w:r>
      <w:hyperlink r:id="rId98">
        <w:r>
          <w:rPr>
            <w:rStyle w:val="Hyperlink"/>
          </w:rPr>
          <w:t xml:space="preserve">PMID 32034979</w:t>
        </w:r>
      </w:hyperlink>
    </w:p>
    <w:p>
      <w:pPr>
        <w:pStyle w:val="Compact"/>
        <w:numPr>
          <w:ilvl w:val="0"/>
          <w:numId w:val="1038"/>
        </w:numPr>
      </w:pPr>
      <w:r>
        <w:t xml:space="preserve">Cunha FLD, et al. </w:t>
      </w:r>
      <w:r>
        <w:rPr>
          <w:i/>
          <w:iCs/>
        </w:rPr>
        <w:t xml:space="preserve">Laparoscopic Treatment of Ureteral Endometriosis: A Systematic Review.</w:t>
      </w:r>
      <w:r>
        <w:t xml:space="preserve"> </w:t>
      </w:r>
      <w:r>
        <w:t xml:space="preserve">J Minim Invasive Gynecol 2021;28(4):779-787. —</w:t>
      </w:r>
      <w:r>
        <w:t xml:space="preserve"> </w:t>
      </w:r>
      <w:hyperlink r:id="rId99">
        <w:r>
          <w:rPr>
            <w:rStyle w:val="Hyperlink"/>
          </w:rPr>
          <w:t xml:space="preserve">PMID 33253957</w:t>
        </w:r>
      </w:hyperlink>
    </w:p>
    <w:p>
      <w:pPr>
        <w:pStyle w:val="Compact"/>
        <w:numPr>
          <w:ilvl w:val="0"/>
          <w:numId w:val="1038"/>
        </w:numPr>
      </w:pPr>
      <w:r>
        <w:t xml:space="preserve">Daraï C, Deboute O, Zacharopoulou C, et al. </w:t>
      </w:r>
      <w:r>
        <w:rPr>
          <w:i/>
          <w:iCs/>
        </w:rPr>
        <w:t xml:space="preserve">Impact of osteopathic manipulative therapy on quality of life of patients with deep infiltrating endometriosis with colorectal involvement: results of a pilot study.</w:t>
      </w:r>
      <w:r>
        <w:t xml:space="preserve"> </w:t>
      </w:r>
      <w:r>
        <w:t xml:space="preserve">Eur J Obstet Gynecol Reprod Biol 2015;188:70-3. —</w:t>
      </w:r>
      <w:r>
        <w:t xml:space="preserve"> </w:t>
      </w:r>
      <w:hyperlink r:id="rId100">
        <w:r>
          <w:rPr>
            <w:rStyle w:val="Hyperlink"/>
          </w:rPr>
          <w:t xml:space="preserve">PMID 25796057</w:t>
        </w:r>
      </w:hyperlink>
    </w:p>
    <w:p>
      <w:pPr>
        <w:pStyle w:val="Compact"/>
        <w:numPr>
          <w:ilvl w:val="0"/>
          <w:numId w:val="1038"/>
        </w:numPr>
      </w:pPr>
      <w:r>
        <w:t xml:space="preserve">Del Forno S, Arena A, Pellizzone V, et al. </w:t>
      </w:r>
      <w:r>
        <w:rPr>
          <w:i/>
          <w:iCs/>
        </w:rPr>
        <w:t xml:space="preserve">Assessment of levator hiatal area using 3D/4D transperineal ultrasound in women with deep infiltrating endometriosis and superficial dyspareunia treated with pelvic floor muscle physiotherapy: randomized controlled trial.</w:t>
      </w:r>
      <w:r>
        <w:t xml:space="preserve"> </w:t>
      </w:r>
      <w:r>
        <w:t xml:space="preserve">Ultrasound Obstet Gynecol 2021;57(5):726-732. —</w:t>
      </w:r>
      <w:r>
        <w:t xml:space="preserve"> </w:t>
      </w:r>
      <w:hyperlink r:id="rId101">
        <w:r>
          <w:rPr>
            <w:rStyle w:val="Hyperlink"/>
          </w:rPr>
          <w:t xml:space="preserve">PMID 33428320</w:t>
        </w:r>
      </w:hyperlink>
    </w:p>
    <w:p>
      <w:pPr>
        <w:pStyle w:val="Compact"/>
        <w:numPr>
          <w:ilvl w:val="0"/>
          <w:numId w:val="1038"/>
        </w:numPr>
      </w:pPr>
      <w:r>
        <w:t xml:space="preserve">Del Forno S, Cocchi L, Arena A, et al. </w:t>
      </w:r>
      <w:r>
        <w:rPr>
          <w:i/>
          <w:iCs/>
        </w:rPr>
        <w:t xml:space="preserve">Effects of Pelvic Floor Muscle Physiotherapy on Urinary, Bowel, and Sexual Functions in Women with Deep Infiltrating Endometriosis: A Randomized Controlled Trial.</w:t>
      </w:r>
      <w:r>
        <w:t xml:space="preserve"> </w:t>
      </w:r>
      <w:r>
        <w:t xml:space="preserve">Medicina (Kaunas) 2024;60(1):67. —</w:t>
      </w:r>
      <w:r>
        <w:t xml:space="preserve"> </w:t>
      </w:r>
      <w:hyperlink r:id="rId102">
        <w:r>
          <w:rPr>
            <w:rStyle w:val="Hyperlink"/>
          </w:rPr>
          <w:t xml:space="preserve">PMID 38256327</w:t>
        </w:r>
      </w:hyperlink>
    </w:p>
    <w:p>
      <w:pPr>
        <w:pStyle w:val="Compact"/>
        <w:numPr>
          <w:ilvl w:val="0"/>
          <w:numId w:val="1038"/>
        </w:numPr>
      </w:pPr>
      <w:r>
        <w:t xml:space="preserve">Desilets J, et al. </w:t>
      </w:r>
      <w:r>
        <w:rPr>
          <w:i/>
          <w:iCs/>
        </w:rPr>
        <w:t xml:space="preserve">Effect of Medical Therapies for Endometriosis on Bone Health: A Systematic Review and Meta-analysis.</w:t>
      </w:r>
      <w:r>
        <w:t xml:space="preserve"> </w:t>
      </w:r>
      <w:r>
        <w:t xml:space="preserve">Obstet Gynecol 2026;148(2). —</w:t>
      </w:r>
      <w:r>
        <w:t xml:space="preserve"> </w:t>
      </w:r>
      <w:hyperlink r:id="rId103">
        <w:r>
          <w:rPr>
            <w:rStyle w:val="Hyperlink"/>
          </w:rPr>
          <w:t xml:space="preserve">PMID 41855532</w:t>
        </w:r>
      </w:hyperlink>
    </w:p>
    <w:p>
      <w:pPr>
        <w:pStyle w:val="Compact"/>
        <w:numPr>
          <w:ilvl w:val="0"/>
          <w:numId w:val="1038"/>
        </w:numPr>
      </w:pPr>
      <w:r>
        <w:t xml:space="preserve">DPR 131/2021, profilo professionale dell’osteopata; DI 1563/2023, ordinamento didattico del corso di laurea abilitante; DPCM 25 marzo 2026, equipollenze dei titoli pregressi. Citati come ancora normativa.</w:t>
      </w:r>
    </w:p>
    <w:p>
      <w:pPr>
        <w:pStyle w:val="Compact"/>
        <w:numPr>
          <w:ilvl w:val="0"/>
          <w:numId w:val="1038"/>
        </w:numPr>
      </w:pPr>
      <w:r>
        <w:t xml:space="preserve">Evans S, Skvarc D, Esterman A, et al. </w:t>
      </w:r>
      <w:r>
        <w:rPr>
          <w:i/>
          <w:iCs/>
        </w:rPr>
        <w:t xml:space="preserve">Telehealth cognitive behavioural therapy improves health-related quality of life and pain in endometriosis: the Healing Pelvic Pain Intervention (HaPPI) — a randomized controlled trial.</w:t>
      </w:r>
      <w:r>
        <w:t xml:space="preserve"> </w:t>
      </w:r>
      <w:r>
        <w:t xml:space="preserve">Hum Reprod Open 2026;2026(1):hoag006. —</w:t>
      </w:r>
      <w:r>
        <w:t xml:space="preserve"> </w:t>
      </w:r>
      <w:hyperlink r:id="rId104">
        <w:r>
          <w:rPr>
            <w:rStyle w:val="Hyperlink"/>
          </w:rPr>
          <w:t xml:space="preserve">PMID 41717450</w:t>
        </w:r>
      </w:hyperlink>
      <w:r>
        <w:t xml:space="preserve"> </w:t>
      </w:r>
      <w:r>
        <w:t xml:space="preserve">(correzione:</w:t>
      </w:r>
      <w:r>
        <w:t xml:space="preserve"> </w:t>
      </w:r>
      <w:hyperlink r:id="rId105">
        <w:r>
          <w:rPr>
            <w:rStyle w:val="Hyperlink"/>
          </w:rPr>
          <w:t xml:space="preserve">PMID 42375549</w:t>
        </w:r>
      </w:hyperlink>
      <w:r>
        <w:t xml:space="preserve">)</w:t>
      </w:r>
    </w:p>
    <w:p>
      <w:pPr>
        <w:pStyle w:val="Compact"/>
        <w:numPr>
          <w:ilvl w:val="0"/>
          <w:numId w:val="1038"/>
        </w:numPr>
      </w:pPr>
      <w:r>
        <w:t xml:space="preserve">FitzGerald MP, Payne CK, Lukacz ES, et al.; Interstitial Cystitis Collaborative Research Network.</w:t>
      </w:r>
      <w:r>
        <w:t xml:space="preserve"> </w:t>
      </w:r>
      <w:r>
        <w:rPr>
          <w:i/>
          <w:iCs/>
        </w:rPr>
        <w:t xml:space="preserve">Randomized multicenter clinical trial of myofascial physical therapy in women with interstitial cystitis/painful bladder syndrome and pelvic floor tenderness.</w:t>
      </w:r>
      <w:r>
        <w:t xml:space="preserve"> </w:t>
      </w:r>
      <w:r>
        <w:t xml:space="preserve">J Urol 2012;187(6):2113-8. —</w:t>
      </w:r>
      <w:r>
        <w:t xml:space="preserve"> </w:t>
      </w:r>
      <w:hyperlink r:id="rId106">
        <w:r>
          <w:rPr>
            <w:rStyle w:val="Hyperlink"/>
          </w:rPr>
          <w:t xml:space="preserve">PMID 22503015</w:t>
        </w:r>
      </w:hyperlink>
    </w:p>
    <w:p>
      <w:pPr>
        <w:pStyle w:val="Compact"/>
        <w:numPr>
          <w:ilvl w:val="0"/>
          <w:numId w:val="1038"/>
        </w:numPr>
      </w:pPr>
      <w:r>
        <w:t xml:space="preserve">Floyd JR, Keeler ER, Euscher ED, McCutcheon IE.</w:t>
      </w:r>
      <w:r>
        <w:t xml:space="preserve"> </w:t>
      </w:r>
      <w:r>
        <w:rPr>
          <w:i/>
          <w:iCs/>
        </w:rPr>
        <w:t xml:space="preserve">Cyclic sciatica from extrapelvic endometriosis affecting the sciatic nerve.</w:t>
      </w:r>
      <w:r>
        <w:t xml:space="preserve"> </w:t>
      </w:r>
      <w:r>
        <w:t xml:space="preserve">J Neurosurg Spine 2011;14(2):281-9. —</w:t>
      </w:r>
      <w:r>
        <w:t xml:space="preserve"> </w:t>
      </w:r>
      <w:hyperlink r:id="rId107">
        <w:r>
          <w:rPr>
            <w:rStyle w:val="Hyperlink"/>
          </w:rPr>
          <w:t xml:space="preserve">PMID 21184633</w:t>
        </w:r>
      </w:hyperlink>
    </w:p>
    <w:p>
      <w:pPr>
        <w:pStyle w:val="Compact"/>
        <w:numPr>
          <w:ilvl w:val="0"/>
          <w:numId w:val="1038"/>
        </w:numPr>
      </w:pPr>
      <w:r>
        <w:t xml:space="preserve">de França Moreira M, Gamboa OL, Pinho Oliveira MA.</w:t>
      </w:r>
      <w:r>
        <w:t xml:space="preserve"> </w:t>
      </w:r>
      <w:r>
        <w:rPr>
          <w:i/>
          <w:iCs/>
        </w:rPr>
        <w:t xml:space="preserve">Association between severity of pain, perceived stress and vagally-mediated heart rate variability in women with endometriosis.</w:t>
      </w:r>
      <w:r>
        <w:t xml:space="preserve"> </w:t>
      </w:r>
      <w:r>
        <w:t xml:space="preserve">Women Health 2021;61(10):937-946. —</w:t>
      </w:r>
      <w:r>
        <w:t xml:space="preserve"> </w:t>
      </w:r>
      <w:hyperlink r:id="rId108">
        <w:r>
          <w:rPr>
            <w:rStyle w:val="Hyperlink"/>
          </w:rPr>
          <w:t xml:space="preserve">PMID 34719338</w:t>
        </w:r>
      </w:hyperlink>
    </w:p>
    <w:p>
      <w:pPr>
        <w:pStyle w:val="Compact"/>
        <w:numPr>
          <w:ilvl w:val="0"/>
          <w:numId w:val="1038"/>
        </w:numPr>
      </w:pPr>
      <w:r>
        <w:t xml:space="preserve">Gabrielsen R, Tellum T, Bø K, et al. </w:t>
      </w:r>
      <w:r>
        <w:rPr>
          <w:i/>
          <w:iCs/>
        </w:rPr>
        <w:t xml:space="preserve">Supervised exercise and pelvic floor muscle training eases current pelvic and genital pain but not worst pelvic and genital pain in women with endometriosis: a randomised trial.</w:t>
      </w:r>
      <w:r>
        <w:t xml:space="preserve"> </w:t>
      </w:r>
      <w:r>
        <w:t xml:space="preserve">J Physiother 2025;71(4):246-253. —</w:t>
      </w:r>
      <w:r>
        <w:t xml:space="preserve"> </w:t>
      </w:r>
      <w:hyperlink r:id="rId109">
        <w:r>
          <w:rPr>
            <w:rStyle w:val="Hyperlink"/>
          </w:rPr>
          <w:t xml:space="preserve">PMID 41006088</w:t>
        </w:r>
      </w:hyperlink>
    </w:p>
    <w:p>
      <w:pPr>
        <w:pStyle w:val="Compact"/>
        <w:numPr>
          <w:ilvl w:val="0"/>
          <w:numId w:val="1038"/>
        </w:numPr>
      </w:pPr>
      <w:r>
        <w:t xml:space="preserve">Gentles AJ, Goodwin R, Bedaiwy MA, Marshall D, Yong PJ.</w:t>
      </w:r>
      <w:r>
        <w:t xml:space="preserve"> </w:t>
      </w:r>
      <w:r>
        <w:rPr>
          <w:i/>
          <w:iCs/>
        </w:rPr>
        <w:t xml:space="preserve">Nociplastic Pain in Endometriosis: A Scoping Review.</w:t>
      </w:r>
      <w:r>
        <w:t xml:space="preserve"> </w:t>
      </w:r>
      <w:r>
        <w:t xml:space="preserve">J Clin Med 2024;13(24):7521. —</w:t>
      </w:r>
      <w:r>
        <w:t xml:space="preserve"> </w:t>
      </w:r>
      <w:hyperlink r:id="rId110">
        <w:r>
          <w:rPr>
            <w:rStyle w:val="Hyperlink"/>
          </w:rPr>
          <w:t xml:space="preserve">PMID 39768444</w:t>
        </w:r>
      </w:hyperlink>
    </w:p>
    <w:p>
      <w:pPr>
        <w:pStyle w:val="Compact"/>
        <w:numPr>
          <w:ilvl w:val="0"/>
          <w:numId w:val="1038"/>
        </w:numPr>
      </w:pPr>
      <w:r>
        <w:t xml:space="preserve">Grundström H, Gerdle B, Alehagen S, Berterö C, Arendt-Nielsen L, Kjølhede P.</w:t>
      </w:r>
      <w:r>
        <w:t xml:space="preserve"> </w:t>
      </w:r>
      <w:r>
        <w:rPr>
          <w:i/>
          <w:iCs/>
        </w:rPr>
        <w:t xml:space="preserve">Reduced pain thresholds and signs of sensitization in women with persistent pelvic pain and suspected endometriosis.</w:t>
      </w:r>
      <w:r>
        <w:t xml:space="preserve"> </w:t>
      </w:r>
      <w:r>
        <w:t xml:space="preserve">Acta Obstet Gynecol Scand 2019;98(3):327-336. —</w:t>
      </w:r>
      <w:r>
        <w:t xml:space="preserve"> </w:t>
      </w:r>
      <w:hyperlink r:id="rId111">
        <w:r>
          <w:rPr>
            <w:rStyle w:val="Hyperlink"/>
          </w:rPr>
          <w:t xml:space="preserve">PMID 30472739</w:t>
        </w:r>
      </w:hyperlink>
    </w:p>
    <w:p>
      <w:pPr>
        <w:pStyle w:val="Compact"/>
        <w:numPr>
          <w:ilvl w:val="0"/>
          <w:numId w:val="1038"/>
        </w:numPr>
      </w:pPr>
      <w:r>
        <w:t xml:space="preserve">van Haaps AP, Wijbers JV, Schreurs AMF, et al. </w:t>
      </w:r>
      <w:r>
        <w:rPr>
          <w:i/>
          <w:iCs/>
        </w:rPr>
        <w:t xml:space="preserve">The effect of dietary interventions on pain and quality of life in women diagnosed with endometriosis: a prospective study with control group.</w:t>
      </w:r>
      <w:r>
        <w:t xml:space="preserve"> </w:t>
      </w:r>
      <w:r>
        <w:t xml:space="preserve">Hum Reprod 2023;38(12):2433-2446. —</w:t>
      </w:r>
      <w:r>
        <w:t xml:space="preserve"> </w:t>
      </w:r>
      <w:hyperlink r:id="rId112">
        <w:r>
          <w:rPr>
            <w:rStyle w:val="Hyperlink"/>
          </w:rPr>
          <w:t xml:space="preserve">PMID 37877417</w:t>
        </w:r>
      </w:hyperlink>
    </w:p>
    <w:p>
      <w:pPr>
        <w:pStyle w:val="Compact"/>
        <w:numPr>
          <w:ilvl w:val="0"/>
          <w:numId w:val="1038"/>
        </w:numPr>
      </w:pPr>
      <w:r>
        <w:t xml:space="preserve">Hall AM, Ferreira PH, Maher CG, Latimer J, Ferreira ML.</w:t>
      </w:r>
      <w:r>
        <w:t xml:space="preserve"> </w:t>
      </w:r>
      <w:r>
        <w:rPr>
          <w:i/>
          <w:iCs/>
        </w:rPr>
        <w:t xml:space="preserve">The influence of the therapist-patient relationship on treatment outcome in physical rehabilitation: a systematic review.</w:t>
      </w:r>
      <w:r>
        <w:t xml:space="preserve"> </w:t>
      </w:r>
      <w:r>
        <w:t xml:space="preserve">Phys Ther 2010;90(8):1099-110. —</w:t>
      </w:r>
      <w:r>
        <w:t xml:space="preserve"> </w:t>
      </w:r>
      <w:hyperlink r:id="rId113">
        <w:r>
          <w:rPr>
            <w:rStyle w:val="Hyperlink"/>
          </w:rPr>
          <w:t xml:space="preserve">PMID 20576715</w:t>
        </w:r>
      </w:hyperlink>
    </w:p>
    <w:p>
      <w:pPr>
        <w:pStyle w:val="Compact"/>
        <w:numPr>
          <w:ilvl w:val="0"/>
          <w:numId w:val="1038"/>
        </w:numPr>
      </w:pPr>
      <w:r>
        <w:t xml:space="preserve">Hao M, Liu X, Rong P, Li S, Guo SW.</w:t>
      </w:r>
      <w:r>
        <w:t xml:space="preserve"> </w:t>
      </w:r>
      <w:r>
        <w:rPr>
          <w:i/>
          <w:iCs/>
        </w:rPr>
        <w:t xml:space="preserve">Reduced vagal tone in women with endometriosis and auricular vagus nerve stimulation as a potential therapeutic approach.</w:t>
      </w:r>
      <w:r>
        <w:t xml:space="preserve"> </w:t>
      </w:r>
      <w:r>
        <w:t xml:space="preserve">Sci Rep 2021;11:1345. —</w:t>
      </w:r>
      <w:r>
        <w:t xml:space="preserve"> </w:t>
      </w:r>
      <w:hyperlink r:id="rId114">
        <w:r>
          <w:rPr>
            <w:rStyle w:val="Hyperlink"/>
          </w:rPr>
          <w:t xml:space="preserve">PMID 33446725</w:t>
        </w:r>
      </w:hyperlink>
    </w:p>
    <w:p>
      <w:pPr>
        <w:pStyle w:val="Compact"/>
        <w:numPr>
          <w:ilvl w:val="0"/>
          <w:numId w:val="1038"/>
        </w:numPr>
      </w:pPr>
      <w:r>
        <w:t xml:space="preserve">Janssen EB, Rijkers AC, Hoppenbrouwers K, Meuleman C, D’Hooghe TM.</w:t>
      </w:r>
      <w:r>
        <w:t xml:space="preserve"> </w:t>
      </w:r>
      <w:r>
        <w:rPr>
          <w:i/>
          <w:iCs/>
        </w:rPr>
        <w:t xml:space="preserve">Prevalence of endometriosis diagnosed by laparoscopy in adolescents with dysmenorrhea or chronic pelvic pain: a systematic review.</w:t>
      </w:r>
      <w:r>
        <w:t xml:space="preserve"> </w:t>
      </w:r>
      <w:r>
        <w:t xml:space="preserve">Hum Reprod Update 2013;19(5):570-82. —</w:t>
      </w:r>
      <w:r>
        <w:t xml:space="preserve"> </w:t>
      </w:r>
      <w:hyperlink r:id="rId115">
        <w:r>
          <w:rPr>
            <w:rStyle w:val="Hyperlink"/>
          </w:rPr>
          <w:t xml:space="preserve">PMID 23727940</w:t>
        </w:r>
      </w:hyperlink>
    </w:p>
    <w:p>
      <w:pPr>
        <w:pStyle w:val="Compact"/>
        <w:numPr>
          <w:ilvl w:val="0"/>
          <w:numId w:val="1038"/>
        </w:numPr>
      </w:pPr>
      <w:r>
        <w:t xml:space="preserve">Jung A, Adamczyk WM, Ahmed A, et al.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Phys Ther 2023;103(3):pzad003. —</w:t>
      </w:r>
      <w:r>
        <w:t xml:space="preserve"> </w:t>
      </w:r>
      <w:hyperlink r:id="rId116">
        <w:r>
          <w:rPr>
            <w:rStyle w:val="Hyperlink"/>
          </w:rPr>
          <w:t xml:space="preserve">PMID 37172128</w:t>
        </w:r>
      </w:hyperlink>
    </w:p>
    <w:p>
      <w:pPr>
        <w:pStyle w:val="Compact"/>
        <w:numPr>
          <w:ilvl w:val="0"/>
          <w:numId w:val="1038"/>
        </w:numPr>
      </w:pPr>
      <w:r>
        <w:t xml:space="preserve">Kapurubandara S, Tan V, Bhimani N, Nesbitt-Hawes E, Deans R, Sansom-Daly U, Abbott J.</w:t>
      </w:r>
      <w:r>
        <w:t xml:space="preserve"> </w:t>
      </w:r>
      <w:r>
        <w:rPr>
          <w:i/>
          <w:iCs/>
        </w:rPr>
        <w:t xml:space="preserve">Prevalence of Pelvic Floor Tension Myalgia and Pelvic Floor Myalgia in Females Presenting with Symptoms Suggestive of Endometriosis.</w:t>
      </w:r>
      <w:r>
        <w:t xml:space="preserve"> </w:t>
      </w:r>
      <w:r>
        <w:t xml:space="preserve">J Minim Invasive Gynecol 2026 (online ahead of print). —</w:t>
      </w:r>
      <w:r>
        <w:t xml:space="preserve"> </w:t>
      </w:r>
      <w:hyperlink r:id="rId117">
        <w:r>
          <w:rPr>
            <w:rStyle w:val="Hyperlink"/>
          </w:rPr>
          <w:t xml:space="preserve">PMID 42537749</w:t>
        </w:r>
      </w:hyperlink>
    </w:p>
    <w:p>
      <w:pPr>
        <w:pStyle w:val="Compact"/>
        <w:numPr>
          <w:ilvl w:val="0"/>
          <w:numId w:val="1038"/>
        </w:numPr>
      </w:pPr>
      <w:r>
        <w:t xml:space="preserve">Kim SE, et al. </w:t>
      </w:r>
      <w:r>
        <w:rPr>
          <w:i/>
          <w:iCs/>
        </w:rPr>
        <w:t xml:space="preserve">The Long-Term Effect of Dienogest on Bone Mineral Density After Surgical Treatment of Endometrioma.</w:t>
      </w:r>
      <w:r>
        <w:t xml:space="preserve"> </w:t>
      </w:r>
      <w:r>
        <w:t xml:space="preserve">Reprod Sci 2021;28(5):1495-1500. —</w:t>
      </w:r>
      <w:r>
        <w:t xml:space="preserve"> </w:t>
      </w:r>
      <w:hyperlink r:id="rId118">
        <w:r>
          <w:rPr>
            <w:rStyle w:val="Hyperlink"/>
          </w:rPr>
          <w:t xml:space="preserve">PMID 33449347</w:t>
        </w:r>
      </w:hyperlink>
    </w:p>
    <w:p>
      <w:pPr>
        <w:pStyle w:val="Compact"/>
        <w:numPr>
          <w:ilvl w:val="0"/>
          <w:numId w:val="1038"/>
        </w:numPr>
      </w:pPr>
      <w:r>
        <w:t xml:space="preserve">Kubokura H, Tomioka Y, Okamoto J, Yoshino N, Usuda J.</w:t>
      </w:r>
      <w:r>
        <w:t xml:space="preserve"> </w:t>
      </w:r>
      <w:r>
        <w:rPr>
          <w:i/>
          <w:iCs/>
        </w:rPr>
        <w:t xml:space="preserve">Video-Assisted Thoracoscopic Surgery for Catamenial Pneumothorax.</w:t>
      </w:r>
      <w:r>
        <w:t xml:space="preserve"> </w:t>
      </w:r>
      <w:r>
        <w:t xml:space="preserve">J Nippon Med Sch 2026;92(6):463-467. —</w:t>
      </w:r>
      <w:r>
        <w:t xml:space="preserve"> </w:t>
      </w:r>
      <w:hyperlink r:id="rId119">
        <w:r>
          <w:rPr>
            <w:rStyle w:val="Hyperlink"/>
          </w:rPr>
          <w:t xml:space="preserve">PMID 40128971</w:t>
        </w:r>
      </w:hyperlink>
    </w:p>
    <w:p>
      <w:pPr>
        <w:pStyle w:val="Compact"/>
        <w:numPr>
          <w:ilvl w:val="0"/>
          <w:numId w:val="1038"/>
        </w:numPr>
      </w:pPr>
      <w:r>
        <w:t xml:space="preserve">Li X, Sun Y, Wang Y, Wang X, Yu C.</w:t>
      </w:r>
      <w:r>
        <w:t xml:space="preserve"> </w:t>
      </w:r>
      <w:r>
        <w:rPr>
          <w:i/>
          <w:iCs/>
        </w:rPr>
        <w:t xml:space="preserve">Manual Therapy in Primary Dysmenorrhea: A Systematic Review and Meta-Analysis.</w:t>
      </w:r>
      <w:r>
        <w:t xml:space="preserve"> </w:t>
      </w:r>
      <w:r>
        <w:t xml:space="preserve">J Pain Res 2024;17:1663-1681. —</w:t>
      </w:r>
      <w:r>
        <w:t xml:space="preserve"> </w:t>
      </w:r>
      <w:hyperlink r:id="rId120">
        <w:r>
          <w:rPr>
            <w:rStyle w:val="Hyperlink"/>
          </w:rPr>
          <w:t xml:space="preserve">PMID 38736680</w:t>
        </w:r>
      </w:hyperlink>
    </w:p>
    <w:p>
      <w:pPr>
        <w:pStyle w:val="Compact"/>
        <w:numPr>
          <w:ilvl w:val="0"/>
          <w:numId w:val="1038"/>
        </w:numPr>
      </w:pPr>
      <w:r>
        <w:t xml:space="preserve">Lidegaard Ø, Nielsen LH, Skovlund CW, Skjeldestad FE, Løkkegaard E.</w:t>
      </w:r>
      <w:r>
        <w:t xml:space="preserve"> </w:t>
      </w:r>
      <w:r>
        <w:rPr>
          <w:i/>
          <w:iCs/>
        </w:rPr>
        <w:t xml:space="preserve">Risk of venous thromboembolism from use of oral contraceptives containing different progestogens and oestrogen doses.</w:t>
      </w:r>
      <w:r>
        <w:t xml:space="preserve"> </w:t>
      </w:r>
      <w:r>
        <w:t xml:space="preserve">BMJ 2011;343:d6423. —</w:t>
      </w:r>
      <w:r>
        <w:t xml:space="preserve"> </w:t>
      </w:r>
      <w:hyperlink r:id="rId121">
        <w:r>
          <w:rPr>
            <w:rStyle w:val="Hyperlink"/>
          </w:rPr>
          <w:t xml:space="preserve">PMID 22027398</w:t>
        </w:r>
      </w:hyperlink>
    </w:p>
    <w:p>
      <w:pPr>
        <w:pStyle w:val="Compact"/>
        <w:numPr>
          <w:ilvl w:val="0"/>
          <w:numId w:val="1038"/>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2009;12(5):547-8. —</w:t>
      </w:r>
      <w:r>
        <w:t xml:space="preserve"> </w:t>
      </w:r>
      <w:hyperlink r:id="rId122">
        <w:r>
          <w:rPr>
            <w:rStyle w:val="Hyperlink"/>
          </w:rPr>
          <w:t xml:space="preserve">PMID 19363489</w:t>
        </w:r>
      </w:hyperlink>
    </w:p>
    <w:p>
      <w:pPr>
        <w:pStyle w:val="Compact"/>
        <w:numPr>
          <w:ilvl w:val="0"/>
          <w:numId w:val="1038"/>
        </w:numPr>
      </w:pPr>
      <w:r>
        <w:t xml:space="preserve">Makita K, et al. </w:t>
      </w:r>
      <w:r>
        <w:rPr>
          <w:i/>
          <w:iCs/>
        </w:rPr>
        <w:t xml:space="preserve">Long-term effects on bone mineral density and bone metabolism of 6 months’ treatment with gonadotropin-releasing hormone analogues in Japanese women.</w:t>
      </w:r>
      <w:r>
        <w:t xml:space="preserve"> </w:t>
      </w:r>
      <w:r>
        <w:t xml:space="preserve">J Bone Miner Metab 2005;23(5):389-94. —</w:t>
      </w:r>
      <w:r>
        <w:t xml:space="preserve"> </w:t>
      </w:r>
      <w:hyperlink r:id="rId123">
        <w:r>
          <w:rPr>
            <w:rStyle w:val="Hyperlink"/>
          </w:rPr>
          <w:t xml:space="preserve">PMID 16133689</w:t>
        </w:r>
      </w:hyperlink>
    </w:p>
    <w:p>
      <w:pPr>
        <w:pStyle w:val="Compact"/>
        <w:numPr>
          <w:ilvl w:val="0"/>
          <w:numId w:val="1038"/>
        </w:numPr>
      </w:pPr>
      <w:r>
        <w:t xml:space="preserve">Matsuo H.</w:t>
      </w:r>
      <w:r>
        <w:t xml:space="preserve"> </w:t>
      </w:r>
      <w:r>
        <w:rPr>
          <w:i/>
          <w:iCs/>
        </w:rPr>
        <w:t xml:space="preserve">Prediction of the change in bone mineral density induced by gonadotropin-releasing hormone agonist treatment for endometriosis.</w:t>
      </w:r>
      <w:r>
        <w:t xml:space="preserve"> </w:t>
      </w:r>
      <w:r>
        <w:t xml:space="preserve">Fertil Steril 2004;81(1):149-53. —</w:t>
      </w:r>
      <w:r>
        <w:t xml:space="preserve"> </w:t>
      </w:r>
      <w:hyperlink r:id="rId124">
        <w:r>
          <w:rPr>
            <w:rStyle w:val="Hyperlink"/>
          </w:rPr>
          <w:t xml:space="preserve">PMID 14711558</w:t>
        </w:r>
      </w:hyperlink>
    </w:p>
    <w:p>
      <w:pPr>
        <w:pStyle w:val="Compact"/>
        <w:numPr>
          <w:ilvl w:val="0"/>
          <w:numId w:val="1038"/>
        </w:numPr>
      </w:pPr>
      <w:r>
        <w:t xml:space="preserve">Mena-González A, et al. </w:t>
      </w:r>
      <w:r>
        <w:rPr>
          <w:i/>
          <w:iCs/>
        </w:rPr>
        <w:t xml:space="preserve">Effectiveness of physical therapy techniques and methods in the management of endometriosis.</w:t>
      </w:r>
      <w:r>
        <w:t xml:space="preserve"> </w:t>
      </w:r>
      <w:r>
        <w:t xml:space="preserve">Braz J Phys Ther 2026;30(4):101620. —</w:t>
      </w:r>
      <w:r>
        <w:t xml:space="preserve"> </w:t>
      </w:r>
      <w:hyperlink r:id="rId125">
        <w:r>
          <w:rPr>
            <w:rStyle w:val="Hyperlink"/>
          </w:rPr>
          <w:t xml:space="preserve">PMID 42308873</w:t>
        </w:r>
      </w:hyperlink>
    </w:p>
    <w:p>
      <w:pPr>
        <w:pStyle w:val="Compact"/>
        <w:numPr>
          <w:ilvl w:val="0"/>
          <w:numId w:val="1038"/>
        </w:numPr>
      </w:pPr>
      <w:r>
        <w:t xml:space="preserve">Mira TAA, et al. </w:t>
      </w:r>
      <w:r>
        <w:rPr>
          <w:i/>
          <w:iCs/>
        </w:rPr>
        <w:t xml:space="preserve">Hormonal treatment isolated versus hormonal treatment associated with electrotherapy for pelvic pain control in deep endometriosis: randomized clinical trial.</w:t>
      </w:r>
      <w:r>
        <w:t xml:space="preserve"> </w:t>
      </w:r>
      <w:r>
        <w:t xml:space="preserve">Eur J Obstet Gynecol Reprod Biol 2020;255:134-141. —</w:t>
      </w:r>
      <w:r>
        <w:t xml:space="preserve"> </w:t>
      </w:r>
      <w:hyperlink r:id="rId126">
        <w:r>
          <w:rPr>
            <w:rStyle w:val="Hyperlink"/>
          </w:rPr>
          <w:t xml:space="preserve">PMID 33129015</w:t>
        </w:r>
      </w:hyperlink>
    </w:p>
    <w:p>
      <w:pPr>
        <w:pStyle w:val="Compact"/>
        <w:numPr>
          <w:ilvl w:val="0"/>
          <w:numId w:val="1038"/>
        </w:numPr>
      </w:pPr>
      <w:r>
        <w:t xml:space="preserve">Mira TAA, Giraldo PC, Yela DA, Benetti-Pinto CL.</w:t>
      </w:r>
      <w:r>
        <w:t xml:space="preserve"> </w:t>
      </w:r>
      <w:r>
        <w:rPr>
          <w:i/>
          <w:iCs/>
        </w:rPr>
        <w:t xml:space="preserve">Effectiveness of complementary pain treatment for women with deep endometriosis through Transcutaneous Electrical Nerve Stimulation (TENS): randomized controlled trial.</w:t>
      </w:r>
      <w:r>
        <w:t xml:space="preserve"> </w:t>
      </w:r>
      <w:r>
        <w:t xml:space="preserve">Eur J Obstet Gynecol Reprod Biol 2015;194:1-6. —</w:t>
      </w:r>
      <w:r>
        <w:t xml:space="preserve"> </w:t>
      </w:r>
      <w:r>
        <w:rPr>
          <w:b/>
          <w:bCs/>
        </w:rPr>
        <w:t xml:space="preserve">RITRATTATO nel 2018.</w:t>
      </w:r>
      <w:r>
        <w:t xml:space="preserve"> </w:t>
      </w:r>
      <w:hyperlink r:id="rId127">
        <w:r>
          <w:rPr>
            <w:rStyle w:val="Hyperlink"/>
          </w:rPr>
          <w:t xml:space="preserve">PMID 26319650</w:t>
        </w:r>
      </w:hyperlink>
    </w:p>
    <w:p>
      <w:pPr>
        <w:pStyle w:val="Compact"/>
        <w:numPr>
          <w:ilvl w:val="0"/>
          <w:numId w:val="1038"/>
        </w:numPr>
      </w:pPr>
      <w:r>
        <w:t xml:space="preserve">Montenegro ML, Braz CA, Rosa-e-Silva JC, Candido-dos-Reis FJ, Nogueira AA, Poli-Neto OB.</w:t>
      </w:r>
      <w:r>
        <w:t xml:space="preserve"> </w:t>
      </w:r>
      <w:r>
        <w:rPr>
          <w:i/>
          <w:iCs/>
        </w:rPr>
        <w:t xml:space="preserve">Anaesthetic injection versus ischemic compression for the pain relief of abdominal wall trigger points in women with chronic pelvic pain.</w:t>
      </w:r>
      <w:r>
        <w:t xml:space="preserve"> </w:t>
      </w:r>
      <w:r>
        <w:t xml:space="preserve">BMC Anesthesiol 2015;15:175. —</w:t>
      </w:r>
      <w:r>
        <w:t xml:space="preserve"> </w:t>
      </w:r>
      <w:hyperlink r:id="rId128">
        <w:r>
          <w:rPr>
            <w:rStyle w:val="Hyperlink"/>
          </w:rPr>
          <w:t xml:space="preserve">PMID 26628263</w:t>
        </w:r>
      </w:hyperlink>
    </w:p>
    <w:p>
      <w:pPr>
        <w:pStyle w:val="Compact"/>
        <w:numPr>
          <w:ilvl w:val="0"/>
          <w:numId w:val="1038"/>
        </w:numPr>
      </w:pPr>
      <w:r>
        <w:t xml:space="preserve">Morotti M, Vincent K, Brawn J, Zondervan KT, Becker CM.</w:t>
      </w:r>
      <w:r>
        <w:t xml:space="preserve"> </w:t>
      </w:r>
      <w:r>
        <w:rPr>
          <w:i/>
          <w:iCs/>
        </w:rPr>
        <w:t xml:space="preserve">Peripheral changes in endometriosis-associated pain.</w:t>
      </w:r>
      <w:r>
        <w:t xml:space="preserve"> </w:t>
      </w:r>
      <w:r>
        <w:t xml:space="preserve">Hum Reprod Update 2014;20(5):717-36. —</w:t>
      </w:r>
      <w:r>
        <w:t xml:space="preserve"> </w:t>
      </w:r>
      <w:hyperlink r:id="rId129">
        <w:r>
          <w:rPr>
            <w:rStyle w:val="Hyperlink"/>
          </w:rPr>
          <w:t xml:space="preserve">PMID 24859987</w:t>
        </w:r>
      </w:hyperlink>
    </w:p>
    <w:p>
      <w:pPr>
        <w:pStyle w:val="Compact"/>
        <w:numPr>
          <w:ilvl w:val="0"/>
          <w:numId w:val="1038"/>
        </w:numPr>
      </w:pPr>
      <w:r>
        <w:t xml:space="preserve">Mui J, Allaire C, Williams C, Yong PJ.</w:t>
      </w:r>
      <w:r>
        <w:t xml:space="preserve"> </w:t>
      </w:r>
      <w:r>
        <w:rPr>
          <w:i/>
          <w:iCs/>
        </w:rPr>
        <w:t xml:space="preserve">Abdominal Wall Pain in Women With Chronic Pelvic Pain.</w:t>
      </w:r>
      <w:r>
        <w:t xml:space="preserve"> </w:t>
      </w:r>
      <w:r>
        <w:t xml:space="preserve">J Obstet Gynaecol Can 2016;38(2):154-9. —</w:t>
      </w:r>
      <w:r>
        <w:t xml:space="preserve"> </w:t>
      </w:r>
      <w:hyperlink r:id="rId130">
        <w:r>
          <w:rPr>
            <w:rStyle w:val="Hyperlink"/>
          </w:rPr>
          <w:t xml:space="preserve">PMID 27032740</w:t>
        </w:r>
      </w:hyperlink>
    </w:p>
    <w:p>
      <w:pPr>
        <w:pStyle w:val="Compact"/>
        <w:numPr>
          <w:ilvl w:val="0"/>
          <w:numId w:val="1038"/>
        </w:numPr>
      </w:pPr>
      <w:r>
        <w:t xml:space="preserve">Muthuppalaniappan VM, Wiles KS, Mukerjee D, Abeygunasekara S.</w:t>
      </w:r>
      <w:r>
        <w:t xml:space="preserve"> </w:t>
      </w:r>
      <w:r>
        <w:rPr>
          <w:i/>
          <w:iCs/>
        </w:rPr>
        <w:t xml:space="preserve">Silent obstruction in a young woman with systemic lupus erythematosus: a case report and literature review on kidney injury from ureteral endometriosis.</w:t>
      </w:r>
      <w:r>
        <w:t xml:space="preserve"> </w:t>
      </w:r>
      <w:r>
        <w:t xml:space="preserve">Postgrad Med 2016;128(3):307-10. —</w:t>
      </w:r>
      <w:r>
        <w:t xml:space="preserve"> </w:t>
      </w:r>
      <w:hyperlink r:id="rId131">
        <w:r>
          <w:rPr>
            <w:rStyle w:val="Hyperlink"/>
          </w:rPr>
          <w:t xml:space="preserve">PMID 26853481</w:t>
        </w:r>
      </w:hyperlink>
    </w:p>
    <w:p>
      <w:pPr>
        <w:pStyle w:val="Compact"/>
        <w:numPr>
          <w:ilvl w:val="0"/>
          <w:numId w:val="1038"/>
        </w:numPr>
      </w:pPr>
      <w:r>
        <w:t xml:space="preserve">National Institute for Health and Care Excellence.</w:t>
      </w:r>
      <w:r>
        <w:t xml:space="preserve"> </w:t>
      </w:r>
      <w:r>
        <w:rPr>
          <w:i/>
          <w:iCs/>
        </w:rPr>
        <w:t xml:space="preserve">Endometriosis: diagnosis and management.</w:t>
      </w:r>
      <w:r>
        <w:t xml:space="preserve"> </w:t>
      </w:r>
      <w:r>
        <w:t xml:space="preserve">NICE guideline NG73 (aggiornamento 2024).</w:t>
      </w:r>
    </w:p>
    <w:p>
      <w:pPr>
        <w:pStyle w:val="Compact"/>
        <w:numPr>
          <w:ilvl w:val="0"/>
          <w:numId w:val="1038"/>
        </w:numPr>
      </w:pPr>
      <w:r>
        <w:t xml:space="preserve">National Institute for Health and Care Excellence.</w:t>
      </w:r>
      <w:r>
        <w:t xml:space="preserve"> </w:t>
      </w:r>
      <w:r>
        <w:rPr>
          <w:i/>
          <w:iCs/>
        </w:rPr>
        <w:t xml:space="preserve">Ovarian cancer: recognition and initial management.</w:t>
      </w:r>
      <w:r>
        <w:t xml:space="preserve"> </w:t>
      </w:r>
      <w:r>
        <w:t xml:space="preserve">NICE guideline CG122.</w:t>
      </w:r>
    </w:p>
    <w:p>
      <w:pPr>
        <w:pStyle w:val="Compact"/>
        <w:numPr>
          <w:ilvl w:val="0"/>
          <w:numId w:val="1038"/>
        </w:numPr>
      </w:pPr>
      <w:r>
        <w:t xml:space="preserve">Nnoaham KE, Hummelshoj L, Webster P, et al. </w:t>
      </w:r>
      <w:r>
        <w:rPr>
          <w:i/>
          <w:iCs/>
        </w:rPr>
        <w:t xml:space="preserve">Impact of endometriosis on quality of life and work productivity: a multicenter study across ten countries.</w:t>
      </w:r>
      <w:r>
        <w:t xml:space="preserve"> </w:t>
      </w:r>
      <w:r>
        <w:t xml:space="preserve">Fertil Steril 2011;96(2):366-373.e8. —</w:t>
      </w:r>
      <w:r>
        <w:t xml:space="preserve"> </w:t>
      </w:r>
      <w:hyperlink r:id="rId132">
        <w:r>
          <w:rPr>
            <w:rStyle w:val="Hyperlink"/>
          </w:rPr>
          <w:t xml:space="preserve">PMID 21718982</w:t>
        </w:r>
      </w:hyperlink>
    </w:p>
    <w:p>
      <w:pPr>
        <w:pStyle w:val="Compact"/>
        <w:numPr>
          <w:ilvl w:val="0"/>
          <w:numId w:val="1038"/>
        </w:numPr>
      </w:pPr>
      <w:r>
        <w:t xml:space="preserve">Orr NL, Huang AJ, Liu YD, et al. </w:t>
      </w:r>
      <w:r>
        <w:rPr>
          <w:i/>
          <w:iCs/>
        </w:rPr>
        <w:t xml:space="preserve">Association of central sensitization inventory scores with pain outcomes after endometriosis surgery.</w:t>
      </w:r>
      <w:r>
        <w:t xml:space="preserve"> </w:t>
      </w:r>
      <w:r>
        <w:t xml:space="preserve">Pain 2022;163(2):e234-e245. —</w:t>
      </w:r>
      <w:r>
        <w:t xml:space="preserve"> </w:t>
      </w:r>
      <w:hyperlink r:id="rId133">
        <w:r>
          <w:rPr>
            <w:rStyle w:val="Hyperlink"/>
          </w:rPr>
          <w:t xml:space="preserve">PMID 34030173</w:t>
        </w:r>
      </w:hyperlink>
    </w:p>
    <w:p>
      <w:pPr>
        <w:pStyle w:val="Compact"/>
        <w:numPr>
          <w:ilvl w:val="0"/>
          <w:numId w:val="1038"/>
        </w:numPr>
      </w:pPr>
      <w:r>
        <w:t xml:space="preserve">Orr NL, Noga H, Williams C, et al. </w:t>
      </w:r>
      <w:r>
        <w:rPr>
          <w:i/>
          <w:iCs/>
        </w:rPr>
        <w:t xml:space="preserve">Deep Dyspareunia in Endometriosis: Role of the Bladder and Pelvic Floor.</w:t>
      </w:r>
      <w:r>
        <w:t xml:space="preserve"> </w:t>
      </w:r>
      <w:r>
        <w:t xml:space="preserve">J Sex Med 2018;15(8):1158-1166. —</w:t>
      </w:r>
      <w:r>
        <w:t xml:space="preserve"> </w:t>
      </w:r>
      <w:hyperlink r:id="rId134">
        <w:r>
          <w:rPr>
            <w:rStyle w:val="Hyperlink"/>
          </w:rPr>
          <w:t xml:space="preserve">PMID 30078464</w:t>
        </w:r>
      </w:hyperlink>
    </w:p>
    <w:p>
      <w:pPr>
        <w:pStyle w:val="Compact"/>
        <w:numPr>
          <w:ilvl w:val="0"/>
          <w:numId w:val="1038"/>
        </w:numPr>
      </w:pPr>
      <w:r>
        <w:t xml:space="preserve">Pearce CL, Templeman C, Rossing MA, et al. </w:t>
      </w:r>
      <w:r>
        <w:rPr>
          <w:i/>
          <w:iCs/>
        </w:rPr>
        <w:t xml:space="preserve">Association between endometriosis and risk of histological subtypes of ovarian cancer: a pooled analysis of case-control studies.</w:t>
      </w:r>
      <w:r>
        <w:t xml:space="preserve"> </w:t>
      </w:r>
      <w:r>
        <w:t xml:space="preserve">Lancet Oncol 2012;13(4):385-94. —</w:t>
      </w:r>
      <w:r>
        <w:t xml:space="preserve"> </w:t>
      </w:r>
      <w:hyperlink r:id="rId135">
        <w:r>
          <w:rPr>
            <w:rStyle w:val="Hyperlink"/>
          </w:rPr>
          <w:t xml:space="preserve">PMID 22361336</w:t>
        </w:r>
      </w:hyperlink>
    </w:p>
    <w:p>
      <w:pPr>
        <w:pStyle w:val="Compact"/>
        <w:numPr>
          <w:ilvl w:val="0"/>
          <w:numId w:val="1038"/>
        </w:numPr>
      </w:pPr>
      <w:r>
        <w:t xml:space="preserve">Phan VT, Stratton P, Tandon HK, et al. </w:t>
      </w:r>
      <w:r>
        <w:rPr>
          <w:i/>
          <w:iCs/>
        </w:rPr>
        <w:t xml:space="preserve">Widespread myofascial dysfunction and sensitisation in women with endometriosis-associated chronic pelvic pain: A cross-sectional study.</w:t>
      </w:r>
      <w:r>
        <w:t xml:space="preserve"> </w:t>
      </w:r>
      <w:r>
        <w:t xml:space="preserve">Eur J Pain 2021;25(4):831-840. —</w:t>
      </w:r>
      <w:r>
        <w:t xml:space="preserve"> </w:t>
      </w:r>
      <w:hyperlink r:id="rId136">
        <w:r>
          <w:rPr>
            <w:rStyle w:val="Hyperlink"/>
          </w:rPr>
          <w:t xml:space="preserve">PMID 33326662</w:t>
        </w:r>
      </w:hyperlink>
    </w:p>
    <w:p>
      <w:pPr>
        <w:pStyle w:val="Compact"/>
        <w:numPr>
          <w:ilvl w:val="0"/>
          <w:numId w:val="1038"/>
        </w:numPr>
      </w:pPr>
      <w:r>
        <w:t xml:space="preserve">Proctor ML, Hing W, Johnson TC, Murphy PA.</w:t>
      </w:r>
      <w:r>
        <w:t xml:space="preserve"> </w:t>
      </w:r>
      <w:r>
        <w:rPr>
          <w:i/>
          <w:iCs/>
        </w:rPr>
        <w:t xml:space="preserve">Spinal manipulation for primary and secondary dysmenorrhoea.</w:t>
      </w:r>
      <w:r>
        <w:t xml:space="preserve"> </w:t>
      </w:r>
      <w:r>
        <w:t xml:space="preserve">Cochrane Database Syst Rev 2006;(3):CD002119. —</w:t>
      </w:r>
      <w:r>
        <w:t xml:space="preserve"> </w:t>
      </w:r>
      <w:hyperlink r:id="rId137">
        <w:r>
          <w:rPr>
            <w:rStyle w:val="Hyperlink"/>
          </w:rPr>
          <w:t xml:space="preserve">PMID 16855988</w:t>
        </w:r>
      </w:hyperlink>
    </w:p>
    <w:p>
      <w:pPr>
        <w:pStyle w:val="Compact"/>
        <w:numPr>
          <w:ilvl w:val="0"/>
          <w:numId w:val="1038"/>
        </w:numPr>
      </w:pPr>
      <w:r>
        <w:t xml:space="preserve">Raimondo D, Cocchi L, Raffone A, et al. </w:t>
      </w:r>
      <w:r>
        <w:rPr>
          <w:i/>
          <w:iCs/>
        </w:rPr>
        <w:t xml:space="preserve">Pelvic floor dysfunction at transperineal ultrasound and chronic constipation in women with endometriosis.</w:t>
      </w:r>
      <w:r>
        <w:t xml:space="preserve"> </w:t>
      </w:r>
      <w:r>
        <w:t xml:space="preserve">Int J Gynaecol Obstet 2022;159(2):505-512. —</w:t>
      </w:r>
      <w:r>
        <w:t xml:space="preserve"> </w:t>
      </w:r>
      <w:hyperlink r:id="rId138">
        <w:r>
          <w:rPr>
            <w:rStyle w:val="Hyperlink"/>
          </w:rPr>
          <w:t xml:space="preserve">PMID 34995357</w:t>
        </w:r>
      </w:hyperlink>
    </w:p>
    <w:p>
      <w:pPr>
        <w:pStyle w:val="Compact"/>
        <w:numPr>
          <w:ilvl w:val="0"/>
          <w:numId w:val="1038"/>
        </w:numPr>
      </w:pPr>
      <w:r>
        <w:t xml:space="preserve">Ramin-Wright A, Schwartz ASK, Geraedts K, et al. </w:t>
      </w:r>
      <w:r>
        <w:rPr>
          <w:i/>
          <w:iCs/>
        </w:rPr>
        <w:t xml:space="preserve">Fatigue — a symptom in endometriosis.</w:t>
      </w:r>
      <w:r>
        <w:t xml:space="preserve"> </w:t>
      </w:r>
      <w:r>
        <w:t xml:space="preserve">Hum Reprod 2018;33(8):1459-1465. —</w:t>
      </w:r>
      <w:r>
        <w:t xml:space="preserve"> </w:t>
      </w:r>
      <w:hyperlink r:id="rId139">
        <w:r>
          <w:rPr>
            <w:rStyle w:val="Hyperlink"/>
          </w:rPr>
          <w:t xml:space="preserve">PMID 29947766</w:t>
        </w:r>
      </w:hyperlink>
    </w:p>
    <w:p>
      <w:pPr>
        <w:pStyle w:val="Compact"/>
        <w:numPr>
          <w:ilvl w:val="0"/>
          <w:numId w:val="1038"/>
        </w:numPr>
      </w:pPr>
      <w:r>
        <w:t xml:space="preserve">Riley JL, Robinson ME, Wise EA, Price DD.</w:t>
      </w:r>
      <w:r>
        <w:t xml:space="preserve"> </w:t>
      </w:r>
      <w:r>
        <w:rPr>
          <w:i/>
          <w:iCs/>
        </w:rPr>
        <w:t xml:space="preserve">A meta-analytic review of pain perception across the menstrual cycle.</w:t>
      </w:r>
      <w:r>
        <w:t xml:space="preserve"> </w:t>
      </w:r>
      <w:r>
        <w:t xml:space="preserve">Pain 1999;81(3):225-235. —</w:t>
      </w:r>
      <w:r>
        <w:t xml:space="preserve"> </w:t>
      </w:r>
      <w:hyperlink r:id="rId140">
        <w:r>
          <w:rPr>
            <w:rStyle w:val="Hyperlink"/>
          </w:rPr>
          <w:t xml:space="preserve">PMID 10431710</w:t>
        </w:r>
      </w:hyperlink>
    </w:p>
    <w:p>
      <w:pPr>
        <w:pStyle w:val="Compact"/>
        <w:numPr>
          <w:ilvl w:val="0"/>
          <w:numId w:val="1038"/>
        </w:numPr>
      </w:pPr>
      <w:r>
        <w:t xml:space="preserve">Rodríguez-Ruiz M, et al. </w:t>
      </w:r>
      <w:r>
        <w:rPr>
          <w:i/>
          <w:iCs/>
        </w:rPr>
        <w:t xml:space="preserve">Impact of Physical Rehabilitation on Endometriosis and Adenomyosis-Related Symptoms: A Systematic Review and Meta-Analysis.</w:t>
      </w:r>
      <w:r>
        <w:t xml:space="preserve"> </w:t>
      </w:r>
      <w:r>
        <w:t xml:space="preserve">J Clin Med 2025;14(23):8284. —</w:t>
      </w:r>
      <w:r>
        <w:t xml:space="preserve"> </w:t>
      </w:r>
      <w:hyperlink r:id="rId141">
        <w:r>
          <w:rPr>
            <w:rStyle w:val="Hyperlink"/>
          </w:rPr>
          <w:t xml:space="preserve">PMID 41375589</w:t>
        </w:r>
      </w:hyperlink>
    </w:p>
    <w:p>
      <w:pPr>
        <w:pStyle w:val="Compact"/>
        <w:numPr>
          <w:ilvl w:val="0"/>
          <w:numId w:val="1038"/>
        </w:numPr>
      </w:pPr>
      <w:r>
        <w:t xml:space="preserve">Scheltinga MR, Roumen RM.</w:t>
      </w:r>
      <w:r>
        <w:t xml:space="preserve"> </w:t>
      </w:r>
      <w:r>
        <w:rPr>
          <w:i/>
          <w:iCs/>
        </w:rPr>
        <w:t xml:space="preserve">Anterior cutaneous nerve entrapment syndrome (ACNES).</w:t>
      </w:r>
      <w:r>
        <w:t xml:space="preserve"> </w:t>
      </w:r>
      <w:r>
        <w:t xml:space="preserve">Hernia 2018;22(3):507-516. —</w:t>
      </w:r>
      <w:r>
        <w:t xml:space="preserve"> </w:t>
      </w:r>
      <w:hyperlink r:id="rId142">
        <w:r>
          <w:rPr>
            <w:rStyle w:val="Hyperlink"/>
          </w:rPr>
          <w:t xml:space="preserve">PMID 29270882</w:t>
        </w:r>
      </w:hyperlink>
    </w:p>
    <w:p>
      <w:pPr>
        <w:pStyle w:val="Compact"/>
        <w:numPr>
          <w:ilvl w:val="0"/>
          <w:numId w:val="1038"/>
        </w:numPr>
      </w:pPr>
      <w:r>
        <w:t xml:space="preserve">Sevoz-Couche C, Laborde S.</w:t>
      </w:r>
      <w:r>
        <w:t xml:space="preserve"> </w:t>
      </w:r>
      <w:r>
        <w:rPr>
          <w:i/>
          <w:iCs/>
        </w:rPr>
        <w:t xml:space="preserve">Heart rate variability and slow-paced breathing: when coherence meets resonance.</w:t>
      </w:r>
      <w:r>
        <w:t xml:space="preserve"> </w:t>
      </w:r>
      <w:r>
        <w:t xml:space="preserve">Neurosci Biobehav Rev 2022;135:104576. —</w:t>
      </w:r>
      <w:r>
        <w:t xml:space="preserve"> </w:t>
      </w:r>
      <w:hyperlink r:id="rId143">
        <w:r>
          <w:rPr>
            <w:rStyle w:val="Hyperlink"/>
          </w:rPr>
          <w:t xml:space="preserve">PMID 35167847</w:t>
        </w:r>
      </w:hyperlink>
    </w:p>
    <w:p>
      <w:pPr>
        <w:pStyle w:val="Compact"/>
        <w:numPr>
          <w:ilvl w:val="0"/>
          <w:numId w:val="1038"/>
        </w:numPr>
      </w:pPr>
      <w:r>
        <w:t xml:space="preserve">Sran MM, Khan KM.</w:t>
      </w:r>
      <w:r>
        <w:t xml:space="preserve"> </w:t>
      </w:r>
      <w:r>
        <w:rPr>
          <w:i/>
          <w:iCs/>
        </w:rPr>
        <w:t xml:space="preserve">Is spinal mobilization safe in severe secondary osteoporosis? A case report.</w:t>
      </w:r>
      <w:r>
        <w:t xml:space="preserve"> </w:t>
      </w:r>
      <w:r>
        <w:t xml:space="preserve">Man Ther 2006;11(4):344-51. —</w:t>
      </w:r>
      <w:r>
        <w:t xml:space="preserve"> </w:t>
      </w:r>
      <w:hyperlink r:id="rId144">
        <w:r>
          <w:rPr>
            <w:rStyle w:val="Hyperlink"/>
          </w:rPr>
          <w:t xml:space="preserve">PMID 16387523</w:t>
        </w:r>
      </w:hyperlink>
    </w:p>
    <w:p>
      <w:pPr>
        <w:pStyle w:val="Compact"/>
        <w:numPr>
          <w:ilvl w:val="0"/>
          <w:numId w:val="1038"/>
        </w:numPr>
      </w:pPr>
      <w:r>
        <w:t xml:space="preserve">Sutton CJ, Ewen SP, Whitelaw N, Haines P.</w:t>
      </w:r>
      <w:r>
        <w:t xml:space="preserve"> </w:t>
      </w:r>
      <w:r>
        <w:rPr>
          <w:i/>
          <w:iCs/>
        </w:rPr>
        <w:t xml:space="preserve">Prospective, randomized, double-blind, controlled trial of laser laparoscopy in the treatment of pelvic pain associated with minimal, mild, and moderate endometriosis.</w:t>
      </w:r>
      <w:r>
        <w:t xml:space="preserve"> </w:t>
      </w:r>
      <w:r>
        <w:t xml:space="preserve">Fertil Steril 1994;62(4):696-700. —</w:t>
      </w:r>
      <w:r>
        <w:t xml:space="preserve"> </w:t>
      </w:r>
      <w:hyperlink r:id="rId145">
        <w:r>
          <w:rPr>
            <w:rStyle w:val="Hyperlink"/>
          </w:rPr>
          <w:t xml:space="preserve">PMID 7926075</w:t>
        </w:r>
      </w:hyperlink>
    </w:p>
    <w:p>
      <w:pPr>
        <w:pStyle w:val="Compact"/>
        <w:numPr>
          <w:ilvl w:val="0"/>
          <w:numId w:val="1038"/>
        </w:numPr>
      </w:pPr>
      <w:r>
        <w:t xml:space="preserve">Tammaa A, Fritzer N, Strunk G, Krell A, Salzer H, Hudelist G.</w:t>
      </w:r>
      <w:r>
        <w:t xml:space="preserve"> </w:t>
      </w:r>
      <w:r>
        <w:rPr>
          <w:i/>
          <w:iCs/>
        </w:rPr>
        <w:t xml:space="preserve">Learning curve for the detection of pouch of Douglas obliteration and deep infiltrating endometriosis of the rectum.</w:t>
      </w:r>
      <w:r>
        <w:t xml:space="preserve"> </w:t>
      </w:r>
      <w:r>
        <w:t xml:space="preserve">Hum Reprod 2014;29(6):1199-204. —</w:t>
      </w:r>
      <w:r>
        <w:t xml:space="preserve"> </w:t>
      </w:r>
      <w:hyperlink r:id="rId146">
        <w:r>
          <w:rPr>
            <w:rStyle w:val="Hyperlink"/>
          </w:rPr>
          <w:t xml:space="preserve">PMID 24777849</w:t>
        </w:r>
      </w:hyperlink>
    </w:p>
    <w:p>
      <w:pPr>
        <w:pStyle w:val="Compact"/>
        <w:numPr>
          <w:ilvl w:val="0"/>
          <w:numId w:val="1038"/>
        </w:numPr>
      </w:pPr>
      <w:r>
        <w:t xml:space="preserve">Tennfjord MK, Gabrielsen R, Tellum T.</w:t>
      </w:r>
      <w:r>
        <w:t xml:space="preserve"> </w:t>
      </w:r>
      <w:r>
        <w:rPr>
          <w:i/>
          <w:iCs/>
        </w:rPr>
        <w:t xml:space="preserve">Can general exercise training and pelvic floor muscle training be used as an empowering tool among women with endometriosis? A qualitative study.</w:t>
      </w:r>
      <w:r>
        <w:t xml:space="preserve"> </w:t>
      </w:r>
      <w:r>
        <w:t xml:space="preserve">BMC Womens Health 2024;24(1):505. —</w:t>
      </w:r>
      <w:r>
        <w:t xml:space="preserve"> </w:t>
      </w:r>
      <w:hyperlink r:id="rId147">
        <w:r>
          <w:rPr>
            <w:rStyle w:val="Hyperlink"/>
          </w:rPr>
          <w:t xml:space="preserve">PMID 39261815</w:t>
        </w:r>
      </w:hyperlink>
    </w:p>
    <w:p>
      <w:pPr>
        <w:pStyle w:val="Compact"/>
        <w:numPr>
          <w:ilvl w:val="0"/>
          <w:numId w:val="1038"/>
        </w:numPr>
      </w:pPr>
      <w:r>
        <w:t xml:space="preserve">Tennfjord MK, Gabrielsen R, Tellum T.</w:t>
      </w:r>
      <w:r>
        <w:t xml:space="preserve"> </w:t>
      </w:r>
      <w:r>
        <w:rPr>
          <w:i/>
          <w:iCs/>
        </w:rPr>
        <w:t xml:space="preserve">Effect of physical activity and exercise on endometriosis-associated symptoms: a systematic review.</w:t>
      </w:r>
      <w:r>
        <w:t xml:space="preserve"> </w:t>
      </w:r>
      <w:r>
        <w:t xml:space="preserve">BMC Womens Health 2021;21(1):355. —</w:t>
      </w:r>
      <w:r>
        <w:t xml:space="preserve"> </w:t>
      </w:r>
      <w:hyperlink r:id="rId148">
        <w:r>
          <w:rPr>
            <w:rStyle w:val="Hyperlink"/>
          </w:rPr>
          <w:t xml:space="preserve">PMID 34627209</w:t>
        </w:r>
      </w:hyperlink>
    </w:p>
    <w:p>
      <w:pPr>
        <w:pStyle w:val="Compact"/>
        <w:numPr>
          <w:ilvl w:val="0"/>
          <w:numId w:val="1038"/>
        </w:numPr>
      </w:pPr>
      <w:r>
        <w:t xml:space="preserve">Vercellini P, et al. </w:t>
      </w:r>
      <w:r>
        <w:rPr>
          <w:i/>
          <w:iCs/>
        </w:rPr>
        <w:t xml:space="preserve">Association of endometriosis and adenomyosis with pregnancy and infertility.</w:t>
      </w:r>
      <w:r>
        <w:t xml:space="preserve"> </w:t>
      </w:r>
      <w:r>
        <w:t xml:space="preserve">Fertil Steril 2023;119(5):727-740. —</w:t>
      </w:r>
      <w:r>
        <w:t xml:space="preserve"> </w:t>
      </w:r>
      <w:hyperlink r:id="rId149">
        <w:r>
          <w:rPr>
            <w:rStyle w:val="Hyperlink"/>
          </w:rPr>
          <w:t xml:space="preserve">PMID 36948440</w:t>
        </w:r>
      </w:hyperlink>
    </w:p>
    <w:p>
      <w:pPr>
        <w:pStyle w:val="Compact"/>
        <w:numPr>
          <w:ilvl w:val="0"/>
          <w:numId w:val="1038"/>
        </w:numPr>
      </w:pPr>
      <w:r>
        <w:t xml:space="preserve">Wójcik M, Kampioni M, Hudáková Z, Siatkowski I, Kędzia W, Jarząbek-Bielecka G.</w:t>
      </w:r>
      <w:r>
        <w:t xml:space="preserve"> </w:t>
      </w:r>
      <w:r>
        <w:rPr>
          <w:i/>
          <w:iCs/>
        </w:rPr>
        <w:t xml:space="preserve">The Effect of Osteopathic Visceral Manipulation on Quality of Life and Postural Stability in Women with Endometriosis and Women with Pelvic Organ Prolapse: A Non-Controlled Before-After Clinical Study.</w:t>
      </w:r>
      <w:r>
        <w:t xml:space="preserve"> </w:t>
      </w:r>
      <w:r>
        <w:t xml:space="preserve">J Clin Med 2025;14(3):767. —</w:t>
      </w:r>
      <w:r>
        <w:t xml:space="preserve"> </w:t>
      </w:r>
      <w:hyperlink r:id="rId150">
        <w:r>
          <w:rPr>
            <w:rStyle w:val="Hyperlink"/>
          </w:rPr>
          <w:t xml:space="preserve">PMID 39941438</w:t>
        </w:r>
      </w:hyperlink>
    </w:p>
    <w:p>
      <w:pPr>
        <w:pStyle w:val="Compact"/>
        <w:numPr>
          <w:ilvl w:val="0"/>
          <w:numId w:val="1038"/>
        </w:numPr>
      </w:pPr>
      <w:r>
        <w:t xml:space="preserve">Xie Y, et al. </w:t>
      </w:r>
      <w:r>
        <w:rPr>
          <w:i/>
          <w:iCs/>
        </w:rPr>
        <w:t xml:space="preserve">The effectiveness and safety of physical activity and exercise on women with endometriosis: a systematic review and meta-analysis.</w:t>
      </w:r>
      <w:r>
        <w:t xml:space="preserve"> </w:t>
      </w:r>
      <w:r>
        <w:t xml:space="preserve">PLoS One 2025;20(2):e0317820. —</w:t>
      </w:r>
      <w:r>
        <w:t xml:space="preserve"> </w:t>
      </w:r>
      <w:hyperlink r:id="rId151">
        <w:r>
          <w:rPr>
            <w:rStyle w:val="Hyperlink"/>
          </w:rPr>
          <w:t xml:space="preserve">PMID 39946383</w:t>
        </w:r>
      </w:hyperlink>
    </w:p>
    <w:p>
      <w:pPr>
        <w:pStyle w:val="Compact"/>
        <w:numPr>
          <w:ilvl w:val="0"/>
          <w:numId w:val="1038"/>
        </w:numPr>
      </w:pPr>
      <w:r>
        <w:t xml:space="preserve">Yong PJ, Alsowayan N, Noga H, et al. </w:t>
      </w:r>
      <w:r>
        <w:rPr>
          <w:i/>
          <w:iCs/>
        </w:rPr>
        <w:t xml:space="preserve">CHC for pelvic pain in women with endometriosis: ineffectiveness or discontinuation due to side-effects.</w:t>
      </w:r>
      <w:r>
        <w:t xml:space="preserve"> </w:t>
      </w:r>
      <w:r>
        <w:t xml:space="preserve">Hum Reprod Open 2020;2020(2):hoz040. —</w:t>
      </w:r>
      <w:r>
        <w:t xml:space="preserve"> </w:t>
      </w:r>
      <w:hyperlink r:id="rId152">
        <w:r>
          <w:rPr>
            <w:rStyle w:val="Hyperlink"/>
          </w:rPr>
          <w:t xml:space="preserve">PMID 32128454</w:t>
        </w:r>
      </w:hyperlink>
    </w:p>
    <w:p>
      <w:pPr>
        <w:pStyle w:val="Compact"/>
        <w:numPr>
          <w:ilvl w:val="0"/>
          <w:numId w:val="1038"/>
        </w:numPr>
      </w:pPr>
      <w:r>
        <w:t xml:space="preserve">Yong PJ, Matwani S, Brace C, et al. </w:t>
      </w:r>
      <w:r>
        <w:rPr>
          <w:i/>
          <w:iCs/>
        </w:rPr>
        <w:t xml:space="preserve">Endometriosis and Ectopic Pregnancy: A Meta-analysis.</w:t>
      </w:r>
      <w:r>
        <w:t xml:space="preserve"> </w:t>
      </w:r>
      <w:r>
        <w:t xml:space="preserve">J Minim Invasive Gynecol 2020;27(2):352-361. —</w:t>
      </w:r>
      <w:r>
        <w:t xml:space="preserve"> </w:t>
      </w:r>
      <w:hyperlink r:id="rId153">
        <w:r>
          <w:rPr>
            <w:rStyle w:val="Hyperlink"/>
          </w:rPr>
          <w:t xml:space="preserve">PMID 31546066</w:t>
        </w:r>
      </w:hyperlink>
    </w:p>
    <w:p>
      <w:pPr>
        <w:pStyle w:val="Compact"/>
        <w:numPr>
          <w:ilvl w:val="0"/>
          <w:numId w:val="1038"/>
        </w:numPr>
      </w:pPr>
      <w:r>
        <w:t xml:space="preserve">Zheng X, Wang Y, Li H, et al. </w:t>
      </w:r>
      <w:r>
        <w:rPr>
          <w:i/>
          <w:iCs/>
        </w:rPr>
        <w:t xml:space="preserve">Comparative Effectiveness of Non-Pharmacological Interventions for Pain and Quality of Life in Women with Endometriosis: A Systematic Review and Network Meta-Analysis.</w:t>
      </w:r>
      <w:r>
        <w:t xml:space="preserve"> </w:t>
      </w:r>
      <w:r>
        <w:t xml:space="preserve">J Pain Res 2026;19:577080. —</w:t>
      </w:r>
      <w:r>
        <w:t xml:space="preserve"> </w:t>
      </w:r>
      <w:hyperlink r:id="rId154">
        <w:r>
          <w:rPr>
            <w:rStyle w:val="Hyperlink"/>
          </w:rPr>
          <w:t xml:space="preserve">PMID 41743446</w:t>
        </w:r>
      </w:hyperlink>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0" Target="https://pubmed.ncbi.nlm.nih.gov/10431710/" TargetMode="External" /><Relationship Type="http://schemas.openxmlformats.org/officeDocument/2006/relationships/hyperlink" Id="rId87" Target="https://pubmed.ncbi.nlm.nih.gov/12048420/" TargetMode="External" /><Relationship Type="http://schemas.openxmlformats.org/officeDocument/2006/relationships/hyperlink" Id="rId124" Target="https://pubmed.ncbi.nlm.nih.gov/14711558/" TargetMode="External" /><Relationship Type="http://schemas.openxmlformats.org/officeDocument/2006/relationships/hyperlink" Id="rId82" Target="https://pubmed.ncbi.nlm.nih.gov/15482763/" TargetMode="External" /><Relationship Type="http://schemas.openxmlformats.org/officeDocument/2006/relationships/hyperlink" Id="rId123" Target="https://pubmed.ncbi.nlm.nih.gov/16133689/" TargetMode="External" /><Relationship Type="http://schemas.openxmlformats.org/officeDocument/2006/relationships/hyperlink" Id="rId144" Target="https://pubmed.ncbi.nlm.nih.gov/16387523/" TargetMode="External" /><Relationship Type="http://schemas.openxmlformats.org/officeDocument/2006/relationships/hyperlink" Id="rId137" Target="https://pubmed.ncbi.nlm.nih.gov/16855988/" TargetMode="External" /><Relationship Type="http://schemas.openxmlformats.org/officeDocument/2006/relationships/hyperlink" Id="rId89" Target="https://pubmed.ncbi.nlm.nih.gov/18651882/" TargetMode="External" /><Relationship Type="http://schemas.openxmlformats.org/officeDocument/2006/relationships/hyperlink" Id="rId122" Target="https://pubmed.ncbi.nlm.nih.gov/19363489/" TargetMode="External" /><Relationship Type="http://schemas.openxmlformats.org/officeDocument/2006/relationships/hyperlink" Id="rId113" Target="https://pubmed.ncbi.nlm.nih.gov/20576715/" TargetMode="External" /><Relationship Type="http://schemas.openxmlformats.org/officeDocument/2006/relationships/hyperlink" Id="rId107" Target="https://pubmed.ncbi.nlm.nih.gov/21184633/" TargetMode="External" /><Relationship Type="http://schemas.openxmlformats.org/officeDocument/2006/relationships/hyperlink" Id="rId132" Target="https://pubmed.ncbi.nlm.nih.gov/21718982/" TargetMode="External" /><Relationship Type="http://schemas.openxmlformats.org/officeDocument/2006/relationships/hyperlink" Id="rId121" Target="https://pubmed.ncbi.nlm.nih.gov/22027398/" TargetMode="External" /><Relationship Type="http://schemas.openxmlformats.org/officeDocument/2006/relationships/hyperlink" Id="rId96" Target="https://pubmed.ncbi.nlm.nih.gov/22296867/" TargetMode="External" /><Relationship Type="http://schemas.openxmlformats.org/officeDocument/2006/relationships/hyperlink" Id="rId135" Target="https://pubmed.ncbi.nlm.nih.gov/22361336/" TargetMode="External" /><Relationship Type="http://schemas.openxmlformats.org/officeDocument/2006/relationships/hyperlink" Id="rId85" Target="https://pubmed.ncbi.nlm.nih.gov/22387096/" TargetMode="External" /><Relationship Type="http://schemas.openxmlformats.org/officeDocument/2006/relationships/hyperlink" Id="rId106" Target="https://pubmed.ncbi.nlm.nih.gov/22503015/" TargetMode="External" /><Relationship Type="http://schemas.openxmlformats.org/officeDocument/2006/relationships/hyperlink" Id="rId115" Target="https://pubmed.ncbi.nlm.nih.gov/23727940/" TargetMode="External" /><Relationship Type="http://schemas.openxmlformats.org/officeDocument/2006/relationships/hyperlink" Id="rId146" Target="https://pubmed.ncbi.nlm.nih.gov/24777849/" TargetMode="External" /><Relationship Type="http://schemas.openxmlformats.org/officeDocument/2006/relationships/hyperlink" Id="rId129" Target="https://pubmed.ncbi.nlm.nih.gov/24859987/" TargetMode="External" /><Relationship Type="http://schemas.openxmlformats.org/officeDocument/2006/relationships/hyperlink" Id="rId100" Target="https://pubmed.ncbi.nlm.nih.gov/25796057/" TargetMode="External" /><Relationship Type="http://schemas.openxmlformats.org/officeDocument/2006/relationships/hyperlink" Id="rId127" Target="https://pubmed.ncbi.nlm.nih.gov/26319650/" TargetMode="External" /><Relationship Type="http://schemas.openxmlformats.org/officeDocument/2006/relationships/hyperlink" Id="rId128" Target="https://pubmed.ncbi.nlm.nih.gov/26628263/" TargetMode="External" /><Relationship Type="http://schemas.openxmlformats.org/officeDocument/2006/relationships/hyperlink" Id="rId131" Target="https://pubmed.ncbi.nlm.nih.gov/26853481/" TargetMode="External" /><Relationship Type="http://schemas.openxmlformats.org/officeDocument/2006/relationships/hyperlink" Id="rId130" Target="https://pubmed.ncbi.nlm.nih.gov/27032740/" TargetMode="External" /><Relationship Type="http://schemas.openxmlformats.org/officeDocument/2006/relationships/hyperlink" Id="rId84" Target="https://pubmed.ncbi.nlm.nih.gov/27105020/" TargetMode="External" /><Relationship Type="http://schemas.openxmlformats.org/officeDocument/2006/relationships/hyperlink" Id="rId83" Target="https://pubmed.ncbi.nlm.nih.gov/29262069/" TargetMode="External" /><Relationship Type="http://schemas.openxmlformats.org/officeDocument/2006/relationships/hyperlink" Id="rId142" Target="https://pubmed.ncbi.nlm.nih.gov/29270882/" TargetMode="External" /><Relationship Type="http://schemas.openxmlformats.org/officeDocument/2006/relationships/hyperlink" Id="rId139" Target="https://pubmed.ncbi.nlm.nih.gov/29947766/" TargetMode="External" /><Relationship Type="http://schemas.openxmlformats.org/officeDocument/2006/relationships/hyperlink" Id="rId134" Target="https://pubmed.ncbi.nlm.nih.gov/30078464/" TargetMode="External" /><Relationship Type="http://schemas.openxmlformats.org/officeDocument/2006/relationships/hyperlink" Id="rId111" Target="https://pubmed.ncbi.nlm.nih.gov/30472739/" TargetMode="External" /><Relationship Type="http://schemas.openxmlformats.org/officeDocument/2006/relationships/hyperlink" Id="rId86" Target="https://pubmed.ncbi.nlm.nih.gov/30719281/" TargetMode="External" /><Relationship Type="http://schemas.openxmlformats.org/officeDocument/2006/relationships/hyperlink" Id="rId153" Target="https://pubmed.ncbi.nlm.nih.gov/31546066/" TargetMode="External" /><Relationship Type="http://schemas.openxmlformats.org/officeDocument/2006/relationships/hyperlink" Id="rId91" Target="https://pubmed.ncbi.nlm.nih.gov/31755674/" TargetMode="External" /><Relationship Type="http://schemas.openxmlformats.org/officeDocument/2006/relationships/hyperlink" Id="rId98" Target="https://pubmed.ncbi.nlm.nih.gov/32034979/" TargetMode="External" /><Relationship Type="http://schemas.openxmlformats.org/officeDocument/2006/relationships/hyperlink" Id="rId152" Target="https://pubmed.ncbi.nlm.nih.gov/32128454/" TargetMode="External" /><Relationship Type="http://schemas.openxmlformats.org/officeDocument/2006/relationships/hyperlink" Id="rId126" Target="https://pubmed.ncbi.nlm.nih.gov/33129015/" TargetMode="External" /><Relationship Type="http://schemas.openxmlformats.org/officeDocument/2006/relationships/hyperlink" Id="rId99" Target="https://pubmed.ncbi.nlm.nih.gov/33253957/" TargetMode="External" /><Relationship Type="http://schemas.openxmlformats.org/officeDocument/2006/relationships/hyperlink" Id="rId136" Target="https://pubmed.ncbi.nlm.nih.gov/33326662/" TargetMode="External" /><Relationship Type="http://schemas.openxmlformats.org/officeDocument/2006/relationships/hyperlink" Id="rId101" Target="https://pubmed.ncbi.nlm.nih.gov/33428320/" TargetMode="External" /><Relationship Type="http://schemas.openxmlformats.org/officeDocument/2006/relationships/hyperlink" Id="rId114" Target="https://pubmed.ncbi.nlm.nih.gov/33446725/" TargetMode="External" /><Relationship Type="http://schemas.openxmlformats.org/officeDocument/2006/relationships/hyperlink" Id="rId118" Target="https://pubmed.ncbi.nlm.nih.gov/33449347/" TargetMode="External" /><Relationship Type="http://schemas.openxmlformats.org/officeDocument/2006/relationships/hyperlink" Id="rId133" Target="https://pubmed.ncbi.nlm.nih.gov/34030173/" TargetMode="External" /><Relationship Type="http://schemas.openxmlformats.org/officeDocument/2006/relationships/hyperlink" Id="rId148" Target="https://pubmed.ncbi.nlm.nih.gov/34627209/" TargetMode="External" /><Relationship Type="http://schemas.openxmlformats.org/officeDocument/2006/relationships/hyperlink" Id="rId108" Target="https://pubmed.ncbi.nlm.nih.gov/34719338/" TargetMode="External" /><Relationship Type="http://schemas.openxmlformats.org/officeDocument/2006/relationships/hyperlink" Id="rId138" Target="https://pubmed.ncbi.nlm.nih.gov/34995357/" TargetMode="External" /><Relationship Type="http://schemas.openxmlformats.org/officeDocument/2006/relationships/hyperlink" Id="rId143" Target="https://pubmed.ncbi.nlm.nih.gov/35167847/" TargetMode="External" /><Relationship Type="http://schemas.openxmlformats.org/officeDocument/2006/relationships/hyperlink" Id="rId90" Target="https://pubmed.ncbi.nlm.nih.gov/35350465/" TargetMode="External" /><Relationship Type="http://schemas.openxmlformats.org/officeDocument/2006/relationships/hyperlink" Id="rId94" Target="https://pubmed.ncbi.nlm.nih.gov/36690712/" TargetMode="External" /><Relationship Type="http://schemas.openxmlformats.org/officeDocument/2006/relationships/hyperlink" Id="rId149" Target="https://pubmed.ncbi.nlm.nih.gov/36948440/" TargetMode="External" /><Relationship Type="http://schemas.openxmlformats.org/officeDocument/2006/relationships/hyperlink" Id="rId116" Target="https://pubmed.ncbi.nlm.nih.gov/37172128/" TargetMode="External" /><Relationship Type="http://schemas.openxmlformats.org/officeDocument/2006/relationships/hyperlink" Id="rId112" Target="https://pubmed.ncbi.nlm.nih.gov/37877417/" TargetMode="External" /><Relationship Type="http://schemas.openxmlformats.org/officeDocument/2006/relationships/hyperlink" Id="rId102" Target="https://pubmed.ncbi.nlm.nih.gov/38256327/" TargetMode="External" /><Relationship Type="http://schemas.openxmlformats.org/officeDocument/2006/relationships/hyperlink" Id="rId120" Target="https://pubmed.ncbi.nlm.nih.gov/38736680/" TargetMode="External" /><Relationship Type="http://schemas.openxmlformats.org/officeDocument/2006/relationships/hyperlink" Id="rId88" Target="https://pubmed.ncbi.nlm.nih.gov/38867640/" TargetMode="External" /><Relationship Type="http://schemas.openxmlformats.org/officeDocument/2006/relationships/hyperlink" Id="rId147" Target="https://pubmed.ncbi.nlm.nih.gov/39261815/" TargetMode="External" /><Relationship Type="http://schemas.openxmlformats.org/officeDocument/2006/relationships/hyperlink" Id="rId97" Target="https://pubmed.ncbi.nlm.nih.gov/39373298/" TargetMode="External" /><Relationship Type="http://schemas.openxmlformats.org/officeDocument/2006/relationships/hyperlink" Id="rId110" Target="https://pubmed.ncbi.nlm.nih.gov/39768444/" TargetMode="External" /><Relationship Type="http://schemas.openxmlformats.org/officeDocument/2006/relationships/hyperlink" Id="rId150" Target="https://pubmed.ncbi.nlm.nih.gov/39941438/" TargetMode="External" /><Relationship Type="http://schemas.openxmlformats.org/officeDocument/2006/relationships/hyperlink" Id="rId151" Target="https://pubmed.ncbi.nlm.nih.gov/39946383/" TargetMode="External" /><Relationship Type="http://schemas.openxmlformats.org/officeDocument/2006/relationships/hyperlink" Id="rId119" Target="https://pubmed.ncbi.nlm.nih.gov/40128971/" TargetMode="External" /><Relationship Type="http://schemas.openxmlformats.org/officeDocument/2006/relationships/hyperlink" Id="rId93" Target="https://pubmed.ncbi.nlm.nih.gov/40323957/" TargetMode="External" /><Relationship Type="http://schemas.openxmlformats.org/officeDocument/2006/relationships/hyperlink" Id="rId95" Target="https://pubmed.ncbi.nlm.nih.gov/40338925/" TargetMode="External" /><Relationship Type="http://schemas.openxmlformats.org/officeDocument/2006/relationships/hyperlink" Id="rId92" Target="https://pubmed.ncbi.nlm.nih.gov/40705433/" TargetMode="External" /><Relationship Type="http://schemas.openxmlformats.org/officeDocument/2006/relationships/hyperlink" Id="rId109" Target="https://pubmed.ncbi.nlm.nih.gov/41006088/" TargetMode="External" /><Relationship Type="http://schemas.openxmlformats.org/officeDocument/2006/relationships/hyperlink" Id="rId141" Target="https://pubmed.ncbi.nlm.nih.gov/41375589/" TargetMode="External" /><Relationship Type="http://schemas.openxmlformats.org/officeDocument/2006/relationships/hyperlink" Id="rId104" Target="https://pubmed.ncbi.nlm.nih.gov/41717450/" TargetMode="External" /><Relationship Type="http://schemas.openxmlformats.org/officeDocument/2006/relationships/hyperlink" Id="rId154" Target="https://pubmed.ncbi.nlm.nih.gov/41743446/" TargetMode="External" /><Relationship Type="http://schemas.openxmlformats.org/officeDocument/2006/relationships/hyperlink" Id="rId103" Target="https://pubmed.ncbi.nlm.nih.gov/41855532/" TargetMode="External" /><Relationship Type="http://schemas.openxmlformats.org/officeDocument/2006/relationships/hyperlink" Id="rId125" Target="https://pubmed.ncbi.nlm.nih.gov/42308873/" TargetMode="External" /><Relationship Type="http://schemas.openxmlformats.org/officeDocument/2006/relationships/hyperlink" Id="rId105" Target="https://pubmed.ncbi.nlm.nih.gov/42375549/" TargetMode="External" /><Relationship Type="http://schemas.openxmlformats.org/officeDocument/2006/relationships/hyperlink" Id="rId117" Target="https://pubmed.ncbi.nlm.nih.gov/42537749/" TargetMode="External" /><Relationship Type="http://schemas.openxmlformats.org/officeDocument/2006/relationships/hyperlink" Id="rId145" Target="https://pubmed.ncbi.nlm.nih.gov/7926075/" TargetMode="External" /></Relationships>
</file>

<file path=word/_rels/footnotes.xml.rels><?xml version="1.0" encoding="UTF-8"?><Relationships xmlns="http://schemas.openxmlformats.org/package/2006/relationships"><Relationship Type="http://schemas.openxmlformats.org/officeDocument/2006/relationships/hyperlink" Id="rId140" Target="https://pubmed.ncbi.nlm.nih.gov/10431710/" TargetMode="External" /><Relationship Type="http://schemas.openxmlformats.org/officeDocument/2006/relationships/hyperlink" Id="rId87" Target="https://pubmed.ncbi.nlm.nih.gov/12048420/" TargetMode="External" /><Relationship Type="http://schemas.openxmlformats.org/officeDocument/2006/relationships/hyperlink" Id="rId124" Target="https://pubmed.ncbi.nlm.nih.gov/14711558/" TargetMode="External" /><Relationship Type="http://schemas.openxmlformats.org/officeDocument/2006/relationships/hyperlink" Id="rId82" Target="https://pubmed.ncbi.nlm.nih.gov/15482763/" TargetMode="External" /><Relationship Type="http://schemas.openxmlformats.org/officeDocument/2006/relationships/hyperlink" Id="rId123" Target="https://pubmed.ncbi.nlm.nih.gov/16133689/" TargetMode="External" /><Relationship Type="http://schemas.openxmlformats.org/officeDocument/2006/relationships/hyperlink" Id="rId144" Target="https://pubmed.ncbi.nlm.nih.gov/16387523/" TargetMode="External" /><Relationship Type="http://schemas.openxmlformats.org/officeDocument/2006/relationships/hyperlink" Id="rId137" Target="https://pubmed.ncbi.nlm.nih.gov/16855988/" TargetMode="External" /><Relationship Type="http://schemas.openxmlformats.org/officeDocument/2006/relationships/hyperlink" Id="rId89" Target="https://pubmed.ncbi.nlm.nih.gov/18651882/" TargetMode="External" /><Relationship Type="http://schemas.openxmlformats.org/officeDocument/2006/relationships/hyperlink" Id="rId122" Target="https://pubmed.ncbi.nlm.nih.gov/19363489/" TargetMode="External" /><Relationship Type="http://schemas.openxmlformats.org/officeDocument/2006/relationships/hyperlink" Id="rId113" Target="https://pubmed.ncbi.nlm.nih.gov/20576715/" TargetMode="External" /><Relationship Type="http://schemas.openxmlformats.org/officeDocument/2006/relationships/hyperlink" Id="rId107" Target="https://pubmed.ncbi.nlm.nih.gov/21184633/" TargetMode="External" /><Relationship Type="http://schemas.openxmlformats.org/officeDocument/2006/relationships/hyperlink" Id="rId132" Target="https://pubmed.ncbi.nlm.nih.gov/21718982/" TargetMode="External" /><Relationship Type="http://schemas.openxmlformats.org/officeDocument/2006/relationships/hyperlink" Id="rId121" Target="https://pubmed.ncbi.nlm.nih.gov/22027398/" TargetMode="External" /><Relationship Type="http://schemas.openxmlformats.org/officeDocument/2006/relationships/hyperlink" Id="rId96" Target="https://pubmed.ncbi.nlm.nih.gov/22296867/" TargetMode="External" /><Relationship Type="http://schemas.openxmlformats.org/officeDocument/2006/relationships/hyperlink" Id="rId135" Target="https://pubmed.ncbi.nlm.nih.gov/22361336/" TargetMode="External" /><Relationship Type="http://schemas.openxmlformats.org/officeDocument/2006/relationships/hyperlink" Id="rId85" Target="https://pubmed.ncbi.nlm.nih.gov/22387096/" TargetMode="External" /><Relationship Type="http://schemas.openxmlformats.org/officeDocument/2006/relationships/hyperlink" Id="rId106" Target="https://pubmed.ncbi.nlm.nih.gov/22503015/" TargetMode="External" /><Relationship Type="http://schemas.openxmlformats.org/officeDocument/2006/relationships/hyperlink" Id="rId115" Target="https://pubmed.ncbi.nlm.nih.gov/23727940/" TargetMode="External" /><Relationship Type="http://schemas.openxmlformats.org/officeDocument/2006/relationships/hyperlink" Id="rId146" Target="https://pubmed.ncbi.nlm.nih.gov/24777849/" TargetMode="External" /><Relationship Type="http://schemas.openxmlformats.org/officeDocument/2006/relationships/hyperlink" Id="rId129" Target="https://pubmed.ncbi.nlm.nih.gov/24859987/" TargetMode="External" /><Relationship Type="http://schemas.openxmlformats.org/officeDocument/2006/relationships/hyperlink" Id="rId100" Target="https://pubmed.ncbi.nlm.nih.gov/25796057/" TargetMode="External" /><Relationship Type="http://schemas.openxmlformats.org/officeDocument/2006/relationships/hyperlink" Id="rId127" Target="https://pubmed.ncbi.nlm.nih.gov/26319650/" TargetMode="External" /><Relationship Type="http://schemas.openxmlformats.org/officeDocument/2006/relationships/hyperlink" Id="rId128" Target="https://pubmed.ncbi.nlm.nih.gov/26628263/" TargetMode="External" /><Relationship Type="http://schemas.openxmlformats.org/officeDocument/2006/relationships/hyperlink" Id="rId131" Target="https://pubmed.ncbi.nlm.nih.gov/26853481/" TargetMode="External" /><Relationship Type="http://schemas.openxmlformats.org/officeDocument/2006/relationships/hyperlink" Id="rId130" Target="https://pubmed.ncbi.nlm.nih.gov/27032740/" TargetMode="External" /><Relationship Type="http://schemas.openxmlformats.org/officeDocument/2006/relationships/hyperlink" Id="rId84" Target="https://pubmed.ncbi.nlm.nih.gov/27105020/" TargetMode="External" /><Relationship Type="http://schemas.openxmlformats.org/officeDocument/2006/relationships/hyperlink" Id="rId83" Target="https://pubmed.ncbi.nlm.nih.gov/29262069/" TargetMode="External" /><Relationship Type="http://schemas.openxmlformats.org/officeDocument/2006/relationships/hyperlink" Id="rId142" Target="https://pubmed.ncbi.nlm.nih.gov/29270882/" TargetMode="External" /><Relationship Type="http://schemas.openxmlformats.org/officeDocument/2006/relationships/hyperlink" Id="rId139" Target="https://pubmed.ncbi.nlm.nih.gov/29947766/" TargetMode="External" /><Relationship Type="http://schemas.openxmlformats.org/officeDocument/2006/relationships/hyperlink" Id="rId134" Target="https://pubmed.ncbi.nlm.nih.gov/30078464/" TargetMode="External" /><Relationship Type="http://schemas.openxmlformats.org/officeDocument/2006/relationships/hyperlink" Id="rId111" Target="https://pubmed.ncbi.nlm.nih.gov/30472739/" TargetMode="External" /><Relationship Type="http://schemas.openxmlformats.org/officeDocument/2006/relationships/hyperlink" Id="rId86" Target="https://pubmed.ncbi.nlm.nih.gov/30719281/" TargetMode="External" /><Relationship Type="http://schemas.openxmlformats.org/officeDocument/2006/relationships/hyperlink" Id="rId153" Target="https://pubmed.ncbi.nlm.nih.gov/31546066/" TargetMode="External" /><Relationship Type="http://schemas.openxmlformats.org/officeDocument/2006/relationships/hyperlink" Id="rId91" Target="https://pubmed.ncbi.nlm.nih.gov/31755674/" TargetMode="External" /><Relationship Type="http://schemas.openxmlformats.org/officeDocument/2006/relationships/hyperlink" Id="rId98" Target="https://pubmed.ncbi.nlm.nih.gov/32034979/" TargetMode="External" /><Relationship Type="http://schemas.openxmlformats.org/officeDocument/2006/relationships/hyperlink" Id="rId152" Target="https://pubmed.ncbi.nlm.nih.gov/32128454/" TargetMode="External" /><Relationship Type="http://schemas.openxmlformats.org/officeDocument/2006/relationships/hyperlink" Id="rId126" Target="https://pubmed.ncbi.nlm.nih.gov/33129015/" TargetMode="External" /><Relationship Type="http://schemas.openxmlformats.org/officeDocument/2006/relationships/hyperlink" Id="rId99" Target="https://pubmed.ncbi.nlm.nih.gov/33253957/" TargetMode="External" /><Relationship Type="http://schemas.openxmlformats.org/officeDocument/2006/relationships/hyperlink" Id="rId136" Target="https://pubmed.ncbi.nlm.nih.gov/33326662/" TargetMode="External" /><Relationship Type="http://schemas.openxmlformats.org/officeDocument/2006/relationships/hyperlink" Id="rId101" Target="https://pubmed.ncbi.nlm.nih.gov/33428320/" TargetMode="External" /><Relationship Type="http://schemas.openxmlformats.org/officeDocument/2006/relationships/hyperlink" Id="rId114" Target="https://pubmed.ncbi.nlm.nih.gov/33446725/" TargetMode="External" /><Relationship Type="http://schemas.openxmlformats.org/officeDocument/2006/relationships/hyperlink" Id="rId118" Target="https://pubmed.ncbi.nlm.nih.gov/33449347/" TargetMode="External" /><Relationship Type="http://schemas.openxmlformats.org/officeDocument/2006/relationships/hyperlink" Id="rId133" Target="https://pubmed.ncbi.nlm.nih.gov/34030173/" TargetMode="External" /><Relationship Type="http://schemas.openxmlformats.org/officeDocument/2006/relationships/hyperlink" Id="rId148" Target="https://pubmed.ncbi.nlm.nih.gov/34627209/" TargetMode="External" /><Relationship Type="http://schemas.openxmlformats.org/officeDocument/2006/relationships/hyperlink" Id="rId108" Target="https://pubmed.ncbi.nlm.nih.gov/34719338/" TargetMode="External" /><Relationship Type="http://schemas.openxmlformats.org/officeDocument/2006/relationships/hyperlink" Id="rId138" Target="https://pubmed.ncbi.nlm.nih.gov/34995357/" TargetMode="External" /><Relationship Type="http://schemas.openxmlformats.org/officeDocument/2006/relationships/hyperlink" Id="rId143" Target="https://pubmed.ncbi.nlm.nih.gov/35167847/" TargetMode="External" /><Relationship Type="http://schemas.openxmlformats.org/officeDocument/2006/relationships/hyperlink" Id="rId90" Target="https://pubmed.ncbi.nlm.nih.gov/35350465/" TargetMode="External" /><Relationship Type="http://schemas.openxmlformats.org/officeDocument/2006/relationships/hyperlink" Id="rId94" Target="https://pubmed.ncbi.nlm.nih.gov/36690712/" TargetMode="External" /><Relationship Type="http://schemas.openxmlformats.org/officeDocument/2006/relationships/hyperlink" Id="rId149" Target="https://pubmed.ncbi.nlm.nih.gov/36948440/" TargetMode="External" /><Relationship Type="http://schemas.openxmlformats.org/officeDocument/2006/relationships/hyperlink" Id="rId116" Target="https://pubmed.ncbi.nlm.nih.gov/37172128/" TargetMode="External" /><Relationship Type="http://schemas.openxmlformats.org/officeDocument/2006/relationships/hyperlink" Id="rId112" Target="https://pubmed.ncbi.nlm.nih.gov/37877417/" TargetMode="External" /><Relationship Type="http://schemas.openxmlformats.org/officeDocument/2006/relationships/hyperlink" Id="rId102" Target="https://pubmed.ncbi.nlm.nih.gov/38256327/" TargetMode="External" /><Relationship Type="http://schemas.openxmlformats.org/officeDocument/2006/relationships/hyperlink" Id="rId120" Target="https://pubmed.ncbi.nlm.nih.gov/38736680/" TargetMode="External" /><Relationship Type="http://schemas.openxmlformats.org/officeDocument/2006/relationships/hyperlink" Id="rId88" Target="https://pubmed.ncbi.nlm.nih.gov/38867640/" TargetMode="External" /><Relationship Type="http://schemas.openxmlformats.org/officeDocument/2006/relationships/hyperlink" Id="rId147" Target="https://pubmed.ncbi.nlm.nih.gov/39261815/" TargetMode="External" /><Relationship Type="http://schemas.openxmlformats.org/officeDocument/2006/relationships/hyperlink" Id="rId97" Target="https://pubmed.ncbi.nlm.nih.gov/39373298/" TargetMode="External" /><Relationship Type="http://schemas.openxmlformats.org/officeDocument/2006/relationships/hyperlink" Id="rId110" Target="https://pubmed.ncbi.nlm.nih.gov/39768444/" TargetMode="External" /><Relationship Type="http://schemas.openxmlformats.org/officeDocument/2006/relationships/hyperlink" Id="rId150" Target="https://pubmed.ncbi.nlm.nih.gov/39941438/" TargetMode="External" /><Relationship Type="http://schemas.openxmlformats.org/officeDocument/2006/relationships/hyperlink" Id="rId151" Target="https://pubmed.ncbi.nlm.nih.gov/39946383/" TargetMode="External" /><Relationship Type="http://schemas.openxmlformats.org/officeDocument/2006/relationships/hyperlink" Id="rId119" Target="https://pubmed.ncbi.nlm.nih.gov/40128971/" TargetMode="External" /><Relationship Type="http://schemas.openxmlformats.org/officeDocument/2006/relationships/hyperlink" Id="rId93" Target="https://pubmed.ncbi.nlm.nih.gov/40323957/" TargetMode="External" /><Relationship Type="http://schemas.openxmlformats.org/officeDocument/2006/relationships/hyperlink" Id="rId95" Target="https://pubmed.ncbi.nlm.nih.gov/40338925/" TargetMode="External" /><Relationship Type="http://schemas.openxmlformats.org/officeDocument/2006/relationships/hyperlink" Id="rId92" Target="https://pubmed.ncbi.nlm.nih.gov/40705433/" TargetMode="External" /><Relationship Type="http://schemas.openxmlformats.org/officeDocument/2006/relationships/hyperlink" Id="rId109" Target="https://pubmed.ncbi.nlm.nih.gov/41006088/" TargetMode="External" /><Relationship Type="http://schemas.openxmlformats.org/officeDocument/2006/relationships/hyperlink" Id="rId141" Target="https://pubmed.ncbi.nlm.nih.gov/41375589/" TargetMode="External" /><Relationship Type="http://schemas.openxmlformats.org/officeDocument/2006/relationships/hyperlink" Id="rId104" Target="https://pubmed.ncbi.nlm.nih.gov/41717450/" TargetMode="External" /><Relationship Type="http://schemas.openxmlformats.org/officeDocument/2006/relationships/hyperlink" Id="rId154" Target="https://pubmed.ncbi.nlm.nih.gov/41743446/" TargetMode="External" /><Relationship Type="http://schemas.openxmlformats.org/officeDocument/2006/relationships/hyperlink" Id="rId103" Target="https://pubmed.ncbi.nlm.nih.gov/41855532/" TargetMode="External" /><Relationship Type="http://schemas.openxmlformats.org/officeDocument/2006/relationships/hyperlink" Id="rId125" Target="https://pubmed.ncbi.nlm.nih.gov/42308873/" TargetMode="External" /><Relationship Type="http://schemas.openxmlformats.org/officeDocument/2006/relationships/hyperlink" Id="rId105" Target="https://pubmed.ncbi.nlm.nih.gov/42375549/" TargetMode="External" /><Relationship Type="http://schemas.openxmlformats.org/officeDocument/2006/relationships/hyperlink" Id="rId117" Target="https://pubmed.ncbi.nlm.nih.gov/42537749/" TargetMode="External" /><Relationship Type="http://schemas.openxmlformats.org/officeDocument/2006/relationships/hyperlink" Id="rId145" Target="https://pubmed.ncbi.nlm.nih.gov/79260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Endometriosi (supporto sintomatico)</dc:title>
  <dc:creator>Mobilitas — Direzione Osteopatica</dc:creator>
  <dc:language>it-IT</dc:language>
  <cp:keywords/>
  <dcterms:created xsi:type="dcterms:W3CDTF">2026-08-29T18:52:44Z</dcterms:created>
  <dcterms:modified xsi:type="dcterms:W3CDTF">2026-08-29T18:52:44Z</dcterms:modified>
</cp:coreProperties>
</file>

<file path=docProps/custom.xml><?xml version="1.0" encoding="utf-8"?>
<Properties xmlns="http://schemas.openxmlformats.org/officeDocument/2006/custom-properties" xmlns:vt="http://schemas.openxmlformats.org/officeDocument/2006/docPropsVTypes"/>
</file>