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uthor"/>
      </w:pPr>
      <w:r>
        <w:t xml:space="preserve">Mobilitas — Direzione Osteopatica</w:t>
      </w:r>
    </w:p>
    <w:bookmarkStart w:id="17" w:name="Xdcc95d56ff168b922c0833d5101fa46e4e80b8a"/>
    <w:p>
      <w:pPr>
        <w:pStyle w:val="Heading1"/>
      </w:pPr>
      <w:r>
        <w:t xml:space="preserve">Endometriosi (supporto sintomatico) — Mappa concettuale</w:t>
      </w:r>
    </w:p>
    <w:p>
      <w:pPr>
        <w:pStyle w:val="FirstParagraph"/>
      </w:pPr>
      <w:r>
        <w:rPr>
          <w:b/>
          <w:bCs/>
        </w:rPr>
        <w:t xml:space="preserve">Condizione:</w:t>
      </w:r>
      <w:r>
        <w:t xml:space="preserve"> </w:t>
      </w:r>
      <w:r>
        <w:t xml:space="preserve">endometriosi, supporto sintomatico ·</w:t>
      </w:r>
      <w:r>
        <w:t xml:space="preserve"> </w:t>
      </w:r>
      <w:r>
        <w:rPr>
          <w:b/>
          <w:bCs/>
        </w:rPr>
        <w:t xml:space="preserve">Ancora clinica:</w:t>
      </w:r>
      <w:r>
        <w:t xml:space="preserve"> </w:t>
      </w:r>
      <w:r>
        <w:t xml:space="preserve">Simona Del Forno / gruppo Seracchioli, Policlinico Sant’Orsola, Bologna ·</w:t>
      </w:r>
      <w:r>
        <w:t xml:space="preserve"> </w:t>
      </w:r>
      <w:r>
        <w:rPr>
          <w:b/>
          <w:bCs/>
        </w:rPr>
        <w:t xml:space="preserve">Ancora fisiologica:</w:t>
      </w:r>
      <w:r>
        <w:t xml:space="preserve"> </w:t>
      </w:r>
      <w:r>
        <w:t xml:space="preserve">Paul J. Yong, BC Women’s Centre for Pelvic Pain and Endometriosis, UBC ·</w:t>
      </w:r>
      <w:r>
        <w:t xml:space="preserve"> </w:t>
      </w:r>
      <w:r>
        <w:rPr>
          <w:b/>
          <w:bCs/>
        </w:rPr>
        <w:t xml:space="preserve">Versione:</w:t>
      </w:r>
      <w:r>
        <w:t xml:space="preserve"> </w:t>
      </w:r>
      <w:r>
        <w:t xml:space="preserve">v7 (finale — dopo il 6º livello: lingua) ·</w:t>
      </w:r>
      <w:r>
        <w:t xml:space="preserve"> </w:t>
      </w:r>
      <w:r>
        <w:rPr>
          <w:b/>
          <w:bCs/>
        </w:rPr>
        <w:t xml:space="preserve">Data:</w:t>
      </w:r>
      <w:r>
        <w:t xml:space="preserve"> </w:t>
      </w:r>
      <w:r>
        <w:t xml:space="preserve">29 agosto 2026</w:t>
      </w:r>
    </w:p>
    <w:p>
      <w:r>
        <w:pict>
          <v:rect style="width:0;height:1.5pt" o:hralign="center" o:hrstd="t" o:hr="t"/>
        </w:pict>
      </w:r>
    </w:p>
    <w:bookmarkStart w:id="9" w:name="la-condizione-in-tre-righe"/>
    <w:p>
      <w:pPr>
        <w:pStyle w:val="Heading2"/>
      </w:pPr>
      <w:r>
        <w:t xml:space="preserve">1 — La condizione in tre righe</w:t>
      </w:r>
    </w:p>
    <w:p>
      <w:pPr>
        <w:pStyle w:val="FirstParagraph"/>
      </w:pPr>
      <w:r>
        <w:t xml:space="preserve">Tessuto simile all’endometrio fuori dall’utero, con infiammazione cronica attorno: fino al 6-10% delle donne in età riproduttiva.</w:t>
      </w:r>
      <w:r>
        <w:t xml:space="preserve"> </w:t>
      </w:r>
      <w:r>
        <w:t xml:space="preserve">È una malattia cronica e recidivante, e la cura il medico. Il dolore fluttua da solo — una donna su tre migliora anche con un intervento finto e in cieco — e non segue la quantità di malattia.</w:t>
      </w:r>
      <w:r>
        <w:t xml:space="preserve"> </w:t>
      </w:r>
      <w:r>
        <w:t xml:space="preserve">Noi non trattiamo la malattia: trattiamo la componente muscolo-scheletrica e miofasciale del dolore, che nessun altro ha in carico.</w:t>
      </w:r>
      <w:r>
        <w:t xml:space="preserve"> </w:t>
      </w:r>
      <w:r>
        <w:rPr>
          <w:b/>
          <w:bCs/>
        </w:rPr>
        <w:t xml:space="preserve">Solo dall’esterno: nessuna manovra interna, mai.</w:t>
      </w:r>
    </w:p>
    <w:p>
      <w:r>
        <w:pict>
          <v:rect style="width:0;height:1.5pt" o:hralign="center" o:hrstd="t" o:hr="t"/>
        </w:pict>
      </w:r>
    </w:p>
    <w:bookmarkEnd w:id="9"/>
    <w:bookmarkStart w:id="10" w:name="la-catena-causale"/>
    <w:p>
      <w:pPr>
        <w:pStyle w:val="Heading2"/>
      </w:pPr>
      <w:r>
        <w:t xml:space="preserve">2 — La catena causale</w:t>
      </w:r>
    </w:p>
    <w:p>
      <w:pPr>
        <w:pStyle w:val="FirstParagraph"/>
      </w:pPr>
      <w:r>
        <w:rPr>
          <w:rStyle w:val="VerbatimChar"/>
        </w:rPr>
        <w:t xml:space="preserve">dolore pelvico ripetuto per anni → difesa segmentale del pavimento pelvico (S2-S4) e abbassamento della soglia del neurone convergente su T10-L1 → la parete addominale diventa sorgente propria e rialimenta il neurone → soglie basse anche lontano dal bacino → allarme ed evitamento che si stringono → dolore che continua con la terapia al massimo</w:t>
      </w:r>
    </w:p>
    <w:p>
      <w:r>
        <w:pict>
          <v:rect style="width:0;height:1.5pt" o:hralign="center" o:hrstd="t" o:hr="t"/>
        </w:pict>
      </w:r>
    </w:p>
    <w:bookmarkEnd w:id="10"/>
    <w:bookmarkStart w:id="11" w:name="i-meccanismi-e-quanto-sono-solidi"/>
    <w:p>
      <w:pPr>
        <w:pStyle w:val="Heading2"/>
      </w:pPr>
      <w:r>
        <w:t xml:space="preserve">3 — I meccanismi e quanto sono solidi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Meccanismo</w:t>
            </w:r>
          </w:p>
        </w:tc>
        <w:tc>
          <w:tcPr/>
          <w:p>
            <w:pPr>
              <w:pStyle w:val="Compact"/>
            </w:pPr>
            <w:r>
              <w:t xml:space="preserve">Come lo riconosci</w:t>
            </w:r>
          </w:p>
        </w:tc>
        <w:tc>
          <w:tcPr/>
          <w:p>
            <w:pPr>
              <w:pStyle w:val="Compact"/>
            </w:pPr>
            <w:r>
              <w:t xml:space="preserve">Quanto è solido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Pavimento pelvico che non molla</w:t>
            </w:r>
          </w:p>
        </w:tc>
        <w:tc>
          <w:tcPr/>
          <w:p>
            <w:pPr>
              <w:pStyle w:val="Compact"/>
            </w:pPr>
            <w:r>
              <w:t xml:space="preserve">Dispareunia d’ingresso, dischezia</w:t>
            </w:r>
          </w:p>
        </w:tc>
        <w:tc>
          <w:tcPr/>
          <w:p>
            <w:pPr>
              <w:pStyle w:val="Compact"/>
            </w:pPr>
            <w:r>
              <w:t xml:space="preserve">DIMOSTRATO (esiste) / PROBABILE (modificabile, ma non da te) / IPOTESI (leva nostra)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Parete addominale sede del dolore</w:t>
            </w:r>
          </w:p>
        </w:tc>
        <w:tc>
          <w:tcPr/>
          <w:p>
            <w:pPr>
              <w:pStyle w:val="Compact"/>
            </w:pPr>
            <w:r>
              <w:t xml:space="preserve">Carnett positivo, riproduce il sintomo</w:t>
            </w:r>
          </w:p>
        </w:tc>
        <w:tc>
          <w:tcPr/>
          <w:p>
            <w:pPr>
              <w:pStyle w:val="Compact"/>
            </w:pPr>
            <w:r>
              <w:t xml:space="preserve">DIMOSTRATO (esiste) / IPOTESI (leva nostra, con prove contrarie)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Soglia abbassata — nociplastico</w:t>
            </w:r>
          </w:p>
        </w:tc>
        <w:tc>
          <w:tcPr/>
          <w:p>
            <w:pPr>
              <w:pStyle w:val="Compact"/>
            </w:pPr>
            <w:r>
              <w:t xml:space="preserve">Dolore lontano dal bacino, tono vagale ridotto</w:t>
            </w:r>
          </w:p>
        </w:tc>
        <w:tc>
          <w:tcPr/>
          <w:p>
            <w:pPr>
              <w:pStyle w:val="Compact"/>
            </w:pPr>
            <w:r>
              <w:t xml:space="preserve">DIMOSTRATO (fenomeno) / IPOTESI (leva nostra)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Lesione che si fabbrica i nervi</w:t>
            </w:r>
          </w:p>
        </w:tc>
        <w:tc>
          <w:tcPr/>
          <w:p>
            <w:pPr>
              <w:pStyle w:val="Compact"/>
            </w:pPr>
            <w:r>
              <w:t xml:space="preserve">Non si vede: spiega il resto</w:t>
            </w:r>
          </w:p>
        </w:tc>
        <w:tc>
          <w:tcPr/>
          <w:p>
            <w:pPr>
              <w:pStyle w:val="Compact"/>
            </w:pPr>
            <w:r>
              <w:t xml:space="preserve">DIMOSTRATO (istologia) / IPOTESI (dolore)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Bacino che ha perso scorrimento</w:t>
            </w:r>
          </w:p>
        </w:tc>
        <w:tc>
          <w:tcPr/>
          <w:p>
            <w:pPr>
              <w:pStyle w:val="Compact"/>
            </w:pPr>
            <w:r>
              <w:t xml:space="preserve">Dolore legato a posizione e carico</w:t>
            </w:r>
          </w:p>
        </w:tc>
        <w:tc>
          <w:tcPr/>
          <w:p>
            <w:pPr>
              <w:pStyle w:val="Compact"/>
            </w:pPr>
            <w:r>
              <w:t xml:space="preserve">DIMOSTRATO (esiste) / IPOTESI (leva nostra)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Allarme costruito in anni non creduti</w:t>
            </w:r>
          </w:p>
        </w:tc>
        <w:tc>
          <w:tcPr/>
          <w:p>
            <w:pPr>
              <w:pStyle w:val="Compact"/>
            </w:pPr>
            <w:r>
              <w:t xml:space="preserve">Evitamento, ipervigilanza,</w:t>
            </w:r>
            <w:r>
              <w:t xml:space="preserve"> </w:t>
            </w:r>
            <w:r>
              <w:t xml:space="preserve">“ci ho fatto l’abitudine”</w:t>
            </w:r>
          </w:p>
        </w:tc>
        <w:tc>
          <w:tcPr/>
          <w:p>
            <w:pPr>
              <w:pStyle w:val="Compact"/>
            </w:pPr>
            <w:r>
              <w:t xml:space="preserve">DIMOSTRATO (modificabile, ma dalla CBT) / IPOTESI (leva nostra)</w:t>
            </w:r>
          </w:p>
        </w:tc>
      </w:tr>
    </w:tbl>
    <w:p>
      <w:pPr>
        <w:pStyle w:val="BodyText"/>
      </w:pPr>
      <w:r>
        <w:rPr>
          <w:b/>
          <w:bCs/>
        </w:rPr>
        <w:t xml:space="preserve">Due precisazioni che cambiano la condotta.</w:t>
      </w:r>
    </w:p>
    <w:p>
      <w:pPr>
        <w:pStyle w:val="BodyText"/>
      </w:pPr>
      <w:r>
        <w:t xml:space="preserve">Il tono vagale a riposo è ridotto</w:t>
      </w:r>
      <w:r>
        <w:t xml:space="preserve"> </w:t>
      </w:r>
      <w:r>
        <w:rPr>
          <w:b/>
          <w:bCs/>
        </w:rPr>
        <w:t xml:space="preserve">in queste donne</w:t>
      </w:r>
      <w:r>
        <w:t xml:space="preserve">, ed è più basso in chi ha più dolore (Hao 2021; de França Moreira 2021). È un’associazione, non una direzione di causa.</w:t>
      </w:r>
    </w:p>
    <w:p>
      <w:pPr>
        <w:pStyle w:val="BodyText"/>
      </w:pPr>
      <w:r>
        <w:t xml:space="preserve">L’ipervigilanza è una</w:t>
      </w:r>
      <w:r>
        <w:t xml:space="preserve"> </w:t>
      </w:r>
      <w:r>
        <w:rPr>
          <w:b/>
          <w:bCs/>
        </w:rPr>
        <w:t xml:space="preserve">dissociazione</w:t>
      </w:r>
      <w:r>
        <w:t xml:space="preserve">: accuratezza bassa, convinzione alta (Cantoni 2025). Il bersaglio della spiegazione è la taratura, non</w:t>
      </w:r>
      <w:r>
        <w:t xml:space="preserve"> </w:t>
      </w:r>
      <w:r>
        <w:t xml:space="preserve">“ascoltare di più”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"/>
    <w:bookmarkStart w:id="12" w:name="i-sottotipi-e-chi-comanda"/>
    <w:p>
      <w:pPr>
        <w:pStyle w:val="Heading2"/>
      </w:pPr>
      <w:r>
        <w:t xml:space="preserve">4 — I sottotipi e chi comanda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Sottotipo</w:t>
            </w:r>
          </w:p>
        </w:tc>
        <w:tc>
          <w:tcPr/>
          <w:p>
            <w:pPr>
              <w:pStyle w:val="Compact"/>
            </w:pPr>
            <w:r>
              <w:t xml:space="preserve">Segnale che lo riconosce</w:t>
            </w:r>
          </w:p>
        </w:tc>
        <w:tc>
          <w:tcPr/>
          <w:p>
            <w:pPr>
              <w:pStyle w:val="Compact"/>
            </w:pPr>
            <w:r>
              <w:t xml:space="preserve">Quanto puoi fare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Miofasciale pelvico</w:t>
            </w:r>
          </w:p>
        </w:tc>
        <w:tc>
          <w:tcPr/>
          <w:p>
            <w:pPr>
              <w:pStyle w:val="Compact"/>
            </w:pPr>
            <w:r>
              <w:t xml:space="preserve">Dispareunia</w:t>
            </w:r>
            <w:r>
              <w:t xml:space="preserve"> </w:t>
            </w:r>
            <w:r>
              <w:rPr>
                <w:b/>
                <w:bCs/>
              </w:rPr>
              <w:t xml:space="preserve">non ciclica</w:t>
            </w:r>
            <w:r>
              <w:t xml:space="preserve">, sforzo alla defecazione</w:t>
            </w:r>
          </w:p>
        </w:tc>
        <w:tc>
          <w:tcPr/>
          <w:p>
            <w:pPr>
              <w:pStyle w:val="Compact"/>
            </w:pPr>
            <w:r>
              <w:t xml:space="preserve">Poco con le mani, molto col rinvio alla</w:t>
            </w:r>
            <w:r>
              <w:t xml:space="preserve"> </w:t>
            </w:r>
            <w:r>
              <w:rPr>
                <w:b/>
                <w:bCs/>
              </w:rPr>
              <w:t xml:space="preserve">fisioterapista pelvi-perineale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Parete addominale</w:t>
            </w:r>
          </w:p>
        </w:tc>
        <w:tc>
          <w:tcPr/>
          <w:p>
            <w:pPr>
              <w:pStyle w:val="Compact"/>
            </w:pPr>
            <w:r>
              <w:t xml:space="preserve">Carnett positivo, riproduce il sintomo</w:t>
            </w:r>
          </w:p>
        </w:tc>
        <w:tc>
          <w:tcPr/>
          <w:p>
            <w:pPr>
              <w:pStyle w:val="Compact"/>
            </w:pPr>
            <w:r>
              <w:t xml:space="preserve">Abbastanza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Soglia abbassata (nociplastico)</w:t>
            </w:r>
          </w:p>
        </w:tc>
        <w:tc>
          <w:tcPr/>
          <w:p>
            <w:pPr>
              <w:pStyle w:val="Compact"/>
            </w:pPr>
            <w:r>
              <w:t xml:space="preserve">Dolore lontano dal bacino</w:t>
            </w:r>
          </w:p>
        </w:tc>
        <w:tc>
          <w:tcPr/>
          <w:p>
            <w:pPr>
              <w:pStyle w:val="Compact"/>
            </w:pPr>
            <w:r>
              <w:t xml:space="preserve">Abbastanza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Meccanico post-chirurgico</w:t>
            </w:r>
          </w:p>
        </w:tc>
        <w:tc>
          <w:tcPr/>
          <w:p>
            <w:pPr>
              <w:pStyle w:val="Compact"/>
            </w:pPr>
            <w:r>
              <w:t xml:space="preserve">Dolore legato alla posizione</w:t>
            </w:r>
          </w:p>
        </w:tc>
        <w:tc>
          <w:tcPr/>
          <w:p>
            <w:pPr>
              <w:pStyle w:val="Compact"/>
            </w:pPr>
            <w:r>
              <w:t xml:space="preserve">Poco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Malattia attiva non controllata</w:t>
            </w:r>
          </w:p>
        </w:tc>
        <w:tc>
          <w:tcPr/>
          <w:p>
            <w:pPr>
              <w:pStyle w:val="Compact"/>
            </w:pPr>
            <w:r>
              <w:t xml:space="preserve">Peggioramento progressivo</w:t>
            </w:r>
          </w:p>
        </w:tc>
        <w:tc>
          <w:tcPr/>
          <w:p>
            <w:pPr>
              <w:pStyle w:val="Compact"/>
            </w:pPr>
            <w:r>
              <w:t xml:space="preserve">Niente sul sintomo pelvico: invio prioritario e scritto, subito</w:t>
            </w:r>
          </w:p>
        </w:tc>
      </w:tr>
    </w:tbl>
    <w:p>
      <w:pPr>
        <w:pStyle w:val="BodyText"/>
      </w:pPr>
      <w:r>
        <w:rPr>
          <w:b/>
          <w:bCs/>
        </w:rPr>
        <w:t xml:space="preserve">I pattern si sommano:</w:t>
      </w:r>
      <w:r>
        <w:t xml:space="preserve"> </w:t>
      </w:r>
      <w:r>
        <w:t xml:space="preserve">il sottotipo è quello che comanda oggi.</w:t>
      </w:r>
    </w:p>
    <w:p>
      <w:r>
        <w:pict>
          <v:rect style="width:0;height:1.5pt" o:hralign="center" o:hrstd="t" o:hr="t"/>
        </w:pict>
      </w:r>
    </w:p>
    <w:bookmarkEnd w:id="12"/>
    <w:bookmarkStart w:id="13" w:name="i-marker-e-la-regola-che-li-rende-validi"/>
    <w:p>
      <w:pPr>
        <w:pStyle w:val="Heading2"/>
      </w:pPr>
      <w:r>
        <w:t xml:space="preserve">5 — I marker, e la regola che li rende validi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Marker</w:t>
            </w:r>
          </w:p>
        </w:tc>
        <w:tc>
          <w:tcPr/>
          <w:p>
            <w:pPr>
              <w:pStyle w:val="Compact"/>
            </w:pPr>
            <w:r>
              <w:t xml:space="preserve">Soglia</w:t>
            </w:r>
          </w:p>
        </w:tc>
        <w:tc>
          <w:tcPr/>
          <w:p>
            <w:pPr>
              <w:pStyle w:val="Compact"/>
            </w:pPr>
            <w:r>
              <w:t xml:space="preserve">Provenienza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— Soglia di pressione, 4 punti in parete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interna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— Soglia di pressione, trapezio (piano non trattato)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interna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— Escursione lombare, Schober modificato</w:t>
            </w:r>
          </w:p>
        </w:tc>
        <w:tc>
          <w:tcPr/>
          <w:p>
            <w:pPr>
              <w:pStyle w:val="Compact"/>
            </w:pPr>
            <w:r>
              <w:t xml:space="preserve">1 cm</w:t>
            </w:r>
          </w:p>
        </w:tc>
        <w:tc>
          <w:tcPr/>
          <w:p>
            <w:pPr>
              <w:pStyle w:val="Compact"/>
            </w:pPr>
            <w:r>
              <w:t xml:space="preserve">interna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4 — Giorni di dolore fuori dal flusso, su 4 settimane</w:t>
            </w:r>
          </w:p>
        </w:tc>
        <w:tc>
          <w:tcPr/>
          <w:p>
            <w:pPr>
              <w:pStyle w:val="Compact"/>
            </w:pPr>
            <w:r>
              <w:t xml:space="preserve">2 giorni</w:t>
            </w:r>
          </w:p>
        </w:tc>
        <w:tc>
          <w:tcPr/>
          <w:p>
            <w:pPr>
              <w:pStyle w:val="Compact"/>
            </w:pPr>
            <w:r>
              <w:t xml:space="preserve">interna</w:t>
            </w:r>
          </w:p>
        </w:tc>
      </w:tr>
    </w:tbl>
    <w:p>
      <w:pPr>
        <w:pStyle w:val="BodyText"/>
      </w:pPr>
      <w:r>
        <w:t xml:space="preserve">Fuori dal set, perché</w:t>
      </w:r>
      <w:r>
        <w:t xml:space="preserve"> </w:t>
      </w:r>
      <w:r>
        <w:rPr>
          <w:b/>
          <w:bCs/>
        </w:rPr>
        <w:t xml:space="preserve">caratterizza e non verifica</w:t>
      </w:r>
      <w:r>
        <w:t xml:space="preserve">: il Central Sensitization Inventory, soglia 40. È l’unica soglia pubblicata su questa condizione (Orr e Yong 2022).</w:t>
      </w:r>
    </w:p>
    <w:p>
      <w:pPr>
        <w:pStyle w:val="BodyText"/>
      </w:pPr>
      <w:r>
        <w:t xml:space="preserve">Due o tre marker per paziente, e l’1 e il 2 sempre insieme. Il test di</w:t>
      </w:r>
      <w:r>
        <w:t xml:space="preserve"> </w:t>
      </w:r>
      <w:r>
        <w:rPr>
          <w:b/>
          <w:bCs/>
        </w:rPr>
        <w:t xml:space="preserve">Carnett</w:t>
      </w:r>
      <w:r>
        <w:t xml:space="preserve"> </w:t>
      </w:r>
      <w:r>
        <w:t xml:space="preserve">qualifica il Marker 1.</w:t>
      </w:r>
      <w:r>
        <w:t xml:space="preserve"> </w:t>
      </w:r>
      <w:r>
        <w:rPr>
          <w:b/>
          <w:bCs/>
        </w:rPr>
        <w:t xml:space="preserve">Il giorno del ciclo si scrive accanto a ogni valore, e si confrontano solo misure nella stessa fase.</w:t>
      </w:r>
      <w:r>
        <w:t xml:space="preserve"> </w:t>
      </w:r>
      <w:r>
        <w:rPr>
          <w:b/>
          <w:bCs/>
        </w:rPr>
        <w:t xml:space="preserve">Se hai trattato l’attivazione, né parete né trapezio sono più piani</w:t>
      </w:r>
      <w:r>
        <w:rPr>
          <w:b/>
          <w:bCs/>
        </w:rPr>
        <w:t xml:space="preserve"> </w:t>
      </w:r>
      <w:r>
        <w:rPr>
          <w:b/>
          <w:bCs/>
        </w:rPr>
        <w:t xml:space="preserve">“non trattati”</w:t>
      </w:r>
      <w:r>
        <w:rPr>
          <w:b/>
          <w:bCs/>
        </w:rPr>
        <w:t xml:space="preserve">: il marker che decide diventa il 3 o il 4.</w:t>
      </w:r>
      <w:r>
        <w:t xml:space="preserve"> </w:t>
      </w:r>
      <w:r>
        <w:rPr>
          <w:b/>
          <w:bCs/>
        </w:rPr>
        <w:t xml:space="preserve">Il marker fuori piano non si sceglie perché sia dimostrato che una mano lo muove — due sintesi con manovra finta dicono di no — ma perché è il solo modo di accorgerti se non lo muovi.</w:t>
      </w:r>
    </w:p>
    <w:p>
      <w:r>
        <w:pict>
          <v:rect style="width:0;height:1.5pt" o:hralign="center" o:hrstd="t" o:hr="t"/>
        </w:pict>
      </w:r>
    </w:p>
    <w:bookmarkEnd w:id="13"/>
    <w:bookmarkStart w:id="14" w:name="le-bandiere-rosse"/>
    <w:p>
      <w:pPr>
        <w:pStyle w:val="Heading2"/>
      </w:pPr>
      <w:r>
        <w:t xml:space="preserve">6 — Le bandiere rosse</w:t>
      </w:r>
    </w:p>
    <w:p>
      <w:pPr>
        <w:pStyle w:val="Compact"/>
        <w:numPr>
          <w:ilvl w:val="0"/>
          <w:numId w:val="1001"/>
        </w:numPr>
      </w:pPr>
      <w:r>
        <w:t xml:space="preserve">Dolore pelvico acuto violentissimo, diverso dal solito → Pronto soccorso →</w:t>
      </w:r>
      <w:r>
        <w:t xml:space="preserve"> </w:t>
      </w:r>
      <w:r>
        <w:rPr>
          <w:b/>
          <w:bCs/>
        </w:rPr>
        <w:t xml:space="preserve">112</w:t>
      </w:r>
    </w:p>
    <w:p>
      <w:pPr>
        <w:pStyle w:val="Compact"/>
        <w:numPr>
          <w:ilvl w:val="0"/>
          <w:numId w:val="1001"/>
        </w:numPr>
      </w:pPr>
      <w:r>
        <w:t xml:space="preserve">Ritardo mestruale o amenorrea con dolore, anche senza test → PS ginecologico →</w:t>
      </w:r>
      <w:r>
        <w:t xml:space="preserve"> </w:t>
      </w:r>
      <w:r>
        <w:rPr>
          <w:b/>
          <w:bCs/>
        </w:rPr>
        <w:t xml:space="preserve">112</w:t>
      </w:r>
    </w:p>
    <w:p>
      <w:pPr>
        <w:pStyle w:val="Compact"/>
        <w:numPr>
          <w:ilvl w:val="0"/>
          <w:numId w:val="1001"/>
        </w:numPr>
      </w:pPr>
      <w:r>
        <w:t xml:space="preserve">Alvo chiuso a feci e gas, con vomito → Pronto soccorso →</w:t>
      </w:r>
      <w:r>
        <w:t xml:space="preserve"> </w:t>
      </w:r>
      <w:r>
        <w:rPr>
          <w:b/>
          <w:bCs/>
        </w:rPr>
        <w:t xml:space="preserve">112</w:t>
      </w:r>
    </w:p>
    <w:p>
      <w:pPr>
        <w:pStyle w:val="Compact"/>
        <w:numPr>
          <w:ilvl w:val="0"/>
          <w:numId w:val="1001"/>
        </w:numPr>
      </w:pPr>
      <w:r>
        <w:t xml:space="preserve">Impossibilità a urinare → Pronto soccorso →</w:t>
      </w:r>
      <w:r>
        <w:t xml:space="preserve"> </w:t>
      </w:r>
      <w:r>
        <w:rPr>
          <w:b/>
          <w:bCs/>
        </w:rPr>
        <w:t xml:space="preserve">112</w:t>
      </w:r>
    </w:p>
    <w:p>
      <w:pPr>
        <w:pStyle w:val="Compact"/>
        <w:numPr>
          <w:ilvl w:val="0"/>
          <w:numId w:val="1001"/>
        </w:numPr>
      </w:pPr>
      <w:r>
        <w:t xml:space="preserve">Affanno improvviso, dolore toracico col respiro, o polpaccio gonfio → PS →</w:t>
      </w:r>
      <w:r>
        <w:t xml:space="preserve"> </w:t>
      </w:r>
      <w:r>
        <w:rPr>
          <w:b/>
          <w:bCs/>
        </w:rPr>
        <w:t xml:space="preserve">112</w:t>
      </w:r>
    </w:p>
    <w:p>
      <w:pPr>
        <w:pStyle w:val="Compact"/>
        <w:numPr>
          <w:ilvl w:val="0"/>
          <w:numId w:val="1001"/>
        </w:numPr>
      </w:pPr>
      <w:r>
        <w:t xml:space="preserve">Dolore addominale nuovo in gravidanza, a qualunque epoca → PS ostetrico →</w:t>
      </w:r>
      <w:r>
        <w:t xml:space="preserve"> </w:t>
      </w:r>
      <w:r>
        <w:rPr>
          <w:b/>
          <w:bCs/>
        </w:rPr>
        <w:t xml:space="preserve">112</w:t>
      </w:r>
    </w:p>
    <w:p>
      <w:pPr>
        <w:pStyle w:val="Compact"/>
        <w:numPr>
          <w:ilvl w:val="0"/>
          <w:numId w:val="1001"/>
        </w:numPr>
      </w:pPr>
      <w:r>
        <w:t xml:space="preserve">Febbre con dolore pelvico → Medico curante o PS →</w:t>
      </w:r>
      <w:r>
        <w:t xml:space="preserve"> </w:t>
      </w:r>
      <w:r>
        <w:rPr>
          <w:b/>
          <w:bCs/>
        </w:rPr>
        <w:t xml:space="preserve">Urgente</w:t>
      </w:r>
    </w:p>
    <w:p>
      <w:pPr>
        <w:pStyle w:val="Compact"/>
        <w:numPr>
          <w:ilvl w:val="0"/>
          <w:numId w:val="1001"/>
        </w:numPr>
      </w:pPr>
      <w:r>
        <w:t xml:space="preserve">Sanguinamento abbondante con pallore e debolezza → Medico curante o PS →</w:t>
      </w:r>
      <w:r>
        <w:t xml:space="preserve"> </w:t>
      </w:r>
      <w:r>
        <w:rPr>
          <w:b/>
          <w:bCs/>
        </w:rPr>
        <w:t xml:space="preserve">Urgente</w:t>
      </w:r>
    </w:p>
    <w:p>
      <w:pPr>
        <w:pStyle w:val="Compact"/>
        <w:numPr>
          <w:ilvl w:val="0"/>
          <w:numId w:val="1001"/>
        </w:numPr>
      </w:pPr>
      <w:r>
        <w:t xml:space="preserve">Dolore ciclico a torace o spalla, con affanno → PS, poi toracico →</w:t>
      </w:r>
      <w:r>
        <w:t xml:space="preserve"> </w:t>
      </w:r>
      <w:r>
        <w:rPr>
          <w:b/>
          <w:bCs/>
        </w:rPr>
        <w:t xml:space="preserve">Urgente</w:t>
      </w:r>
    </w:p>
    <w:p>
      <w:pPr>
        <w:pStyle w:val="Compact"/>
        <w:numPr>
          <w:ilvl w:val="0"/>
          <w:numId w:val="1001"/>
        </w:numPr>
      </w:pPr>
      <w:r>
        <w:t xml:space="preserve">Gonfiore rapido, dolore e meno urina in stimolazione ovarica → Centro PMA o PS →</w:t>
      </w:r>
      <w:r>
        <w:t xml:space="preserve"> </w:t>
      </w:r>
      <w:r>
        <w:rPr>
          <w:b/>
          <w:bCs/>
        </w:rPr>
        <w:t xml:space="preserve">Urgente</w:t>
      </w:r>
    </w:p>
    <w:p>
      <w:pPr>
        <w:pStyle w:val="Compact"/>
        <w:numPr>
          <w:ilvl w:val="0"/>
          <w:numId w:val="1001"/>
        </w:numPr>
      </w:pPr>
      <w:r>
        <w:t xml:space="preserve">Dolore al fianco monolaterale, o diuresi ridotta → Ginecologo e urologo →</w:t>
      </w:r>
      <w:r>
        <w:t xml:space="preserve"> </w:t>
      </w:r>
      <w:r>
        <w:rPr>
          <w:b/>
          <w:bCs/>
        </w:rPr>
        <w:t xml:space="preserve">Invio, non attendere</w:t>
      </w:r>
    </w:p>
    <w:p>
      <w:pPr>
        <w:pStyle w:val="Compact"/>
        <w:numPr>
          <w:ilvl w:val="0"/>
          <w:numId w:val="1001"/>
        </w:numPr>
      </w:pPr>
      <w:r>
        <w:t xml:space="preserve">Sangue nelle urine o nelle feci, ciclico → Ginecologo →</w:t>
      </w:r>
      <w:r>
        <w:t xml:space="preserve"> </w:t>
      </w:r>
      <w:r>
        <w:rPr>
          <w:b/>
          <w:bCs/>
        </w:rPr>
        <w:t xml:space="preserve">Invio, non attendere</w:t>
      </w:r>
    </w:p>
    <w:p>
      <w:pPr>
        <w:pStyle w:val="Compact"/>
        <w:numPr>
          <w:ilvl w:val="0"/>
          <w:numId w:val="1001"/>
        </w:numPr>
      </w:pPr>
      <w:r>
        <w:t xml:space="preserve">Massa addomino-pelvica palpabile non nota → Ginecologo →</w:t>
      </w:r>
      <w:r>
        <w:t xml:space="preserve"> </w:t>
      </w:r>
      <w:r>
        <w:rPr>
          <w:b/>
          <w:bCs/>
        </w:rPr>
        <w:t xml:space="preserve">Invio, non attendere</w:t>
      </w:r>
    </w:p>
    <w:p>
      <w:pPr>
        <w:pStyle w:val="Compact"/>
        <w:numPr>
          <w:ilvl w:val="0"/>
          <w:numId w:val="1001"/>
        </w:numPr>
      </w:pPr>
      <w:r>
        <w:t xml:space="preserve">Distensione da fluttuante a persistente, con sazietà precoce → Medico curante →</w:t>
      </w:r>
      <w:r>
        <w:t xml:space="preserve"> </w:t>
      </w:r>
      <w:r>
        <w:rPr>
          <w:b/>
          <w:bCs/>
        </w:rPr>
        <w:t xml:space="preserve">Invio, non attendere</w:t>
      </w:r>
    </w:p>
    <w:p>
      <w:pPr>
        <w:pStyle w:val="Compact"/>
        <w:numPr>
          <w:ilvl w:val="0"/>
          <w:numId w:val="1001"/>
        </w:numPr>
      </w:pPr>
      <w:r>
        <w:t xml:space="preserve">Dolore radicolare ciclico alla gamba, o deficit di forza → Ginecologo e neurologo →</w:t>
      </w:r>
      <w:r>
        <w:t xml:space="preserve"> </w:t>
      </w:r>
      <w:r>
        <w:rPr>
          <w:b/>
          <w:bCs/>
        </w:rPr>
        <w:t xml:space="preserve">Invio, non attendere</w:t>
      </w:r>
    </w:p>
    <w:p>
      <w:pPr>
        <w:pStyle w:val="Compact"/>
        <w:numPr>
          <w:ilvl w:val="0"/>
          <w:numId w:val="1001"/>
        </w:numPr>
      </w:pPr>
      <w:r>
        <w:t xml:space="preserve">Peggioramento progressivo nonostante la terapia → Ginecologo →</w:t>
      </w:r>
      <w:r>
        <w:t xml:space="preserve"> </w:t>
      </w:r>
      <w:r>
        <w:rPr>
          <w:b/>
          <w:bCs/>
        </w:rPr>
        <w:t xml:space="preserve">Invio, GIALLO PRIORITARIO</w:t>
      </w:r>
    </w:p>
    <w:p>
      <w:pPr>
        <w:pStyle w:val="Compact"/>
        <w:numPr>
          <w:ilvl w:val="0"/>
          <w:numId w:val="1001"/>
        </w:numPr>
      </w:pPr>
      <w:r>
        <w:t xml:space="preserve">Sintomo nuovo o dolore cambiato di carattere → Ginecologo curante →</w:t>
      </w:r>
      <w:r>
        <w:t xml:space="preserve"> </w:t>
      </w:r>
      <w:r>
        <w:rPr>
          <w:b/>
          <w:bCs/>
        </w:rPr>
        <w:t xml:space="preserve">Invio, GIALLO PRIORITARIO</w:t>
      </w:r>
    </w:p>
    <w:p>
      <w:pPr>
        <w:pStyle w:val="FirstParagraph"/>
      </w:pPr>
      <w:r>
        <w:rPr>
          <w:b/>
          <w:bCs/>
        </w:rPr>
        <w:t xml:space="preserve">Sulle righe 112 e Urgente non si tratta nulla in quella seduta.</w:t>
      </w:r>
    </w:p>
    <w:p>
      <w:r>
        <w:pict>
          <v:rect style="width:0;height:1.5pt" o:hralign="center" o:hrstd="t" o:hr="t"/>
        </w:pict>
      </w:r>
    </w:p>
    <w:bookmarkEnd w:id="14"/>
    <w:bookmarkStart w:id="15" w:name="cosa-può-fare-lei"/>
    <w:p>
      <w:pPr>
        <w:pStyle w:val="Heading2"/>
      </w:pPr>
      <w:r>
        <w:t xml:space="preserve">7 — Cosa può fare lei</w:t>
      </w:r>
    </w:p>
    <w:p>
      <w:pPr>
        <w:pStyle w:val="FirstParagraph"/>
      </w:pPr>
      <w:r>
        <w:t xml:space="preserve">Allenamento progressivo con training del pavimento pelvico, supervisionato all’inizio. Nello studio randomizzato norvegese ha ridotto il dolore pelvico</w:t>
      </w:r>
      <w:r>
        <w:t xml:space="preserve"> </w:t>
      </w:r>
      <w:r>
        <w:rPr>
          <w:b/>
          <w:bCs/>
        </w:rPr>
        <w:t xml:space="preserve">attuale</w:t>
      </w:r>
      <w:r>
        <w:t xml:space="preserve"> </w:t>
      </w:r>
      <w:r>
        <w:t xml:space="preserve">di 1,1 punti, ancora presenti a dodici mesi — non il dolore peggiore del mese (Gabrielsen 2025 — PMID 41006088).</w:t>
      </w:r>
      <w:r>
        <w:t xml:space="preserve"> </w:t>
      </w:r>
      <w:r>
        <w:rPr>
          <w:b/>
          <w:bCs/>
        </w:rPr>
        <w:t xml:space="preserve">PROBABILE</w:t>
      </w:r>
      <w:r>
        <w:t xml:space="preserve">, con il contrappeso che l’esercizio da solo non batte le cure usuali sul dolore complessivo (Zheng 2026 — PMID 41743446). Si</w:t>
      </w:r>
      <w:r>
        <w:t xml:space="preserve"> </w:t>
      </w:r>
      <w:r>
        <w:rPr>
          <w:b/>
          <w:bCs/>
        </w:rPr>
        <w:t xml:space="preserve">informa</w:t>
      </w:r>
      <w:r>
        <w:t xml:space="preserve">, non si prescrive: come e quando consegnarlo sta nella Procedura.</w:t>
      </w:r>
    </w:p>
    <w:p>
      <w:r>
        <w:pict>
          <v:rect style="width:0;height:1.5pt" o:hralign="center" o:hrstd="t" o:hr="t"/>
        </w:pict>
      </w:r>
    </w:p>
    <w:bookmarkEnd w:id="15"/>
    <w:bookmarkStart w:id="16" w:name="la-frase-per-la-paziente"/>
    <w:p>
      <w:pPr>
        <w:pStyle w:val="Heading2"/>
      </w:pPr>
      <w:r>
        <w:t xml:space="preserve">8 — La frase per la paziente</w:t>
      </w:r>
    </w:p>
    <w:p>
      <w:pPr>
        <w:pStyle w:val="FirstParagraph"/>
      </w:pPr>
      <w:r>
        <w:rPr>
          <w:i/>
          <w:iCs/>
        </w:rPr>
        <w:t xml:space="preserve">“La malattia la cura il tuo ginecologo, e io non la tratto. Ma il dolore non viene tutto da lì: in tanti anni pancia, schiena bassa e bacino hanno imparato a stare in difesa, e quella parte fa male per conto suo. È come una perdita d’acqua in un muro: la perdita la ripara chi di dovere, ma intanto si sono bagnate altre stanze. Su quelle si può lavorare,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solo dall’esterno</w:t>
      </w:r>
      <w:r>
        <w:rPr>
          <w:i/>
          <w:iCs/>
        </w:rPr>
        <w:t xml:space="preserve">. Non ti prometto di togliere il dolore: ti prometto di misurare quanta parte si riproduce quando premo da fuori, e di dirti i numeri anche quando non si muovono.”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Perché ci sei tu.</w:t>
      </w:r>
      <w:r>
        <w:t xml:space="preserve"> </w:t>
      </w:r>
      <w:r>
        <w:t xml:space="preserve">Fra le donne con endometriosi che avevano usato la pillola ciclica, il</w:t>
      </w:r>
      <w:r>
        <w:t xml:space="preserve"> </w:t>
      </w:r>
      <w:r>
        <w:rPr>
          <w:b/>
          <w:bCs/>
        </w:rPr>
        <w:t xml:space="preserve">45% l’ha dichiarata inefficace</w:t>
      </w:r>
      <w:r>
        <w:t xml:space="preserve"> </w:t>
      </w:r>
      <w:r>
        <w:t xml:space="preserve">sul proprio dolore e il</w:t>
      </w:r>
      <w:r>
        <w:t xml:space="preserve"> </w:t>
      </w:r>
      <w:r>
        <w:rPr>
          <w:b/>
          <w:bCs/>
        </w:rPr>
        <w:t xml:space="preserve">41% l’ha interrotta</w:t>
      </w:r>
      <w:r>
        <w:t xml:space="preserve"> </w:t>
      </w:r>
      <w:r>
        <w:t xml:space="preserve">per gli effetti collaterali; la dolorabilità del pavimento pelvico si associava all’inefficacia della terapia continua (Yong 2020 — PMID 32128454). Questo ti autorizza a dire che una parte del dolore resta scoperta dalla terapia, e che quella parte ha un profilo muscolare. Non ti autorizza a commentare la sua terapia, né a lasciarle intendere che potrebbe farne a meno.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DIMOSTRATO</w:t>
      </w:r>
      <w:r>
        <w:t xml:space="preserve"> </w:t>
      </w:r>
      <w:r>
        <w:t xml:space="preserve">studi sull’uomo, solidi ·</w:t>
      </w:r>
      <w:r>
        <w:t xml:space="preserve"> </w:t>
      </w:r>
      <w:r>
        <w:rPr>
          <w:b/>
          <w:bCs/>
        </w:rPr>
        <w:t xml:space="preserve">PROBABILE</w:t>
      </w:r>
      <w:r>
        <w:t xml:space="preserve"> </w:t>
      </w:r>
      <w:r>
        <w:t xml:space="preserve">razionale forte, prove parziali ·</w:t>
      </w:r>
      <w:r>
        <w:t xml:space="preserve"> </w:t>
      </w:r>
      <w:r>
        <w:rPr>
          <w:b/>
          <w:bCs/>
        </w:rPr>
        <w:t xml:space="preserve">IPOTESI</w:t>
      </w:r>
      <w:r>
        <w:t xml:space="preserve"> </w:t>
      </w:r>
      <w:r>
        <w:t xml:space="preserve">meccanismo coerente, nessuno studio ·</w:t>
      </w:r>
      <w:r>
        <w:t xml:space="preserve"> </w:t>
      </w:r>
      <w:r>
        <w:rPr>
          <w:b/>
          <w:bCs/>
        </w:rPr>
        <w:t xml:space="preserve">RAGIONAMENTO</w:t>
      </w:r>
      <w:r>
        <w:t xml:space="preserve"> </w:t>
      </w:r>
      <w:r>
        <w:t xml:space="preserve">cornice clinica, non una prova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it-I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Mobilitas — Direzione Osteopatica</dc:creator>
  <dc:language>it-IT</dc:language>
  <cp:keywords/>
  <dcterms:created xsi:type="dcterms:W3CDTF">2026-08-29T18:51:23Z</dcterms:created>
  <dcterms:modified xsi:type="dcterms:W3CDTF">2026-08-29T18:51:23Z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