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Ciclo Doloroso</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51" w:name="ciclo-doloroso-la-bibbia"/>
    <w:p>
      <w:pPr>
        <w:pStyle w:val="Heading1"/>
      </w:pPr>
      <w:r>
        <w:t xml:space="preserve">Ciclo doloroso — la Bibbia</w:t>
      </w:r>
    </w:p>
    <w:p>
      <w:pPr>
        <w:pStyle w:val="FirstParagraph"/>
      </w:pPr>
      <w:r>
        <w:rPr>
          <w:b/>
          <w:bCs/>
        </w:rPr>
        <w:t xml:space="preserve">Condizione:</w:t>
      </w:r>
      <w:r>
        <w:t xml:space="preserve"> </w:t>
      </w:r>
      <w:r>
        <w:t xml:space="preserve">ciclo doloroso (dismenorrea) ·</w:t>
      </w:r>
      <w:r>
        <w:t xml:space="preserve"> </w:t>
      </w:r>
      <w:r>
        <w:rPr>
          <w:b/>
          <w:bCs/>
        </w:rPr>
        <w:t xml:space="preserve">Ancora clinica:</w:t>
      </w:r>
      <w:r>
        <w:t xml:space="preserve"> </w:t>
      </w:r>
      <w:r>
        <w:t xml:space="preserve">Mike Armour, NICM Health Research Institute, Western Sydney University ·</w:t>
      </w:r>
      <w:r>
        <w:t xml:space="preserve"> </w:t>
      </w:r>
      <w:r>
        <w:rPr>
          <w:b/>
          <w:bCs/>
        </w:rPr>
        <w:t xml:space="preserve">Ancora fisiologica:</w:t>
      </w:r>
      <w:r>
        <w:t xml:space="preserve"> </w:t>
      </w:r>
      <w:r>
        <w:t xml:space="preserve">Maria Adele Giamberardino, Università</w:t>
      </w:r>
      <w:r>
        <w:t xml:space="preserve"> </w:t>
      </w:r>
      <w:r>
        <w:t xml:space="preserve">“G. d’Annunzio”</w:t>
      </w:r>
      <w:r>
        <w:t xml:space="preserve"> </w:t>
      </w:r>
      <w:r>
        <w:t xml:space="preserve">di Chieti ·</w:t>
      </w:r>
      <w:r>
        <w:t xml:space="preserve"> </w:t>
      </w:r>
      <w:r>
        <w:rPr>
          <w:b/>
          <w:bCs/>
        </w:rPr>
        <w:t xml:space="preserve">Versione:</w:t>
      </w:r>
      <w:r>
        <w:t xml:space="preserve"> </w:t>
      </w:r>
      <w:r>
        <w:t xml:space="preserve">v7 (finale — revisione di lingua del 6º livello) ·</w:t>
      </w:r>
      <w:r>
        <w:t xml:space="preserve"> </w:t>
      </w:r>
      <w:r>
        <w:rPr>
          <w:b/>
          <w:bCs/>
        </w:rPr>
        <w:t xml:space="preserve">Data:</w:t>
      </w:r>
      <w:r>
        <w:t xml:space="preserve"> </w:t>
      </w:r>
      <w:r>
        <w:t xml:space="preserve">28 agosto 2026</w:t>
      </w:r>
    </w:p>
    <w:p>
      <w:r>
        <w:pict>
          <v:rect style="width:0;height:1.5pt" o:hralign="center" o:hrstd="t" o:hr="t"/>
        </w:pict>
      </w:r>
    </w:p>
    <w:bookmarkStart w:id="10"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questo documento ti dice cosa sapere sul ciclo doloroso per lavorarci con la testa dritta, e ti dice — riga per riga — quanto è solido ciò che stai leggendo.</w:t>
      </w:r>
    </w:p>
    <w:p>
      <w:pPr>
        <w:pStyle w:val="FirstParagraph"/>
      </w:pPr>
      <w:r>
        <w:rPr>
          <w:b/>
          <w:bCs/>
        </w:rPr>
        <w:t xml:space="preserve">A chi parla.</w:t>
      </w:r>
      <w:r>
        <w:t xml:space="preserve"> </w:t>
      </w:r>
      <w:r>
        <w:t xml:space="preserve">All’osteopata del team. Presuppone la tua formazione: non ti spiega cos’è il diaframma, ti spiega cosa fa il diaframma qui.</w:t>
      </w:r>
    </w:p>
    <w:p>
      <w:pPr>
        <w:pStyle w:val="BodyText"/>
      </w:pPr>
      <w:r>
        <w:rPr>
          <w:b/>
          <w:bCs/>
        </w:rPr>
        <w:t xml:space="preserve">Cosa c’è qui e cosa no.</w:t>
      </w:r>
      <w:r>
        <w:t xml:space="preserve"> </w:t>
      </w:r>
      <w:r>
        <w:t xml:space="preserve">Qui trovi che cos’è il ciclo doloroso, perché succede, quali meccanismi lo tengono in piedi, quanto è solido ciascuno, e perché una mano può cambiare qualcosa. Non trovi tecniche, dosi, sequenze o minuti: quelli stanno nella Procedura, che è un documento separato.</w:t>
      </w:r>
    </w:p>
    <w:p>
      <w:pPr>
        <w:pStyle w:val="BodyText"/>
      </w:pPr>
      <w:r>
        <w:rPr>
          <w:b/>
          <w:bCs/>
        </w:rPr>
        <w:t xml:space="preserve">Come si leggono le etichette.</w:t>
      </w:r>
      <w:r>
        <w:t xml:space="preserve"> </w:t>
      </w:r>
      <w:r>
        <w:t xml:space="preserve">Ogni meccanismo, ogni modello e ogni leva porta un box</w:t>
      </w:r>
      <w:r>
        <w:t xml:space="preserve"> </w:t>
      </w:r>
      <w:r>
        <w:rPr>
          <w:rStyle w:val="VerbatimChar"/>
        </w:rPr>
        <w:t xml:space="preserve">&gt; **Quanto è solido:**</w:t>
      </w:r>
      <w:r>
        <w:t xml:space="preserve">. Dentro il box c’è una di quattro etichette, sempre le stesse quattro.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Etichetta</w:t>
            </w:r>
          </w:p>
        </w:tc>
        <w:tc>
          <w:tcPr/>
          <w:p>
            <w:pPr>
              <w:pStyle w:val="Compact"/>
            </w:pPr>
            <w:r>
              <w:t xml:space="preserve">Glossa fissa</w:t>
            </w:r>
          </w:p>
        </w:tc>
        <w:tc>
          <w:tcPr/>
          <w:p>
            <w:pPr>
              <w:pStyle w:val="Compact"/>
            </w:pPr>
            <w:r>
              <w:t xml:space="preserve">Cosa vuol dire</w:t>
            </w:r>
          </w:p>
        </w:tc>
      </w:tr>
      <w:tr>
        <w:tc>
          <w:tcPr/>
          <w:p>
            <w:pPr>
              <w:pStyle w:val="Compact"/>
            </w:pPr>
            <w:r>
              <w:t xml:space="preserve">DIMOSTRATO</w:t>
            </w:r>
          </w:p>
        </w:tc>
        <w:tc>
          <w:tcPr/>
          <w:p>
            <w:pPr>
              <w:pStyle w:val="Compact"/>
            </w:pPr>
            <w:r>
              <w:rPr>
                <w:i/>
                <w:iCs/>
              </w:rPr>
              <w:t xml:space="preserve">(studi sull’uomo, solidi)</w:t>
            </w:r>
          </w:p>
        </w:tc>
        <w:tc>
          <w:tcPr/>
          <w:p>
            <w:pPr>
              <w:pStyle w:val="Compact"/>
            </w:pPr>
            <w:r>
              <w:t xml:space="preserve">studi controllati sull’uomo</w:t>
            </w:r>
          </w:p>
        </w:tc>
      </w:tr>
      <w:tr>
        <w:tc>
          <w:tcPr/>
          <w:p>
            <w:pPr>
              <w:pStyle w:val="Compact"/>
            </w:pPr>
            <w:r>
              <w:t xml:space="preserve">PROBABILE</w:t>
            </w:r>
          </w:p>
        </w:tc>
        <w:tc>
          <w:tcPr/>
          <w:p>
            <w:pPr>
              <w:pStyle w:val="Compact"/>
            </w:pPr>
            <w:r>
              <w:rPr>
                <w:i/>
                <w:iCs/>
              </w:rPr>
              <w:t xml:space="preserve">(razionale forte, prove parziali)</w:t>
            </w:r>
          </w:p>
        </w:tc>
        <w:tc>
          <w:tcPr/>
          <w:p>
            <w:pPr>
              <w:pStyle w:val="Compact"/>
            </w:pPr>
            <w:r>
              <w:t xml:space="preserve">prove parziali, indirette o piccole</w:t>
            </w:r>
          </w:p>
        </w:tc>
      </w:tr>
      <w:tr>
        <w:tc>
          <w:tcPr/>
          <w:p>
            <w:pPr>
              <w:pStyle w:val="Compact"/>
            </w:pPr>
            <w:r>
              <w:t xml:space="preserve">IPOTESI</w:t>
            </w:r>
          </w:p>
        </w:tc>
        <w:tc>
          <w:tcPr/>
          <w:p>
            <w:pPr>
              <w:pStyle w:val="Compact"/>
            </w:pPr>
            <w:r>
              <w:rPr>
                <w:i/>
                <w:iCs/>
              </w:rPr>
              <w:t xml:space="preserve">(meccanismo coerente, nessuno studio)</w:t>
            </w:r>
          </w:p>
        </w:tc>
        <w:tc>
          <w:tcPr/>
          <w:p>
            <w:pPr>
              <w:pStyle w:val="Compact"/>
            </w:pPr>
            <w:r>
              <w:t xml:space="preserve">coerente, nessuno ha misurato</w:t>
            </w:r>
          </w:p>
        </w:tc>
      </w:tr>
      <w:tr>
        <w:tc>
          <w:tcPr/>
          <w:p>
            <w:pPr>
              <w:pStyle w:val="Compact"/>
            </w:pPr>
            <w:r>
              <w:t xml:space="preserve">RAGIONAMENTO</w:t>
            </w:r>
          </w:p>
        </w:tc>
        <w:tc>
          <w:tcPr/>
          <w:p>
            <w:pPr>
              <w:pStyle w:val="Compact"/>
            </w:pPr>
            <w:r>
              <w:rPr>
                <w:i/>
                <w:iCs/>
              </w:rPr>
              <w:t xml:space="preserve">(cornice clinica, non una prova)</w:t>
            </w:r>
          </w:p>
        </w:tc>
        <w:tc>
          <w:tcPr/>
          <w:p>
            <w:pPr>
              <w:pStyle w:val="Compact"/>
            </w:pPr>
            <w:r>
              <w:t xml:space="preserve">è come ragiono, non è una prova</w:t>
            </w:r>
          </w:p>
        </w:tc>
      </w:tr>
    </w:tbl>
    <w:p>
      <w:pPr>
        <w:pStyle w:val="BodyText"/>
      </w:pPr>
      <w:r>
        <w:t xml:space="preserve">Due regole governano le etichette, e le incontrerai subito.</w:t>
      </w:r>
    </w:p>
    <w:p>
      <w:pPr>
        <w:pStyle w:val="BodyText"/>
      </w:pPr>
      <w:r>
        <w:rPr>
          <w:b/>
          <w:bCs/>
        </w:rPr>
        <w:t xml:space="preserve">La prima: l’etichetta non si declina.</w:t>
      </w:r>
      <w:r>
        <w:t xml:space="preserve"> </w:t>
      </w:r>
      <w:r>
        <w:t xml:space="preserve">A volte esistono studi diretti che danno un risultato contrario. In quel caso l’etichetta resta quella che è, e la prova contraria si scrive nella frase, nominata e citata. Mai una quinta etichetta. Mai una glossa modificata.</w:t>
      </w:r>
    </w:p>
    <w:p>
      <w:pPr>
        <w:pStyle w:val="BodyText"/>
      </w:pPr>
      <w:r>
        <w:rPr>
          <w:b/>
          <w:bCs/>
        </w:rPr>
        <w:t xml:space="preserve">La seconda: quando i pezzi di un’affermazione non hanno la stessa forza, l’etichetta si spezza.</w:t>
      </w:r>
      <w:r>
        <w:t xml:space="preserve"> </w:t>
      </w:r>
      <w:r>
        <w:t xml:space="preserve">Succede in sette box, che lo dichiarano in apertura: quattro meccanismi, un modello e due leve. In altri tre box le etichette compaiono più d’una, in sequenza, senza la formula di apertura. La regola è la stessa, e si legge nell’ordine in cui sono scritte: prima il pezzo più solido, poi il più debole.</w:t>
      </w:r>
    </w:p>
    <w:p>
      <w:pPr>
        <w:pStyle w:val="BodyText"/>
      </w:pPr>
      <w:r>
        <w:rPr>
          <w:b/>
          <w:bCs/>
        </w:rPr>
        <w:t xml:space="preserve">Dove sta il tetto, su questa condizione.</w:t>
      </w:r>
      <w:r>
        <w:t xml:space="preserve"> </w:t>
      </w:r>
      <w:r>
        <w:t xml:space="preserve">Le etichette qui corrono basse. Non è prudenza: è la letteratura. La sintesi più ampia di terapia manuale sul dolore mestruale conta trentadue studi randomizzati e 2.566 donne</w:t>
      </w:r>
      <w:r>
        <w:t xml:space="preserve"> </w:t>
      </w:r>
      <w:r>
        <w:rPr>
          <w:b/>
          <w:bCs/>
        </w:rPr>
        <w:t xml:space="preserve">in tutto</w:t>
      </w:r>
      <w:r>
        <w:t xml:space="preserve">. Sul confronto che ci riguarda — terapia manuale contro finto trattamento — le donne sono</w:t>
      </w:r>
      <w:r>
        <w:t xml:space="preserve"> </w:t>
      </w:r>
      <w:r>
        <w:rPr>
          <w:b/>
          <w:bCs/>
        </w:rPr>
        <w:t xml:space="preserve">255</w:t>
      </w:r>
      <w:r>
        <w:t xml:space="preserve">, e la differenza non c’è (Li,</w:t>
      </w:r>
      <w:r>
        <w:t xml:space="preserve"> </w:t>
      </w:r>
      <w:r>
        <w:rPr>
          <w:i/>
          <w:iCs/>
        </w:rPr>
        <w:t xml:space="preserve">J Pain Res</w:t>
      </w:r>
      <w:r>
        <w:t xml:space="preserve"> </w:t>
      </w:r>
      <w:r>
        <w:t xml:space="preserve">2024 — PMID 38736680). I due numeri non vanno mai nella stessa frase: 2.566 è la revisione, 255 è la prova. Se lo sai, leggerai il resto nel modo giusto. Questo documento non è una campagna a favore delle mani: è la mappa di uno spazio stretto e reale.</w:t>
      </w:r>
    </w:p>
    <w:bookmarkStart w:id="9" w:name="come-si-studia-questa-bibbia"/>
    <w:p>
      <w:pPr>
        <w:pStyle w:val="Heading3"/>
      </w:pPr>
      <w:r>
        <w:t xml:space="preserve">Come si studia questa Bibbia</w:t>
      </w:r>
    </w:p>
    <w:p>
      <w:pPr>
        <w:pStyle w:val="FirstParagraph"/>
      </w:pPr>
      <w:r>
        <w:t xml:space="preserve">Una prima lettura di fila, senza appunti. Una seconda con una paziente vera in testa, e solo su due capitoli: «Cosa si rompe» e «Come ragiono davanti a questa paziente».</w:t>
      </w:r>
    </w:p>
    <w:p>
      <w:pPr>
        <w:pStyle w:val="BodyText"/>
      </w:pPr>
      <w:r>
        <w:t xml:space="preserve">Poi la prova che conta. A documento chiuso, di’ ad alta voce i cinque meccanismi e da cosa si riconosce ciascuno. Quello che non sai dire non l’hai imparato.</w:t>
      </w:r>
    </w:p>
    <w:p>
      <w:pPr>
        <w:pStyle w:val="BodyText"/>
      </w:pPr>
      <w:r>
        <w:t xml:space="preserve">Prima di una paziente si guarda la Mappa, non la Bibbia. Dopo le prime tre pazienti si rileggono «Dove finisce il nostro campo» e «Cosa dice la scienza»: su questa condizione sono i due capitoli più carichi, e dicono una cosa diversa quando qualcuno ti si è già seduto davanti. A sei mesi si riguarda solo la Mappa, e il blocco che non riaccende il suo capitolo è il capitolo da rileggere.</w:t>
      </w:r>
      <w:r>
        <w:t xml:space="preserve"> </w:t>
      </w:r>
      <w:r>
        <w:rPr>
          <w:b/>
          <w:bCs/>
        </w:rPr>
        <w:t xml:space="preserve">Questa Bibbia si studia contro le pazienti, non contro l’orologio.</w:t>
      </w:r>
    </w:p>
    <w:p>
      <w:pPr>
        <w:pStyle w:val="BodyText"/>
      </w:pPr>
      <w:r>
        <w:rPr>
          <w:b/>
          <w:bCs/>
        </w:rPr>
        <w:t xml:space="preserve">Una nota di lessico.</w:t>
      </w:r>
      <w:r>
        <w:t xml:space="preserve"> </w:t>
      </w:r>
      <w:r>
        <w:t xml:space="preserve">Sette parole appartengono al metodo e non alla condizione:</w:t>
      </w:r>
      <w:r>
        <w:t xml:space="preserve"> </w:t>
      </w:r>
      <w:r>
        <w:rPr>
          <w:i/>
          <w:iCs/>
        </w:rPr>
        <w:t xml:space="preserve">marker</w:t>
      </w:r>
      <w:r>
        <w:t xml:space="preserve">,</w:t>
      </w:r>
      <w:r>
        <w:t xml:space="preserve"> </w:t>
      </w:r>
      <w:r>
        <w:rPr>
          <w:i/>
          <w:iCs/>
        </w:rPr>
        <w:t xml:space="preserve">reperto disfunzionale</w:t>
      </w:r>
      <w:r>
        <w:t xml:space="preserve">,</w:t>
      </w:r>
      <w:r>
        <w:t xml:space="preserve"> </w:t>
      </w:r>
      <w:r>
        <w:rPr>
          <w:i/>
          <w:iCs/>
        </w:rPr>
        <w:t xml:space="preserve">disfunzione somatica</w:t>
      </w:r>
      <w:r>
        <w:t xml:space="preserve">,</w:t>
      </w:r>
      <w:r>
        <w:t xml:space="preserve"> </w:t>
      </w:r>
      <w:r>
        <w:rPr>
          <w:i/>
          <w:iCs/>
        </w:rPr>
        <w:t xml:space="preserve">compenso</w:t>
      </w:r>
      <w:r>
        <w:t xml:space="preserve">,</w:t>
      </w:r>
      <w:r>
        <w:t xml:space="preserve"> </w:t>
      </w:r>
      <w:r>
        <w:rPr>
          <w:i/>
          <w:iCs/>
        </w:rPr>
        <w:t xml:space="preserve">catena</w:t>
      </w:r>
      <w:r>
        <w:t xml:space="preserve">,</w:t>
      </w:r>
      <w:r>
        <w:t xml:space="preserve"> </w:t>
      </w:r>
      <w:r>
        <w:rPr>
          <w:i/>
          <w:iCs/>
        </w:rPr>
        <w:t xml:space="preserve">sistema dominante</w:t>
      </w:r>
      <w:r>
        <w:t xml:space="preserve">,</w:t>
      </w:r>
      <w:r>
        <w:t xml:space="preserve"> </w:t>
      </w:r>
      <w:r>
        <w:rPr>
          <w:i/>
          <w:iCs/>
        </w:rPr>
        <w:t xml:space="preserve">lesione primaria</w:t>
      </w:r>
      <w:r>
        <w:t xml:space="preserve">. Ciascuna compare in un box</w:t>
      </w:r>
      <w:r>
        <w:t xml:space="preserve"> </w:t>
      </w:r>
      <w:r>
        <w:rPr>
          <w:rStyle w:val="VerbatimChar"/>
        </w:rPr>
        <w:t xml:space="preserve">Definizione</w:t>
      </w:r>
      <w:r>
        <w:t xml:space="preserve"> </w:t>
      </w:r>
      <w:r>
        <w:t xml:space="preserve">alla prima comparsa in cui regge una regola di condotta, e per esteso in Appendice A.</w:t>
      </w:r>
    </w:p>
    <w:p>
      <w:pPr>
        <w:pStyle w:val="BodyText"/>
      </w:pPr>
      <w:r>
        <w:t xml:space="preserve">Altre quattro parole non sono del metodo canonico, e si spiegano qui. Un</w:t>
      </w:r>
      <w:r>
        <w:t xml:space="preserve"> </w:t>
      </w:r>
      <w:r>
        <w:rPr>
          <w:b/>
          <w:bCs/>
        </w:rPr>
        <w:t xml:space="preserve">piano</w:t>
      </w:r>
      <w:r>
        <w:t xml:space="preserve"> </w:t>
      </w:r>
      <w:r>
        <w:t xml:space="preserve">è uno dei cinque modelli della «lettura osteopatica», letto come livello su cui lavorare.</w:t>
      </w:r>
      <w:r>
        <w:t xml:space="preserve"> </w:t>
      </w:r>
      <w:r>
        <w:rPr>
          <w:b/>
          <w:bCs/>
        </w:rPr>
        <w:t xml:space="preserve">Fuori piano</w:t>
      </w:r>
      <w:r>
        <w:t xml:space="preserve"> </w:t>
      </w:r>
      <w:r>
        <w:t xml:space="preserve">è un piano che non hai trattato. Un</w:t>
      </w:r>
      <w:r>
        <w:t xml:space="preserve"> </w:t>
      </w:r>
      <w:r>
        <w:rPr>
          <w:b/>
          <w:bCs/>
        </w:rPr>
        <w:t xml:space="preserve">salto</w:t>
      </w:r>
      <w:r>
        <w:t xml:space="preserve"> </w:t>
      </w:r>
      <w:r>
        <w:t xml:space="preserve">è la distanza fra quello che uno studio ha misurato e quello che fai tu: ogni volta che compare, il documento dichiara su quale asse cade. La</w:t>
      </w:r>
      <w:r>
        <w:t xml:space="preserve"> </w:t>
      </w:r>
      <w:r>
        <w:rPr>
          <w:b/>
          <w:bCs/>
        </w:rPr>
        <w:t xml:space="preserve">chiave di volta</w:t>
      </w:r>
      <w:r>
        <w:t xml:space="preserve"> </w:t>
      </w:r>
      <w:r>
        <w:t xml:space="preserve">è la disfunzione che, trattata, fa cedere anche il resto. Stanno tutte in Appendice A.</w:t>
      </w:r>
    </w:p>
    <w:p>
      <w:pPr>
        <w:pStyle w:val="BodyText"/>
      </w:pPr>
      <w:r>
        <w:t xml:space="preserve">Buon nutrimento!</w:t>
      </w:r>
    </w:p>
    <w:p>
      <w:pPr>
        <w:pStyle w:val="BodyText"/>
      </w:pPr>
      <w:r>
        <w:rPr>
          <w:b/>
          <w:bCs/>
        </w:rPr>
        <w:t xml:space="preserve">Le tre cose da ricordare, più una</w:t>
      </w:r>
    </w:p>
    <w:p>
      <w:pPr>
        <w:pStyle w:val="Compact"/>
        <w:numPr>
          <w:ilvl w:val="0"/>
          <w:numId w:val="1001"/>
        </w:numPr>
      </w:pPr>
      <w:r>
        <w:t xml:space="preserve">Ogni affermazione di questo documento porta la sua etichetta: la prosa afferma, l’onestà la porta il box.</w:t>
      </w:r>
    </w:p>
    <w:p>
      <w:pPr>
        <w:pStyle w:val="Compact"/>
        <w:numPr>
          <w:ilvl w:val="0"/>
          <w:numId w:val="1001"/>
        </w:numPr>
      </w:pPr>
      <w:r>
        <w:t xml:space="preserve">Il confine è netto: qui c’è il perché, nella Procedura c’è il come.</w:t>
      </w:r>
    </w:p>
    <w:p>
      <w:pPr>
        <w:pStyle w:val="Compact"/>
        <w:numPr>
          <w:ilvl w:val="0"/>
          <w:numId w:val="1001"/>
        </w:numPr>
      </w:pPr>
      <w:r>
        <w:t xml:space="preserve">Su questa condizione le etichette corrono basse, e va saputo prima di leggere, non dopo.</w:t>
      </w:r>
    </w:p>
    <w:p>
      <w:pPr>
        <w:pStyle w:val="Compact"/>
        <w:numPr>
          <w:ilvl w:val="0"/>
          <w:numId w:val="1001"/>
        </w:numPr>
      </w:pPr>
      <w:r>
        <w:rPr>
          <w:b/>
          <w:bCs/>
        </w:rPr>
        <w:t xml:space="preserve">Perché ci sei tu.</w:t>
      </w:r>
      <w:r>
        <w:t xml:space="preserve"> </w:t>
      </w:r>
      <w:r>
        <w:t xml:space="preserve">Nella sintesi più ampia di terapia manuale sul dolore mestruale, il confronto contro il finto trattamento riguarda 255 donne e dà una differenza di 0,10 punti su una scala di dieci, con l’intervallo che attraversa lo zero. Questo ti autorizza a leggere ogni etichetta di questo documento sapendo dove sta il tetto. Non ti autorizza a dire a nessuno che</w:t>
      </w:r>
      <w:r>
        <w:t xml:space="preserve"> </w:t>
      </w:r>
      <w:r>
        <w:t xml:space="preserve">“la terapia manuale funziona sul dolore mestruale”</w:t>
      </w:r>
      <w:r>
        <w:t xml:space="preserve">.</w:t>
      </w:r>
    </w:p>
    <w:p>
      <w:r>
        <w:pict>
          <v:rect style="width:0;height:1.5pt" o:hralign="center" o:hrstd="t" o:hr="t"/>
        </w:pict>
      </w:r>
    </w:p>
    <w:bookmarkEnd w:id="9"/>
    <w:bookmarkEnd w:id="10"/>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ti trovi davanti una donna che ha dolore da vent’anni, che ha già fatto tutto quello che le hanno detto di fare, e a cui nessuno ha mai guardato la pancia da fuori.</w:t>
      </w:r>
    </w:p>
    <w:bookmarkStart w:id="11" w:name="come-lo-racconta-lei"/>
    <w:p>
      <w:pPr>
        <w:pStyle w:val="Heading3"/>
      </w:pPr>
      <w:r>
        <w:t xml:space="preserve">Come lo racconta lei</w:t>
      </w:r>
    </w:p>
    <w:p>
      <w:pPr>
        <w:pStyle w:val="FirstParagraph"/>
      </w:pPr>
      <w:r>
        <w:t xml:space="preserve">Non dice</w:t>
      </w:r>
      <w:r>
        <w:t xml:space="preserve"> </w:t>
      </w:r>
      <w:r>
        <w:t xml:space="preserve">“dismenorrea”</w:t>
      </w:r>
      <w:r>
        <w:t xml:space="preserve">. Dice cose molto più precise.</w:t>
      </w:r>
    </w:p>
    <w:p>
      <w:pPr>
        <w:pStyle w:val="BodyText"/>
      </w:pPr>
      <w:r>
        <w:rPr>
          <w:i/>
          <w:iCs/>
        </w:rPr>
        <w:t xml:space="preserve">“Sono due giorni al mese in cui non esisto.”</w:t>
      </w:r>
      <w:r>
        <w:t xml:space="preserve"> </w:t>
      </w:r>
      <w:r>
        <w:t xml:space="preserve">—</w:t>
      </w:r>
      <w:r>
        <w:t xml:space="preserve"> </w:t>
      </w:r>
      <w:r>
        <w:rPr>
          <w:i/>
          <w:iCs/>
        </w:rPr>
        <w:t xml:space="preserve">“La mia strategia è sempre la stessa: pastiglia, borsa calda, posizione fetale, aspettare.”</w:t>
      </w:r>
      <w:r>
        <w:t xml:space="preserve"> </w:t>
      </w:r>
      <w:r>
        <w:t xml:space="preserve">—</w:t>
      </w:r>
      <w:r>
        <w:t xml:space="preserve"> </w:t>
      </w:r>
      <w:r>
        <w:rPr>
          <w:i/>
          <w:iCs/>
        </w:rPr>
        <w:t xml:space="preserve">“Non è solo la pancia: è la schiena bassa che mi si spacca, sono le gambe pesanti, è il mal di testa.”</w:t>
      </w:r>
      <w:r>
        <w:t xml:space="preserve"> </w:t>
      </w:r>
      <w:r>
        <w:t xml:space="preserve">—</w:t>
      </w:r>
      <w:r>
        <w:t xml:space="preserve"> </w:t>
      </w:r>
      <w:r>
        <w:rPr>
          <w:i/>
          <w:iCs/>
        </w:rPr>
        <w:t xml:space="preserve">“Guardo il calendario prima di dire sì a un viaggio.”</w:t>
      </w:r>
    </w:p>
    <w:p>
      <w:pPr>
        <w:pStyle w:val="BodyText"/>
      </w:pPr>
      <w:r>
        <w:t xml:space="preserve">E poi la frase che spiega perché arriva così tardi:</w:t>
      </w:r>
      <w:r>
        <w:t xml:space="preserve"> </w:t>
      </w:r>
      <w:r>
        <w:rPr>
          <w:i/>
          <w:iCs/>
        </w:rPr>
        <w:t xml:space="preserve">“È normale, sei una donna.”</w:t>
      </w:r>
      <w:r>
        <w:t xml:space="preserve"> </w:t>
      </w:r>
      <w:r>
        <w:t xml:space="preserve">Gliel’hanno detta da quando aveva quindici anni: la madre, le amiche, a volte un medico.</w:t>
      </w:r>
      <w:r>
        <w:t xml:space="preserve"> </w:t>
      </w:r>
      <w:r>
        <w:rPr>
          <w:b/>
          <w:bCs/>
        </w:rPr>
        <w:t xml:space="preserve">È la frase che le ha impedito per vent’anni di cercare una risposta</w:t>
      </w:r>
      <w:r>
        <w:t xml:space="preserve">, ed è il motivo per cui arriva da te a trentotto anni e non a diciotto.</w:t>
      </w:r>
    </w:p>
    <w:p>
      <w:pPr>
        <w:pStyle w:val="BodyText"/>
      </w:pPr>
      <w:r>
        <w:t xml:space="preserve">Il dolore comincia uno o due giorni prima del flusso, punta nei primi due giorni e poi cala. Crampi pulsanti al basso ventre, dolore sordo in lombare e sul sacro, irradiazione all’interno coscia. Nausea, a volte vomito. Diarrea o gonfiore. Mal di testa. Una stanchezza sproporzionata a tutto il resto.</w:t>
      </w:r>
    </w:p>
    <w:p>
      <w:pPr>
        <w:pStyle w:val="BodyText"/>
      </w:pPr>
      <w:r>
        <w:rPr>
          <w:b/>
          <w:bCs/>
        </w:rPr>
        <w:t xml:space="preserve">Sulla stanchezza, una riserva che cambia condotta.</w:t>
      </w:r>
      <w:r>
        <w:t xml:space="preserve"> </w:t>
      </w:r>
      <w:r>
        <w:t xml:space="preserve">La stanchezza non appartiene per forza al dolore. Il flusso abbondante è fra i fattori associati alla dismenorrea (Latthe,</w:t>
      </w:r>
      <w:r>
        <w:t xml:space="preserve"> </w:t>
      </w:r>
      <w:r>
        <w:rPr>
          <w:i/>
          <w:iCs/>
        </w:rPr>
        <w:t xml:space="preserve">BMJ</w:t>
      </w:r>
      <w:r>
        <w:t xml:space="preserve"> </w:t>
      </w:r>
      <w:r>
        <w:t xml:space="preserve">2006 — PMID 16484239), e riguarda sette donne su dieci fra quelle in anticoagulante orale (Samuelson Bannow, 2020 — PMID 33275699). Con un flusso abbondante la spiegazione più economica della stanchezza è la carenza di ferro, e si trova con un emocromo. Il flusso non lo commenti: lo chiedi. Se è abbondante e c’è astenia o pallore, scrivi al medico.</w:t>
      </w:r>
    </w:p>
    <w:bookmarkEnd w:id="11"/>
    <w:bookmarkStart w:id="12" w:name="cosa-ha-già-fatto"/>
    <w:p>
      <w:pPr>
        <w:pStyle w:val="Heading3"/>
      </w:pPr>
      <w:r>
        <w:t xml:space="preserve">Cosa ha già fatto</w:t>
      </w:r>
    </w:p>
    <w:p>
      <w:pPr>
        <w:pStyle w:val="FirstParagraph"/>
      </w:pPr>
      <w:r>
        <w:t xml:space="preserve">Antidolorifici da quando era ragazza, un blister al mese: reggono la giornata e non finiscono mai. La borsa dell’acqua calda, che dà un sollievo vero.</w:t>
      </w:r>
    </w:p>
    <w:p>
      <w:pPr>
        <w:pStyle w:val="BodyText"/>
      </w:pPr>
      <w:r>
        <w:t xml:space="preserve">La pillola, spesso prescritta come prima e unica risposta. Gestisce l’ormone, e negli studi di comunità il suo uso è fra le associazioni costanti con</w:t>
      </w:r>
      <w:r>
        <w:t xml:space="preserve"> </w:t>
      </w:r>
      <w:r>
        <w:rPr>
          <w:b/>
          <w:bCs/>
        </w:rPr>
        <w:t xml:space="preserve">meno</w:t>
      </w:r>
      <w:r>
        <w:t xml:space="preserve"> </w:t>
      </w:r>
      <w:r>
        <w:t xml:space="preserve">dolore (Ju,</w:t>
      </w:r>
      <w:r>
        <w:t xml:space="preserve"> </w:t>
      </w:r>
      <w:r>
        <w:rPr>
          <w:i/>
          <w:iCs/>
        </w:rPr>
        <w:t xml:space="preserve">Epidemiol Rev</w:t>
      </w:r>
      <w:r>
        <w:t xml:space="preserve"> </w:t>
      </w:r>
      <w:r>
        <w:t xml:space="preserve">2014 — PMID 24284871). Quando la smette, il quadro torna dov’era. Che le serva o no non è una cosa che commenti tu.</w:t>
      </w:r>
    </w:p>
    <w:p>
      <w:pPr>
        <w:pStyle w:val="BodyText"/>
      </w:pPr>
      <w:r>
        <w:t xml:space="preserve">Il riposo, che è l’unica strategia rimasta ed è esattamente il problema. Magnesio, tisane, stretching. TENS e calore locale.</w:t>
      </w:r>
    </w:p>
    <w:p>
      <w:pPr>
        <w:pStyle w:val="BodyText"/>
      </w:pPr>
      <w:r>
        <w:t xml:space="preserve">E l’ecografia pelvica, che è il passaggio necessario per escludere le cause strutturali. Quando torna normale, la paziente esce con una frase in mano —</w:t>
      </w:r>
      <w:r>
        <w:t xml:space="preserve"> </w:t>
      </w:r>
      <w:r>
        <w:rPr>
          <w:i/>
          <w:iCs/>
        </w:rPr>
        <w:t xml:space="preserve">“è tutto a posto”</w:t>
      </w:r>
      <w:r>
        <w:t xml:space="preserve"> </w:t>
      </w:r>
      <w:r>
        <w:t xml:space="preserve">— e senza nessuna spiegazione di cosa fa male.</w:t>
      </w:r>
    </w:p>
    <w:p>
      <w:pPr>
        <w:pStyle w:val="BodyText"/>
      </w:pPr>
      <w:r>
        <w:t xml:space="preserve">E una precisazione che condiziona tutto il capitolo sui limiti:</w:t>
      </w:r>
      <w:r>
        <w:t xml:space="preserve"> </w:t>
      </w:r>
      <w:r>
        <w:rPr>
          <w:b/>
          <w:bCs/>
        </w:rPr>
        <w:t xml:space="preserve">un’ecografia normale non è un inquadramento completo</w:t>
      </w:r>
      <w:r>
        <w:t xml:space="preserve">, e la paziente non lo sa. Perché, e con quale fonte, sta in «Che cos’è davvero».</w:t>
      </w:r>
    </w:p>
    <w:bookmarkEnd w:id="12"/>
    <w:bookmarkStart w:id="13" w:name="cosa-nessuno-ha-guardato"/>
    <w:p>
      <w:pPr>
        <w:pStyle w:val="Heading3"/>
      </w:pPr>
      <w:r>
        <w:t xml:space="preserve">Cosa nessuno ha guardato</w:t>
      </w:r>
    </w:p>
    <w:p>
      <w:pPr>
        <w:pStyle w:val="FirstParagraph"/>
      </w:pPr>
      <w:r>
        <w:t xml:space="preserve">Il percorso standard è corretto e incompleto.</w:t>
      </w:r>
    </w:p>
    <w:p>
      <w:pPr>
        <w:pStyle w:val="BodyText"/>
      </w:pPr>
      <w:r>
        <w:t xml:space="preserve">È corretto perché escludere le cause organiche viene prima, e perché l’antinfiammatorio è la prima linea con le prove migliori.</w:t>
      </w:r>
    </w:p>
    <w:p>
      <w:pPr>
        <w:pStyle w:val="BodyText"/>
      </w:pPr>
      <w:r>
        <w:t xml:space="preserve">È incompleto su tre punti, ed è lo spazio in cui lavori. Nessuno le ha palpato la parete addominale. Nessuno ha misurato niente sulla zona lombo-sacrale, che è il secondo distretto dolente del suo quadro. E nessuno le ha dedicato il tempo per spiegarle il meccanismo: il tempo di una visita ambulatoriale non è pensato per questo, e non è una colpa di chi la fa.</w:t>
      </w:r>
    </w:p>
    <w:bookmarkEnd w:id="13"/>
    <w:bookmarkStart w:id="14" w:name="e-la-ragazza-di-sedici-anni"/>
    <w:p>
      <w:pPr>
        <w:pStyle w:val="Heading3"/>
      </w:pPr>
      <w:r>
        <w:t xml:space="preserve">E la ragazza di sedici anni</w:t>
      </w:r>
    </w:p>
    <w:p>
      <w:pPr>
        <w:pStyle w:val="FirstParagraph"/>
      </w:pPr>
      <w:r>
        <w:t xml:space="preserve">Non è la stessa donna in piccolo. Arriva con la madre, ha uno o due anni dal menarca, di solito non ha fatto niente e perde scuola.</w:t>
      </w:r>
    </w:p>
    <w:p>
      <w:pPr>
        <w:pStyle w:val="BodyText"/>
      </w:pPr>
      <w:r>
        <w:t xml:space="preserve">Su di lei il criterio dei tre-sei mesi di terapia non è burocrazia: è il perno, perché è l’età in cui la causa secondaria è più frequente. E cambia il contesto. Il consenso lo dà chi ha la responsabilità genitoriale, e il contatto sull’addome basso avviene con un accompagnatore presente.</w:t>
      </w:r>
    </w:p>
    <w:p>
      <w:pPr>
        <w:pStyle w:val="BodyText"/>
      </w:pPr>
      <w:r>
        <w:rPr>
          <w:b/>
          <w:bCs/>
        </w:rPr>
        <w:t xml:space="preserve">Un fatto che non si indaga e che va saputo:</w:t>
      </w:r>
      <w:r>
        <w:t xml:space="preserve"> </w:t>
      </w:r>
      <w:r>
        <w:t xml:space="preserve">la storia di abuso sessuale è fra i fattori associati a questo dolore (Latthe, 2006 — PMID 16484239; Moussaoui e Grover, 2022 — PMID 35569788). La conseguenza operativa è una sola, ed è una regola e non una cortesia: il consenso al contatto sull’addome basso si chiede a ogni seduta, e si ritira senza spiegazioni.</w:t>
      </w:r>
    </w:p>
    <w:bookmarkEnd w:id="14"/>
    <w:bookmarkStart w:id="15" w:name="le-tre-domande-che-ti-farà"/>
    <w:p>
      <w:pPr>
        <w:pStyle w:val="Heading3"/>
      </w:pPr>
      <w:r>
        <w:t xml:space="preserve">Le tre domande che ti farà</w:t>
      </w:r>
    </w:p>
    <w:p>
      <w:pPr>
        <w:pStyle w:val="FirstParagraph"/>
      </w:pPr>
      <w:r>
        <w:rPr>
          <w:b/>
          <w:bCs/>
        </w:rPr>
        <w:t xml:space="preserve">“Ma quindi cos’ho?”</w:t>
      </w:r>
      <w:r>
        <w:t xml:space="preserve"> </w:t>
      </w:r>
      <w:r>
        <w:t xml:space="preserve">Non è tua da rispondere per intero. La risposta parziale sta in «Dove finisce il nostro campo».</w:t>
      </w:r>
    </w:p>
    <w:p>
      <w:pPr>
        <w:pStyle w:val="BodyText"/>
      </w:pPr>
      <w:r>
        <w:rPr>
          <w:b/>
          <w:bCs/>
        </w:rPr>
        <w:t xml:space="preserve">“Il ginecologo dice che è tutto a posto, allora perché mi fa male?”</w:t>
      </w:r>
      <w:r>
        <w:t xml:space="preserve"> </w:t>
      </w:r>
      <w:r>
        <w:t xml:space="preserve">Sta in «Cosa si rompe», ed è la parte che devi saper dire a memoria.</w:t>
      </w:r>
    </w:p>
    <w:p>
      <w:pPr>
        <w:pStyle w:val="BodyText"/>
      </w:pPr>
      <w:r>
        <w:rPr>
          <w:b/>
          <w:bCs/>
        </w:rPr>
        <w:t xml:space="preserve">“Posso smettere le pastiglie?”</w:t>
      </w:r>
      <w:r>
        <w:t xml:space="preserve"> </w:t>
      </w:r>
      <w:r>
        <w:t xml:space="preserve">Non è una decisione tua, e la formula sta in «Cosa dire alla paziente».</w:t>
      </w:r>
    </w:p>
    <w:p>
      <w:pPr>
        <w:pStyle w:val="BodyText"/>
      </w:pPr>
      <w:r>
        <w:rPr>
          <w:b/>
          <w:bCs/>
        </w:rPr>
        <w:t xml:space="preserve">Le tre cose da ricordare, più una</w:t>
      </w:r>
    </w:p>
    <w:p>
      <w:pPr>
        <w:pStyle w:val="Compact"/>
        <w:numPr>
          <w:ilvl w:val="0"/>
          <w:numId w:val="1002"/>
        </w:numPr>
      </w:pPr>
      <w:r>
        <w:t xml:space="preserve">Arriva stanca e diffidente perché per vent’anni le hanno risposto con una frase, non con un meccanismo.</w:t>
      </w:r>
    </w:p>
    <w:p>
      <w:pPr>
        <w:pStyle w:val="Compact"/>
        <w:numPr>
          <w:ilvl w:val="0"/>
          <w:numId w:val="1002"/>
        </w:numPr>
      </w:pPr>
      <w:r>
        <w:t xml:space="preserve">Il suo quadro non è solo la pancia: schiena bassa, cosce, testa, intestino fanno parte del sintomo e nel percorso standard non hanno un titolare.</w:t>
      </w:r>
    </w:p>
    <w:p>
      <w:pPr>
        <w:pStyle w:val="Compact"/>
        <w:numPr>
          <w:ilvl w:val="0"/>
          <w:numId w:val="1002"/>
        </w:numPr>
      </w:pPr>
      <w:r>
        <w:t xml:space="preserve">L’ecografia normale che ha in mano esclude molto e non esclude tutto: sapere cosa non esclude è la prima cosa che le porti di nuovo.</w:t>
      </w:r>
    </w:p>
    <w:p>
      <w:pPr>
        <w:pStyle w:val="Compact"/>
        <w:numPr>
          <w:ilvl w:val="0"/>
          <w:numId w:val="1002"/>
        </w:numPr>
      </w:pPr>
      <w:r>
        <w:rPr>
          <w:b/>
          <w:bCs/>
        </w:rPr>
        <w:t xml:space="preserve">Perché ci sei tu.</w:t>
      </w:r>
      <w:r>
        <w:t xml:space="preserve"> </w:t>
      </w:r>
      <w:r>
        <w:t xml:space="preserve">Fra le ragazze e le giovani donne con dolore mestruale, una su cinque salta scuola o università per quel dolore, e quattro su dieci dicono che la concentrazione in classe ne risente (Armour,</w:t>
      </w:r>
      <w:r>
        <w:t xml:space="preserve"> </w:t>
      </w:r>
      <w:r>
        <w:rPr>
          <w:i/>
          <w:iCs/>
        </w:rPr>
        <w:t xml:space="preserve">J Womens Health</w:t>
      </w:r>
      <w:r>
        <w:t xml:space="preserve"> </w:t>
      </w:r>
      <w:r>
        <w:t xml:space="preserve">2019, 21.573 giovani donne — PMID 31170024). Questo ti autorizza a misurare il risultato sulle giornate perse invece che sul numero della scala del dolore. Non ti autorizza a promettere che quelle giornate tornino.</w:t>
      </w:r>
    </w:p>
    <w:p>
      <w:r>
        <w:pict>
          <v:rect style="width:0;height:1.5pt" o:hralign="center" o:hrstd="t" o:hr="t"/>
        </w:pict>
      </w:r>
    </w:p>
    <w:bookmarkEnd w:id="15"/>
    <w:bookmarkEnd w:id="16"/>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il ciclo doloroso è un dolore da contrazione uterina, che nella maggior parte dei casi non ha una lesione sotto — e in una minoranza tutt’altro che rara, invece, ce l’ha.</w:t>
      </w:r>
    </w:p>
    <w:bookmarkStart w:id="17" w:name="la-definizione"/>
    <w:p>
      <w:pPr>
        <w:pStyle w:val="Heading3"/>
      </w:pPr>
      <w:r>
        <w:t xml:space="preserve">La definizione</w:t>
      </w:r>
    </w:p>
    <w:p>
      <w:pPr>
        <w:pStyle w:val="FirstParagraph"/>
      </w:pPr>
      <w:r>
        <w:rPr>
          <w:b/>
          <w:bCs/>
        </w:rPr>
        <w:t xml:space="preserve">Dismenorrea</w:t>
      </w:r>
      <w:r>
        <w:t xml:space="preserve"> </w:t>
      </w:r>
      <w:r>
        <w:t xml:space="preserve">è dolore mestruale crampiforme di origine uterina. Si divide in due, e la divisione è tutto.</w:t>
      </w:r>
    </w:p>
    <w:p>
      <w:pPr>
        <w:pStyle w:val="Compact"/>
        <w:numPr>
          <w:ilvl w:val="0"/>
          <w:numId w:val="1003"/>
        </w:numPr>
      </w:pPr>
      <w:r>
        <w:rPr>
          <w:b/>
          <w:bCs/>
        </w:rPr>
        <w:t xml:space="preserve">Primaria</w:t>
      </w:r>
      <w:r>
        <w:t xml:space="preserve"> </w:t>
      </w:r>
      <w:r>
        <w:t xml:space="preserve">— dolore mestruale in assenza di patologia pelvica dimostrabile. Comincia entro sei-dodici mesi dal menarca, quando i cicli diventano ovulatori. Il dolore parte poche ore prima del flusso o con il flusso, e dura da uno a tre giorni.</w:t>
      </w:r>
    </w:p>
    <w:p>
      <w:pPr>
        <w:pStyle w:val="Compact"/>
        <w:numPr>
          <w:ilvl w:val="0"/>
          <w:numId w:val="1003"/>
        </w:numPr>
      </w:pPr>
      <w:r>
        <w:rPr>
          <w:b/>
          <w:bCs/>
        </w:rPr>
        <w:t xml:space="preserve">Secondaria</w:t>
      </w:r>
      <w:r>
        <w:t xml:space="preserve"> </w:t>
      </w:r>
      <w:r>
        <w:t xml:space="preserve">— dolore mestruale dovuto a una patologia pelvica o a una condizione riconosciuta. Nell’adolescente e nella giovane donna la causa principale è l’endometriosi (ACOG Committee Opinion No. 760,</w:t>
      </w:r>
      <w:r>
        <w:t xml:space="preserve"> </w:t>
      </w:r>
      <w:r>
        <w:rPr>
          <w:i/>
          <w:iCs/>
        </w:rPr>
        <w:t xml:space="preserve">Obstet Gynecol</w:t>
      </w:r>
      <w:r>
        <w:t xml:space="preserve"> </w:t>
      </w:r>
      <w:r>
        <w:t xml:space="preserve">2018 — PMID 30461694).</w:t>
      </w:r>
    </w:p>
    <w:p>
      <w:pPr>
        <w:pStyle w:val="FirstParagraph"/>
      </w:pPr>
      <w:r>
        <w:t xml:space="preserve">La diagnosi è atto medico. Tu fai tre cose: leggi il referto che la paziente porta, riconosci il pattern che ti dice di mandarla indietro, e lavori su ciò che hai trovato con le mani.</w:t>
      </w:r>
    </w:p>
    <w:bookmarkEnd w:id="17"/>
    <w:bookmarkStart w:id="18" w:name="quanto-è-diffusa"/>
    <w:p>
      <w:pPr>
        <w:pStyle w:val="Heading3"/>
      </w:pPr>
      <w:r>
        <w:t xml:space="preserve">Quanto è diffusa</w:t>
      </w:r>
    </w:p>
    <w:p>
      <w:pPr>
        <w:pStyle w:val="FirstParagraph"/>
      </w:pPr>
      <w:r>
        <w:t xml:space="preserve">La prevalenza varia moltissimo, perché dipende da come si pone la domanda.</w:t>
      </w:r>
      <w:r>
        <w:t xml:space="preserve"> </w:t>
      </w:r>
      <w:r>
        <w:t xml:space="preserve">“Hai dolore con il ciclo”</w:t>
      </w:r>
      <w:r>
        <w:t xml:space="preserve"> </w:t>
      </w:r>
      <w:r>
        <w:t xml:space="preserve">porta il numero molto in alto.</w:t>
      </w:r>
      <w:r>
        <w:t xml:space="preserve"> </w:t>
      </w:r>
      <w:r>
        <w:t xml:space="preserve">“Hai dolore che ti limita”</w:t>
      </w:r>
      <w:r>
        <w:t xml:space="preserve"> </w:t>
      </w:r>
      <w:r>
        <w:t xml:space="preserve">lo fa scendere.</w:t>
      </w:r>
    </w:p>
    <w:p>
      <w:pPr>
        <w:pStyle w:val="BodyText"/>
      </w:pPr>
      <w:r>
        <w:t xml:space="preserve">Fra le giovani donne sotto i venticinque anni il dolore mestruale riguarda circa sette su dieci (71,1%), e il dato non cambia col reddito del Paese (Armour,</w:t>
      </w:r>
      <w:r>
        <w:t xml:space="preserve"> </w:t>
      </w:r>
      <w:r>
        <w:rPr>
          <w:i/>
          <w:iCs/>
        </w:rPr>
        <w:t xml:space="preserve">J Womens Health</w:t>
      </w:r>
      <w:r>
        <w:t xml:space="preserve"> </w:t>
      </w:r>
      <w:r>
        <w:t xml:space="preserve">2019, 21.573 giovani donne — PMID 31170024).</w:t>
      </w:r>
    </w:p>
    <w:p>
      <w:pPr>
        <w:pStyle w:val="BodyText"/>
      </w:pPr>
      <w:r>
        <w:t xml:space="preserve">In età fertile la forbice è più larga, fra il 16% e il 91%. Il</w:t>
      </w:r>
      <w:r>
        <w:t xml:space="preserve"> </w:t>
      </w:r>
      <w:r>
        <w:rPr>
          <w:b/>
          <w:bCs/>
        </w:rPr>
        <w:t xml:space="preserve">dolore grave, quello che limita le attività quotidiane, riguarda fra due e ventinove donne su cento</w:t>
      </w:r>
      <w:r>
        <w:t xml:space="preserve"> </w:t>
      </w:r>
      <w:r>
        <w:t xml:space="preserve">(Ju,</w:t>
      </w:r>
      <w:r>
        <w:t xml:space="preserve"> </w:t>
      </w:r>
      <w:r>
        <w:rPr>
          <w:i/>
          <w:iCs/>
        </w:rPr>
        <w:t xml:space="preserve">Epidemiol Rev</w:t>
      </w:r>
      <w:r>
        <w:t xml:space="preserve"> </w:t>
      </w:r>
      <w:r>
        <w:t xml:space="preserve">2014, quindici studi di comunità — PMID 24284871). Anche questa forbice è larga, perché «grave» è definito in modo diverso da studio a studio: con una scala, con i giorni persi o con il ricorso al farmaco. A voce non citare un numero: di’ che il dolore che ferma riguarda una minoranza.</w:t>
      </w:r>
    </w:p>
    <w:p>
      <w:pPr>
        <w:pStyle w:val="BodyText"/>
      </w:pPr>
      <w:r>
        <w:rPr>
          <w:b/>
          <w:bCs/>
        </w:rPr>
        <w:t xml:space="preserve">Per te:</w:t>
      </w:r>
      <w:r>
        <w:t xml:space="preserve"> </w:t>
      </w:r>
      <w:r>
        <w:t xml:space="preserve">il numero che ti riguarda è il secondo. La donna che prende un appuntamento è quella del dolore che ferma. Saperlo serve a due cose. Ti fa dire in stanza una frase vera che nessuno le ha ancora detto:</w:t>
      </w:r>
      <w:r>
        <w:t xml:space="preserve"> </w:t>
      </w:r>
      <w:r>
        <w:rPr>
          <w:i/>
          <w:iCs/>
        </w:rPr>
        <w:t xml:space="preserve">“che il ciclo si senta è comune; che ti cancelli due giorni al mese non è la norma”</w:t>
      </w:r>
      <w:r>
        <w:t xml:space="preserve">. E ti ricorda che la tua casistica è già selezionata verso il grave.</w:t>
      </w:r>
    </w:p>
    <w:bookmarkEnd w:id="18"/>
    <w:bookmarkStart w:id="19" w:name="come-evolve-se-non-fai-nulla"/>
    <w:p>
      <w:pPr>
        <w:pStyle w:val="Heading3"/>
      </w:pPr>
      <w:r>
        <w:t xml:space="preserve">Come evolve se non fai nulla</w:t>
      </w:r>
    </w:p>
    <w:p>
      <w:pPr>
        <w:pStyle w:val="FirstParagraph"/>
      </w:pPr>
      <w:r>
        <w:t xml:space="preserve">Tre fatti, in ordine di utilità.</w:t>
      </w:r>
    </w:p>
    <w:p>
      <w:pPr>
        <w:pStyle w:val="BodyText"/>
      </w:pPr>
      <w:r>
        <w:t xml:space="preserve">Il dolore</w:t>
      </w:r>
      <w:r>
        <w:t xml:space="preserve"> </w:t>
      </w:r>
      <w:r>
        <w:rPr>
          <w:b/>
          <w:bCs/>
        </w:rPr>
        <w:t xml:space="preserve">tende a ridursi con l’età, con le gravidanze e con l’uso della pillola</w:t>
      </w:r>
      <w:r>
        <w:t xml:space="preserve">, e queste tre associazioni sono costanti negli studi di comunità (Ju,</w:t>
      </w:r>
      <w:r>
        <w:t xml:space="preserve"> </w:t>
      </w:r>
      <w:r>
        <w:rPr>
          <w:i/>
          <w:iCs/>
        </w:rPr>
        <w:t xml:space="preserve">Epidemiol Rev</w:t>
      </w:r>
      <w:r>
        <w:t xml:space="preserve"> </w:t>
      </w:r>
      <w:r>
        <w:t xml:space="preserve">2014 — PMID 24284871). È la ragione per cui una parte del miglioramento che vedrai non è tua.</w:t>
      </w:r>
    </w:p>
    <w:p>
      <w:pPr>
        <w:pStyle w:val="BodyText"/>
      </w:pPr>
      <w:r>
        <w:t xml:space="preserve">Il dolore</w:t>
      </w:r>
      <w:r>
        <w:t xml:space="preserve"> </w:t>
      </w:r>
      <w:r>
        <w:rPr>
          <w:b/>
          <w:bCs/>
        </w:rPr>
        <w:t xml:space="preserve">oscilla di ciclo in ciclo</w:t>
      </w:r>
      <w:r>
        <w:t xml:space="preserve">, molto. Un ciclo buono dopo una seduta non è un risultato: è la varianza normale della condizione. È il semaforo trovato verde: capita, e non vuol dire che hai preso la strada giusta. Per questo qui il marker si misura su due cicli. E anche due cicli sono una finestra stretta: la revisione serve a decidere una condotta, non a stabilire un effetto.</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della paziente: è il segno che ti dice se la tua ipotesi era giusta. I quattro marker di questa condizione, con le loro soglie e i loro limiti, stanno in «Come ragiono davanti a questa paziente».</w:t>
      </w:r>
    </w:p>
    <w:p>
      <w:pPr>
        <w:pStyle w:val="FirstParagraph"/>
      </w:pPr>
      <w:r>
        <w:t xml:space="preserve">E la direzione che conta di più:</w:t>
      </w:r>
      <w:r>
        <w:t xml:space="preserve"> </w:t>
      </w:r>
      <w:r>
        <w:rPr>
          <w:b/>
          <w:bCs/>
        </w:rPr>
        <w:t xml:space="preserve">un quadro che peggiora ciclo dopo ciclo, anno dopo anno, è il pattern che va rimandato al ginecologo.</w:t>
      </w:r>
      <w:r>
        <w:t xml:space="preserve"> </w:t>
      </w:r>
      <w:r>
        <w:t xml:space="preserve">Lo trovi nella tabella delle bandiere rosse, e si usa come rete, non come prova.</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con la prova contraria da nominare. Nel solo studio longitudinale sulla condizione — 404 donne senza patologia pelvica, sei anni — miglioramento e peggioramento risultano</w:t>
      </w:r>
      <w:r>
        <w:t xml:space="preserve"> </w:t>
      </w:r>
      <w:r>
        <w:rPr>
          <w:b/>
          <w:bCs/>
        </w:rPr>
        <w:t xml:space="preserve">ugualmente probabili</w:t>
      </w:r>
      <w:r>
        <w:t xml:space="preserve"> </w:t>
      </w:r>
      <w:r>
        <w:t xml:space="preserve">(Weissman,</w:t>
      </w:r>
      <w:r>
        <w:t xml:space="preserve"> </w:t>
      </w:r>
      <w:r>
        <w:rPr>
          <w:i/>
          <w:iCs/>
        </w:rPr>
        <w:t xml:space="preserve">BJOG</w:t>
      </w:r>
      <w:r>
        <w:t xml:space="preserve"> </w:t>
      </w:r>
      <w:r>
        <w:t xml:space="preserve">2004 — PMID 15008771). Il peggioramento pluriennale</w:t>
      </w:r>
      <w:r>
        <w:t xml:space="preserve"> </w:t>
      </w:r>
      <w:r>
        <w:rPr>
          <w:b/>
          <w:bCs/>
        </w:rPr>
        <w:t xml:space="preserve">non è specifico</w:t>
      </w:r>
      <w:r>
        <w:t xml:space="preserve"> </w:t>
      </w:r>
      <w:r>
        <w:t xml:space="preserve">della forma secondaria: resta il criterio migliore che hai per decidere di scrivere, e non è un criterio diagnostico.</w:t>
      </w:r>
    </w:p>
    <w:bookmarkEnd w:id="19"/>
    <w:bookmarkStart w:id="20" w:name="X6820c7f04c7379b5930bec9ad9aa3ee0e127e21"/>
    <w:p>
      <w:pPr>
        <w:pStyle w:val="Heading3"/>
      </w:pPr>
      <w:r>
        <w:t xml:space="preserve">Cosa dicono le etichette che porta, e cosa non dicono</w:t>
      </w:r>
    </w:p>
    <w:p>
      <w:pPr>
        <w:pStyle w:val="FirstParagraph"/>
      </w:pPr>
      <w:r>
        <w:rPr>
          <w:b/>
          <w:bCs/>
        </w:rPr>
        <w:t xml:space="preserve">“Ecografia pelvica nella norma”</w:t>
      </w:r>
      <w:r>
        <w:t xml:space="preserve"> </w:t>
      </w:r>
      <w:r>
        <w:t xml:space="preserve">dice che non ci sono cisti, fibromi visibili o raccolte, e che l’utero non depone per un’adenomiosi evidente.</w:t>
      </w:r>
      <w:r>
        <w:t xml:space="preserve"> </w:t>
      </w:r>
      <w:r>
        <w:rPr>
          <w:b/>
          <w:bCs/>
        </w:rPr>
        <w:t xml:space="preserve">Non dice</w:t>
      </w:r>
      <w:r>
        <w:t xml:space="preserve"> </w:t>
      </w:r>
      <w:r>
        <w:t xml:space="preserve">che non c’è endometriosi peritoneale superficiale: le linee guida europee lo scrivono come raccomandazione forte (Becker,</w:t>
      </w:r>
      <w:r>
        <w:t xml:space="preserve"> </w:t>
      </w:r>
      <w:r>
        <w:rPr>
          <w:i/>
          <w:iCs/>
        </w:rPr>
        <w:t xml:space="preserve">Hum Reprod Open</w:t>
      </w:r>
      <w:r>
        <w:t xml:space="preserve"> </w:t>
      </w:r>
      <w:r>
        <w:t xml:space="preserve">2022 — PMID 35350465).</w:t>
      </w:r>
    </w:p>
    <w:p>
      <w:pPr>
        <w:pStyle w:val="BodyText"/>
      </w:pPr>
      <w:r>
        <w:rPr>
          <w:b/>
          <w:bCs/>
        </w:rPr>
        <w:t xml:space="preserve">“Dismenorrea primaria”</w:t>
      </w:r>
      <w:r>
        <w:t xml:space="preserve"> </w:t>
      </w:r>
      <w:r>
        <w:t xml:space="preserve">su un referto dice che il medico non ha trovato una causa. È una diagnosi di esclusione, e la sua tenuta dipende da quanto tempo è passato e da quanto il quadro è cambiato.</w:t>
      </w:r>
    </w:p>
    <w:p>
      <w:pPr>
        <w:pStyle w:val="BodyText"/>
      </w:pPr>
      <w:r>
        <w:rPr>
          <w:b/>
          <w:bCs/>
        </w:rPr>
        <w:t xml:space="preserve">“Sindrome premestruale”</w:t>
      </w:r>
      <w:r>
        <w:t xml:space="preserve"> </w:t>
      </w:r>
      <w:r>
        <w:t xml:space="preserve">è un’altra cosa. Riguarda i giorni prima del flusso, e sintomi in larga parte non dolorosi. Si sovrappone al ciclo doloroso e non coincide con esso.</w:t>
      </w:r>
    </w:p>
    <w:bookmarkEnd w:id="20"/>
    <w:bookmarkStart w:id="21" w:name="cosa-non-è"/>
    <w:p>
      <w:pPr>
        <w:pStyle w:val="Heading3"/>
      </w:pPr>
      <w:r>
        <w:t xml:space="preserve">Cosa non è</w:t>
      </w:r>
    </w:p>
    <w:p>
      <w:pPr>
        <w:pStyle w:val="Compact"/>
        <w:numPr>
          <w:ilvl w:val="0"/>
          <w:numId w:val="1004"/>
        </w:numPr>
      </w:pPr>
      <w:r>
        <w:rPr>
          <w:b/>
          <w:bCs/>
        </w:rPr>
        <w:t xml:space="preserve">Endometriosi e adenomiosi.</w:t>
      </w:r>
      <w:r>
        <w:t xml:space="preserve"> </w:t>
      </w:r>
      <w:r>
        <w:t xml:space="preserve">Somigliano moltissimo al ciclo doloroso, all’inizio. Le separano due cose: il dolore che va oltre i giorni di flusso, e la mancata risposta a farmaco più ormone dopo tre-sei mesi. L’elenco intero dei separatori sta nella tabella delle bandiere rosse.</w:t>
      </w:r>
    </w:p>
    <w:p>
      <w:pPr>
        <w:pStyle w:val="Compact"/>
        <w:numPr>
          <w:ilvl w:val="0"/>
          <w:numId w:val="1004"/>
        </w:numPr>
      </w:pPr>
      <w:r>
        <w:rPr>
          <w:b/>
          <w:bCs/>
        </w:rPr>
        <w:t xml:space="preserve">Dolore pelvico cronico.</w:t>
      </w:r>
      <w:r>
        <w:t xml:space="preserve"> </w:t>
      </w:r>
      <w:r>
        <w:t xml:space="preserve">È presente anche fuori dal ciclo e, per definizione, dura più di sei mesi. Il ciclo doloroso può esserne l’anticamera, non il sinonimo.</w:t>
      </w:r>
    </w:p>
    <w:p>
      <w:pPr>
        <w:pStyle w:val="Compact"/>
        <w:numPr>
          <w:ilvl w:val="0"/>
          <w:numId w:val="1004"/>
        </w:numPr>
      </w:pPr>
      <w:r>
        <w:rPr>
          <w:b/>
          <w:bCs/>
        </w:rPr>
        <w:t xml:space="preserve">Colon irritabile con esacerbazione mestruale.</w:t>
      </w:r>
      <w:r>
        <w:t xml:space="preserve"> </w:t>
      </w:r>
      <w:r>
        <w:t xml:space="preserve">Il dolore segue l’evacuazione e la dieta più del calendario, e le due condizioni si amplificano a vicenda.</w:t>
      </w:r>
    </w:p>
    <w:p>
      <w:pPr>
        <w:pStyle w:val="Compact"/>
        <w:numPr>
          <w:ilvl w:val="0"/>
          <w:numId w:val="1004"/>
        </w:numPr>
      </w:pPr>
      <w:r>
        <w:rPr>
          <w:b/>
          <w:bCs/>
        </w:rPr>
        <w:t xml:space="preserve">Dolore da dispositivo intrauterino al rame.</w:t>
      </w:r>
      <w:r>
        <w:t xml:space="preserve"> </w:t>
      </w:r>
      <w:r>
        <w:t xml:space="preserve">Ha una causa nota, ed è il motivo per cui le revisioni sistematiche lo escludono dalla forma primaria.</w:t>
      </w:r>
    </w:p>
    <w:p>
      <w:pPr>
        <w:pStyle w:val="FirstParagraph"/>
      </w:pPr>
      <w:r>
        <w:rPr>
          <w:b/>
          <w:bCs/>
        </w:rPr>
        <w:t xml:space="preserve">Le tre cose da ricordare, più una</w:t>
      </w:r>
    </w:p>
    <w:p>
      <w:pPr>
        <w:pStyle w:val="Compact"/>
        <w:numPr>
          <w:ilvl w:val="0"/>
          <w:numId w:val="1005"/>
        </w:numPr>
      </w:pPr>
      <w:r>
        <w:t xml:space="preserve">Primaria e secondaria si somigliano all’inizio e si separano nel tempo: il decorso è il criterio migliore che hai per decidere di scrivere, e non è un criterio diagnostico.</w:t>
      </w:r>
    </w:p>
    <w:p>
      <w:pPr>
        <w:pStyle w:val="Compact"/>
        <w:numPr>
          <w:ilvl w:val="0"/>
          <w:numId w:val="1005"/>
        </w:numPr>
      </w:pPr>
      <w:r>
        <w:t xml:space="preserve">Una parte del miglioramento appartiene all’età, alla parità e all’oscillazione spontanea: misurare su due cicli è ciò che ti protegge dal prendertene il merito.</w:t>
      </w:r>
    </w:p>
    <w:p>
      <w:pPr>
        <w:pStyle w:val="Compact"/>
        <w:numPr>
          <w:ilvl w:val="0"/>
          <w:numId w:val="1005"/>
        </w:numPr>
      </w:pPr>
      <w:r>
        <w:t xml:space="preserve">Un’ecografia normale è un’informazione importante e parziale, e la paziente la legge come definitiva.</w:t>
      </w:r>
    </w:p>
    <w:p>
      <w:pPr>
        <w:pStyle w:val="Compact"/>
        <w:numPr>
          <w:ilvl w:val="0"/>
          <w:numId w:val="1005"/>
        </w:numPr>
      </w:pPr>
      <w:r>
        <w:rPr>
          <w:b/>
          <w:bCs/>
        </w:rPr>
        <w:t xml:space="preserve">Perché ci sei tu.</w:t>
      </w:r>
      <w:r>
        <w:t xml:space="preserve"> </w:t>
      </w:r>
      <w:r>
        <w:t xml:space="preserve">Nella popolazione femminile la prevalenza del dolore mestruale sta fra il 16% e il 91% a seconda di come si pone la domanda, ma il dolore che limita le attività riguarda fra due e ventinove donne su cento (Ju, 2014 — PMID 24284871). Questo ti autorizza a dire alla tua paziente che il dolore che ferma non è la norma statistica. Non ti autorizza a dirle che il suo caso è raro: non lo è.</w:t>
      </w:r>
    </w:p>
    <w:p>
      <w:r>
        <w:pict>
          <v:rect style="width:0;height:1.5pt" o:hralign="center" o:hrstd="t" o:hr="t"/>
        </w:pict>
      </w:r>
    </w:p>
    <w:bookmarkEnd w:id="21"/>
    <w:bookmarkEnd w:id="22"/>
    <w:bookmarkStart w:id="29" w:name="capitolo-3-le-strutture-in-gioco"/>
    <w:p>
      <w:pPr>
        <w:pStyle w:val="Heading2"/>
      </w:pPr>
      <w:r>
        <w:t xml:space="preserve">Capitolo 3 — Le strutture in gioco</w:t>
      </w:r>
    </w:p>
    <w:p>
      <w:pPr>
        <w:pStyle w:val="BlockText"/>
      </w:pPr>
      <w:r>
        <w:rPr>
          <w:b/>
          <w:bCs/>
        </w:rPr>
        <w:t xml:space="preserve">In una riga:</w:t>
      </w:r>
      <w:r>
        <w:t xml:space="preserve"> </w:t>
      </w:r>
      <w:r>
        <w:t xml:space="preserve">l’utero manda il suo dolore a T10-L1 e il collo dell’utero a S2-S4, e questo spiega da solo perché il dolore mestruale finisce sulla parete addominale, sulla lombare bassa e all’interno coscia.</w:t>
      </w:r>
    </w:p>
    <w:p>
      <w:pPr>
        <w:pStyle w:val="FirstParagraph"/>
      </w:pPr>
      <w:r>
        <w:t xml:space="preserve">Sei strutture, e nient’altro. Il criterio è questo: se non compare in un meccanismo di «Cosa si rompe», non è qui.</w:t>
      </w:r>
    </w:p>
    <w:bookmarkStart w:id="23" w:name="il-miometrio"/>
    <w:p>
      <w:pPr>
        <w:pStyle w:val="Heading3"/>
      </w:pPr>
      <w:r>
        <w:t xml:space="preserve">1. Il miometrio</w:t>
      </w:r>
    </w:p>
    <w:p>
      <w:pPr>
        <w:pStyle w:val="FirstParagraph"/>
      </w:pPr>
      <w:r>
        <w:rPr>
          <w:b/>
          <w:bCs/>
        </w:rPr>
        <w:t xml:space="preserve">Cos’è:</w:t>
      </w:r>
      <w:r>
        <w:t xml:space="preserve"> </w:t>
      </w:r>
      <w:r>
        <w:t xml:space="preserve">lo strato muscolare dell’utero, spesso e a fibre intrecciate.</w:t>
      </w:r>
      <w:r>
        <w:t xml:space="preserve"> </w:t>
      </w:r>
      <w:r>
        <w:rPr>
          <w:b/>
          <w:bCs/>
        </w:rPr>
        <w:t xml:space="preserve">Cosa fa:</w:t>
      </w:r>
      <w:r>
        <w:t xml:space="preserve"> </w:t>
      </w:r>
      <w:r>
        <w:t xml:space="preserve">si contrae in modo ritmico, durante la mestruazione, per espellere l’endometrio sfaldato.</w:t>
      </w:r>
      <w:r>
        <w:t xml:space="preserve"> </w:t>
      </w:r>
      <w:r>
        <w:rPr>
          <w:b/>
          <w:bCs/>
        </w:rPr>
        <w:t xml:space="preserve">Perché conta:</w:t>
      </w:r>
      <w:r>
        <w:t xml:space="preserve"> </w:t>
      </w:r>
      <w:r>
        <w:t xml:space="preserve">è il generatore. Quando le contrazioni sono troppo frequenti, troppo forti e con un tono di base alto, il sangue non rientra fra una contrazione e l’altra. Da lì il dolore.</w:t>
      </w:r>
    </w:p>
    <w:bookmarkEnd w:id="23"/>
    <w:bookmarkStart w:id="24" w:name="le-vie-del-dolore-uterino-t10-l1-e-s2-s4"/>
    <w:p>
      <w:pPr>
        <w:pStyle w:val="Heading3"/>
      </w:pPr>
      <w:r>
        <w:t xml:space="preserve">2. Le vie del dolore uterino — T10-L1 e S2-S4</w:t>
      </w:r>
    </w:p>
    <w:p>
      <w:pPr>
        <w:pStyle w:val="FirstParagraph"/>
      </w:pPr>
      <w:r>
        <w:rPr>
          <w:b/>
          <w:bCs/>
        </w:rPr>
        <w:t xml:space="preserve">Cosa sono:</w:t>
      </w:r>
      <w:r>
        <w:t xml:space="preserve"> </w:t>
      </w:r>
      <w:r>
        <w:t xml:space="preserve">due vie nervose distinte. Il corpo dell’utero manda i suoi segnali dolorosi lungo i nervi ipogastrici verso i livelli spinali</w:t>
      </w:r>
      <w:r>
        <w:t xml:space="preserve"> </w:t>
      </w:r>
      <w:r>
        <w:rPr>
          <w:b/>
          <w:bCs/>
        </w:rPr>
        <w:t xml:space="preserve">da T10 a L1</w:t>
      </w:r>
      <w:r>
        <w:t xml:space="preserve">. Il collo dell’utero e la parte alta della vagina li mandano invece ai</w:t>
      </w:r>
      <w:r>
        <w:t xml:space="preserve"> </w:t>
      </w:r>
      <w:r>
        <w:rPr>
          <w:b/>
          <w:bCs/>
        </w:rPr>
        <w:t xml:space="preserve">livelli sacrali S2-S4</w:t>
      </w:r>
      <w:r>
        <w:t xml:space="preserve">, attraverso i nervi pelvici (StatPearls,</w:t>
      </w:r>
      <w:r>
        <w:t xml:space="preserve"> </w:t>
      </w:r>
      <w:r>
        <w:rPr>
          <w:i/>
          <w:iCs/>
        </w:rPr>
        <w:t xml:space="preserve">Anatomy, Abdomen and Pelvis: Uterus</w:t>
      </w:r>
      <w:r>
        <w:t xml:space="preserve"> </w:t>
      </w:r>
      <w:r>
        <w:t xml:space="preserve">— PMID 29262069).</w:t>
      </w:r>
      <w:r>
        <w:t xml:space="preserve"> </w:t>
      </w:r>
      <w:r>
        <w:rPr>
          <w:b/>
          <w:bCs/>
        </w:rPr>
        <w:t xml:space="preserve">Cosa fanno:</w:t>
      </w:r>
      <w:r>
        <w:t xml:space="preserve"> </w:t>
      </w:r>
      <w:r>
        <w:t xml:space="preserve">portano il segnale al midollo. Lì il segnale converge con quello dei muscoli e della pelle dei medesimi segmenti.</w:t>
      </w:r>
      <w:r>
        <w:t xml:space="preserve"> </w:t>
      </w:r>
      <w:r>
        <w:rPr>
          <w:b/>
          <w:bCs/>
        </w:rPr>
        <w:t xml:space="preserve">Perché conta:</w:t>
      </w:r>
      <w:r>
        <w:t xml:space="preserve"> </w:t>
      </w:r>
      <w:r>
        <w:t xml:space="preserve">è la ragione anatomica per cui il dolore mestruale non resta dentro. T10-L1 comprende la parete addominale sotto l’ombelico, la lombare bassa e la piega inguinale con l’interno coscia.</w:t>
      </w:r>
      <w:r>
        <w:t xml:space="preserve"> </w:t>
      </w:r>
      <w:r>
        <w:rPr>
          <w:b/>
          <w:bCs/>
        </w:rPr>
        <w:t xml:space="preserve">Il territorio di riferimento del dolore uterino è esattamente la mappa dei sintomi che la paziente ti elenca.</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t xml:space="preserve">Qui la catena non è fasciale: è segmentaria. Il collegamento fra utero e parete addominale non passa da un piano di scorrimento. Passa dal midollo.</w:t>
      </w:r>
    </w:p>
    <w:p>
      <w:pPr>
        <w:pStyle w:val="BodyText"/>
      </w:pPr>
      <w:r>
        <w:rPr>
          <w:b/>
          <w:bCs/>
        </w:rPr>
        <w:t xml:space="preserve">La chicca.</w:t>
      </w:r>
      <w:r>
        <w:t xml:space="preserve"> </w:t>
      </w:r>
      <w:r>
        <w:t xml:space="preserve">La mappa dice anche cosa</w:t>
      </w:r>
      <w:r>
        <w:t xml:space="preserve"> </w:t>
      </w:r>
      <w:r>
        <w:rPr>
          <w:b/>
          <w:bCs/>
        </w:rPr>
        <w:t xml:space="preserve">non</w:t>
      </w:r>
      <w:r>
        <w:t xml:space="preserve"> </w:t>
      </w:r>
      <w:r>
        <w:t xml:space="preserve">c’entra. L’utero non proietta al collo, né alla spalla, né alla dorsale media. Se una paziente ti porta cervicalgia mestruale, quella non è riferita dall’utero: è un’altra storia, e ha un suo capitolo — la Bibbia della cefalea.</w:t>
      </w:r>
    </w:p>
    <w:p>
      <w:pPr>
        <w:pStyle w:val="BodyText"/>
      </w:pPr>
      <w:r>
        <w:rPr>
          <w:b/>
          <w:bCs/>
        </w:rPr>
        <w:t xml:space="preserve">C’è però un’eccezione, e va imparata a memoria, perché va nella direzione opposta.</w:t>
      </w:r>
      <w:r>
        <w:t xml:space="preserve"> </w:t>
      </w:r>
      <w:r>
        <w:t xml:space="preserve">Un dolore ciclico alla</w:t>
      </w:r>
      <w:r>
        <w:t xml:space="preserve"> </w:t>
      </w:r>
      <w:r>
        <w:rPr>
          <w:b/>
          <w:bCs/>
        </w:rPr>
        <w:t xml:space="preserve">punta della spalla</w:t>
      </w:r>
      <w:r>
        <w:t xml:space="preserve"> </w:t>
      </w:r>
      <w:r>
        <w:t xml:space="preserve">o al torace, e una tosse che torna ogni mese con il flusso, non sono riferiti dall’utero. Non sono nemmeno tuoi: sono fra i sintomi che la linea guida europea elenca per l’endometriosi extrapelvica (Becker,</w:t>
      </w:r>
      <w:r>
        <w:t xml:space="preserve"> </w:t>
      </w:r>
      <w:r>
        <w:rPr>
          <w:i/>
          <w:iCs/>
        </w:rPr>
        <w:t xml:space="preserve">Hum Reprod Open</w:t>
      </w:r>
      <w:r>
        <w:t xml:space="preserve"> </w:t>
      </w:r>
      <w:r>
        <w:t xml:space="preserve">2022 — PMID 35350465). Non si mandano a un’altra Bibbia: si scrive al ginecologo.</w:t>
      </w:r>
    </w:p>
    <w:p>
      <w:pPr>
        <w:pStyle w:val="BodyText"/>
      </w:pPr>
      <w:r>
        <w:t xml:space="preserve">Il metodo osteopatico classico manda a cercare la zona riflessa viscerale in dorsale media, cervicale bassa e spalla. Lo fa perché la lista degli organi che nomina è fatta di stomaco, fegato e cupola pleurica.</w:t>
      </w:r>
      <w:r>
        <w:t xml:space="preserve"> </w:t>
      </w:r>
      <w:r>
        <w:rPr>
          <w:b/>
          <w:bCs/>
        </w:rPr>
        <w:t xml:space="preserve">Su questa condizione quelle coordinate sono quelle sbagliate</w:t>
      </w:r>
      <w:r>
        <w:t xml:space="preserve">, e cercarle lì è tempo perso.</w:t>
      </w:r>
    </w:p>
    <w:bookmarkEnd w:id="24"/>
    <w:bookmarkStart w:id="25" w:name="X5fe8742ab7c51eaf8ed6ae52bb458a028074c7f"/>
    <w:p>
      <w:pPr>
        <w:pStyle w:val="Heading3"/>
      </w:pPr>
      <w:r>
        <w:t xml:space="preserve">3. Il retto dell’addome e la parete sotto l’ombelico</w:t>
      </w:r>
    </w:p>
    <w:p>
      <w:pPr>
        <w:pStyle w:val="FirstParagraph"/>
      </w:pPr>
      <w:r>
        <w:rPr>
          <w:b/>
          <w:bCs/>
        </w:rPr>
        <w:t xml:space="preserve">Cos’è:</w:t>
      </w:r>
      <w:r>
        <w:t xml:space="preserve"> </w:t>
      </w:r>
      <w:r>
        <w:t xml:space="preserve">il muscolo verticale della parete addominale anteriore, dentro la sua guaina.</w:t>
      </w:r>
      <w:r>
        <w:t xml:space="preserve"> </w:t>
      </w:r>
      <w:r>
        <w:rPr>
          <w:b/>
          <w:bCs/>
        </w:rPr>
        <w:t xml:space="preserve">Cosa fa:</w:t>
      </w:r>
      <w:r>
        <w:t xml:space="preserve"> </w:t>
      </w:r>
      <w:r>
        <w:t xml:space="preserve">flette il tronco. E riceve, nel suo terzo inferiore, l’innervazione degli stessi segmenti T10-L1 che portano il dolore uterino.</w:t>
      </w:r>
      <w:r>
        <w:t xml:space="preserve"> </w:t>
      </w:r>
      <w:r>
        <w:rPr>
          <w:b/>
          <w:bCs/>
        </w:rPr>
        <w:t xml:space="preserve">Perché conta:</w:t>
      </w:r>
      <w:r>
        <w:t xml:space="preserve"> </w:t>
      </w:r>
      <w:r>
        <w:t xml:space="preserve">è il tessuto in cui l’iperalgesia riferita dall’utero è</w:t>
      </w:r>
      <w:r>
        <w:t xml:space="preserve"> </w:t>
      </w:r>
      <w:r>
        <w:rPr>
          <w:b/>
          <w:bCs/>
        </w:rPr>
        <w:t xml:space="preserve">misurabilmente massima</w:t>
      </w:r>
      <w:r>
        <w:t xml:space="preserve">. Le soglie scendono soprattutto nel muscolo, meno nel sottocute, mai nella pelle. Il calo è più marcato a sinistra, ed è tanto più profondo quanto più forte è il dolore mestruale spontaneo (Giamberardino,</w:t>
      </w:r>
      <w:r>
        <w:t xml:space="preserve"> </w:t>
      </w:r>
      <w:r>
        <w:rPr>
          <w:i/>
          <w:iCs/>
        </w:rPr>
        <w:t xml:space="preserve">Pain</w:t>
      </w:r>
      <w:r>
        <w:t xml:space="preserve"> </w:t>
      </w:r>
      <w:r>
        <w:t xml:space="preserve">1997 — PMID 9211480). È la struttura più importante di questo documento per le tue mani.</w:t>
      </w:r>
    </w:p>
    <w:bookmarkEnd w:id="25"/>
    <w:bookmarkStart w:id="26" w:name="X7aa3889ecabbc4b98214b725c0adbacd73f0710"/>
    <w:p>
      <w:pPr>
        <w:pStyle w:val="Heading3"/>
      </w:pPr>
      <w:r>
        <w:t xml:space="preserve">4. Il complesso lombo-sacrale e le sacroiliache</w:t>
      </w:r>
    </w:p>
    <w:p>
      <w:pPr>
        <w:pStyle w:val="FirstParagraph"/>
      </w:pPr>
      <w:r>
        <w:rPr>
          <w:b/>
          <w:bCs/>
        </w:rPr>
        <w:t xml:space="preserve">Cos’è:</w:t>
      </w:r>
      <w:r>
        <w:t xml:space="preserve"> </w:t>
      </w:r>
      <w:r>
        <w:t xml:space="preserve">l’insieme del rachide lombare basso, del sacro e delle due articolazioni sacroiliache.</w:t>
      </w:r>
      <w:r>
        <w:t xml:space="preserve"> </w:t>
      </w:r>
      <w:r>
        <w:rPr>
          <w:b/>
          <w:bCs/>
        </w:rPr>
        <w:t xml:space="preserve">Cosa fanno:</w:t>
      </w:r>
      <w:r>
        <w:t xml:space="preserve"> </w:t>
      </w:r>
      <w:r>
        <w:t xml:space="preserve">reggono il carico, e ospitano il territorio di riferimento sacrale del collo dell’utero.</w:t>
      </w:r>
      <w:r>
        <w:t xml:space="preserve"> </w:t>
      </w:r>
      <w:r>
        <w:rPr>
          <w:b/>
          <w:bCs/>
        </w:rPr>
        <w:t xml:space="preserve">Perché conta:</w:t>
      </w:r>
      <w:r>
        <w:t xml:space="preserve"> </w:t>
      </w:r>
      <w:r>
        <w:t xml:space="preserve">è la sede del secondo sintomo per frequenza —</w:t>
      </w:r>
      <w:r>
        <w:t xml:space="preserve"> </w:t>
      </w:r>
      <w:r>
        <w:rPr>
          <w:i/>
          <w:iCs/>
        </w:rPr>
        <w:t xml:space="preserve">“la schiena bassa che mi si spacca”</w:t>
      </w:r>
      <w:r>
        <w:t xml:space="preserve">. Ed è l’unico distretto di questa condizione con uno studio controllato con finta manipolazione che mostri un cambiamento misurato. La soglia di pressione sulle sacroiliache sale, e il dolore lombo-pelvico riferito scende (Molins-Cubero,</w:t>
      </w:r>
      <w:r>
        <w:t xml:space="preserve"> </w:t>
      </w:r>
      <w:r>
        <w:rPr>
          <w:i/>
          <w:iCs/>
        </w:rPr>
        <w:t xml:space="preserve">Pain Med</w:t>
      </w:r>
      <w:r>
        <w:t xml:space="preserve"> </w:t>
      </w:r>
      <w:r>
        <w:t xml:space="preserve">2014, 40 donne — PMID 24666560).</w:t>
      </w:r>
    </w:p>
    <w:p>
      <w:pPr>
        <w:pStyle w:val="BodyText"/>
      </w:pPr>
      <w:r>
        <w:t xml:space="preserve">Qui stanno anche le</w:t>
      </w:r>
      <w:r>
        <w:t xml:space="preserve"> </w:t>
      </w:r>
      <w:r>
        <w:rPr>
          <w:b/>
          <w:bCs/>
        </w:rPr>
        <w:t xml:space="preserve">lamine utero-sacrali</w:t>
      </w:r>
      <w:r>
        <w:t xml:space="preserve">. Dalla cervice raggiungono il sacro, insieme ai legamenti cardinali, rotondi e larghi: sospendono l’utero e lo collegano meccanicamente al sacro. È il razionale anatomico — e resta un razionale — del perché il piano sacrale entra in questa condizione.</w:t>
      </w:r>
    </w:p>
    <w:p>
      <w:pPr>
        <w:pStyle w:val="BodyText"/>
      </w:pPr>
      <w:r>
        <w:rPr>
          <w:b/>
          <w:bCs/>
        </w:rPr>
        <w:t xml:space="preserve">E una distinzione che serve alla mano.</w:t>
      </w:r>
      <w:r>
        <w:t xml:space="preserve"> </w:t>
      </w:r>
      <w:r>
        <w:t xml:space="preserve">Sacro e sacroiliaca posteriore condividono i livelli sacrali con la cervice. Il partner somatico posteriore del</w:t>
      </w:r>
      <w:r>
        <w:t xml:space="preserve"> </w:t>
      </w:r>
      <w:r>
        <w:rPr>
          <w:b/>
          <w:bCs/>
        </w:rPr>
        <w:t xml:space="preserve">corpo</w:t>
      </w:r>
      <w:r>
        <w:t xml:space="preserve"> </w:t>
      </w:r>
      <w:r>
        <w:t xml:space="preserve">dell’utero è invece la cerniera dorso-lombare, T10-L1 con le ultime due coste. Il rachide lombare medio non condivide livelli con nessuna delle due vie.</w:t>
      </w:r>
    </w:p>
    <w:bookmarkEnd w:id="26"/>
    <w:bookmarkStart w:id="27" w:name="Xd7ab7b9a49a45d4a1c4fa367d910d83e0fa3607"/>
    <w:p>
      <w:pPr>
        <w:pStyle w:val="Heading3"/>
      </w:pPr>
      <w:r>
        <w:t xml:space="preserve">5. Il pavimento pelvico e l’otturatore interno</w:t>
      </w:r>
    </w:p>
    <w:p>
      <w:pPr>
        <w:pStyle w:val="FirstParagraph"/>
      </w:pPr>
      <w:r>
        <w:rPr>
          <w:b/>
          <w:bCs/>
        </w:rPr>
        <w:t xml:space="preserve">Cosa sono:</w:t>
      </w:r>
      <w:r>
        <w:t xml:space="preserve"> </w:t>
      </w:r>
      <w:r>
        <w:t xml:space="preserve">i muscoli che chiudono in basso il bacino, innervati dagli stessi livelli</w:t>
      </w:r>
      <w:r>
        <w:t xml:space="preserve"> </w:t>
      </w:r>
      <w:r>
        <w:rPr>
          <w:b/>
          <w:bCs/>
        </w:rPr>
        <w:t xml:space="preserve">S2-S4</w:t>
      </w:r>
      <w:r>
        <w:t xml:space="preserve"> </w:t>
      </w:r>
      <w:r>
        <w:t xml:space="preserve">della cervice.</w:t>
      </w:r>
      <w:r>
        <w:t xml:space="preserve"> </w:t>
      </w:r>
      <w:r>
        <w:rPr>
          <w:b/>
          <w:bCs/>
        </w:rPr>
        <w:t xml:space="preserve">Perché conta:</w:t>
      </w:r>
      <w:r>
        <w:t xml:space="preserve"> </w:t>
      </w:r>
      <w:r>
        <w:t xml:space="preserve">è la seconda metà della mappa segmentaria, quella che di solito resta vuota. In fase mestruale i punti dolorosi attivi dell’otturatore interno sono stati trovati in tutto il campione di donne con dismenorrea (Serrano-Imedio,</w:t>
      </w:r>
      <w:r>
        <w:t xml:space="preserve"> </w:t>
      </w:r>
      <w:r>
        <w:rPr>
          <w:i/>
          <w:iCs/>
        </w:rPr>
        <w:t xml:space="preserve">Diagnostics</w:t>
      </w:r>
      <w:r>
        <w:t xml:space="preserve"> </w:t>
      </w:r>
      <w:r>
        <w:t xml:space="preserve">2022, 84 donne — PMID 36359567). È il tessuto a cui appendere dolore ai rapporti, urgenza vescicale e dolore coccigeo.</w:t>
      </w:r>
      <w:r>
        <w:t xml:space="preserve"> </w:t>
      </w:r>
      <w:r>
        <w:rPr>
          <w:b/>
          <w:bCs/>
        </w:rPr>
        <w:t xml:space="preserve">Con un vincolo:</w:t>
      </w:r>
      <w:r>
        <w:t xml:space="preserve"> </w:t>
      </w:r>
      <w:r>
        <w:t xml:space="preserve">in quello studio la valutazione è interna, e per noi l’interno è fuori dal profilo.</w:t>
      </w:r>
    </w:p>
    <w:bookmarkEnd w:id="27"/>
    <w:bookmarkStart w:id="28" w:name="il-diaframma-e-il-ritmo-del-respiro"/>
    <w:p>
      <w:pPr>
        <w:pStyle w:val="Heading3"/>
      </w:pPr>
      <w:r>
        <w:t xml:space="preserve">6. Il diaframma e il ritmo del respiro</w:t>
      </w:r>
    </w:p>
    <w:p>
      <w:pPr>
        <w:pStyle w:val="FirstParagraph"/>
      </w:pPr>
      <w:r>
        <w:rPr>
          <w:b/>
          <w:bCs/>
        </w:rPr>
        <w:t xml:space="preserve">Cos’è:</w:t>
      </w:r>
      <w:r>
        <w:t xml:space="preserve"> </w:t>
      </w:r>
      <w:r>
        <w:t xml:space="preserve">la cupola muscolare che separa torace e addome.</w:t>
      </w:r>
      <w:r>
        <w:t xml:space="preserve"> </w:t>
      </w:r>
      <w:r>
        <w:rPr>
          <w:b/>
          <w:bCs/>
        </w:rPr>
        <w:t xml:space="preserve">Cosa fa:</w:t>
      </w:r>
      <w:r>
        <w:t xml:space="preserve"> </w:t>
      </w:r>
      <w:r>
        <w:t xml:space="preserve">regola la pressione dentro l’addome, insieme alla parete addominale e al pavimento pelvico. E detta il ritmo del respiro.</w:t>
      </w:r>
      <w:r>
        <w:t xml:space="preserve"> </w:t>
      </w:r>
      <w:r>
        <w:rPr>
          <w:b/>
          <w:bCs/>
        </w:rPr>
        <w:t xml:space="preserve">Perché conta:</w:t>
      </w:r>
      <w:r>
        <w:t xml:space="preserve"> </w:t>
      </w:r>
      <w:r>
        <w:t xml:space="preserve">per il ritmo, non per la pressione. Il respiro è la via più diretta che hai per cambiare lo stato di attivazione in stanza, e si misura contando gli atti al minuto. Il diaframma non è la struttura che genera il dolore: è quella che governa il ritmo.</w:t>
      </w:r>
    </w:p>
    <w:p>
      <w:pPr>
        <w:pStyle w:val="BodyText"/>
      </w:pPr>
      <w:r>
        <w:rPr>
          <w:b/>
          <w:bCs/>
        </w:rPr>
        <w:t xml:space="preserve">Le tre cose da ricordare, più una</w:t>
      </w:r>
    </w:p>
    <w:p>
      <w:pPr>
        <w:pStyle w:val="Compact"/>
        <w:numPr>
          <w:ilvl w:val="0"/>
          <w:numId w:val="1006"/>
        </w:numPr>
      </w:pPr>
      <w:r>
        <w:t xml:space="preserve">L’utero parla a T10-L1 e a S2-S4: parete addominale bassa, lombosacrale, interno coscia e pavimento pelvico sono il suo territorio, e il collo non lo è.</w:t>
      </w:r>
    </w:p>
    <w:p>
      <w:pPr>
        <w:pStyle w:val="Compact"/>
        <w:numPr>
          <w:ilvl w:val="0"/>
          <w:numId w:val="1006"/>
        </w:numPr>
      </w:pPr>
      <w:r>
        <w:t xml:space="preserve">Il tessuto in cui l’iperalgesia riferita è massima è il muscolo della parete, non la pelle: è lì che la palpazione ha un senso e lì che la misura si prende.</w:t>
      </w:r>
    </w:p>
    <w:p>
      <w:pPr>
        <w:pStyle w:val="Compact"/>
        <w:numPr>
          <w:ilvl w:val="0"/>
          <w:numId w:val="1006"/>
        </w:numPr>
      </w:pPr>
      <w:r>
        <w:t xml:space="preserve">Sacro e lombare bassa non sono un’aggiunta: sono la seconda metà del sintomo, e sono l’unico distretto con una misura contro finto trattamento.</w:t>
      </w:r>
    </w:p>
    <w:p>
      <w:pPr>
        <w:pStyle w:val="Compact"/>
        <w:numPr>
          <w:ilvl w:val="0"/>
          <w:numId w:val="1006"/>
        </w:numPr>
      </w:pPr>
      <w:r>
        <w:rPr>
          <w:b/>
          <w:bCs/>
        </w:rPr>
        <w:t xml:space="preserve">Perché ci sei tu.</w:t>
      </w:r>
      <w:r>
        <w:t xml:space="preserve"> </w:t>
      </w:r>
      <w:r>
        <w:t xml:space="preserve">Nelle donne con dismenorrea la soglia di dolore scende nel</w:t>
      </w:r>
      <w:r>
        <w:t xml:space="preserve"> </w:t>
      </w:r>
      <w:r>
        <w:rPr>
          <w:b/>
          <w:bCs/>
        </w:rPr>
        <w:t xml:space="preserve">muscolo</w:t>
      </w:r>
      <w:r>
        <w:t xml:space="preserve"> </w:t>
      </w:r>
      <w:r>
        <w:t xml:space="preserve">della parete addominale e non nella pelle, con il calo maggiore a sinistra, e l’entità del calo correla con quanto fa male la mestruazione (Giamberardino, 1997 — PMID 9211480). Questo ti autorizza a mettere le mani su un tessuto che è misurabilmente alterato in questa condizione. Non ti autorizza a dire che quel muscolo sia la causa del dolore mestruale: è il luogo dove il dolore uterino si scarica, non la sua origine.</w:t>
      </w:r>
    </w:p>
    <w:p>
      <w:r>
        <w:pict>
          <v:rect style="width:0;height:1.5pt" o:hralign="center" o:hrstd="t" o:hr="t"/>
        </w:pict>
      </w:r>
    </w:p>
    <w:bookmarkEnd w:id="28"/>
    <w:bookmarkEnd w:id="29"/>
    <w:bookmarkStart w:id="30"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la mestruazione normale è una contrazione a scatti che spinge fuori l’endometrio, e fa male poco perché fra una contrazione e l’altra il sangue rientra.</w:t>
      </w:r>
    </w:p>
    <w:p>
      <w:pPr>
        <w:pStyle w:val="FirstParagraph"/>
      </w:pPr>
      <w:r>
        <w:t xml:space="preserve">La sequenza di eventi, in ordine.</w:t>
      </w:r>
    </w:p>
    <w:p>
      <w:pPr>
        <w:pStyle w:val="Compact"/>
        <w:numPr>
          <w:ilvl w:val="0"/>
          <w:numId w:val="1007"/>
        </w:numPr>
      </w:pPr>
      <w:r>
        <w:rPr>
          <w:b/>
          <w:bCs/>
        </w:rPr>
        <w:t xml:space="preserve">Dopo l’ovulazione, il progesterone sale.</w:t>
      </w:r>
      <w:r>
        <w:t xml:space="preserve"> </w:t>
      </w:r>
      <w:r>
        <w:t xml:space="preserve">L’endometrio si prepara. Se non c’è impianto, il corpo luteo regredisce e il progesterone crolla.</w:t>
      </w:r>
    </w:p>
    <w:p>
      <w:pPr>
        <w:pStyle w:val="Compact"/>
        <w:numPr>
          <w:ilvl w:val="0"/>
          <w:numId w:val="1007"/>
        </w:numPr>
      </w:pPr>
      <w:r>
        <w:rPr>
          <w:b/>
          <w:bCs/>
        </w:rPr>
        <w:t xml:space="preserve">La caduta del progesterone destabilizza le membrane cellulari dell’endometrio.</w:t>
      </w:r>
      <w:r>
        <w:t xml:space="preserve"> </w:t>
      </w:r>
      <w:r>
        <w:t xml:space="preserve">Si liberano acidi grassi. L’enzima ciclossigenasi li trasforma in prostaglandine — soprattutto PGF2α — e in leucotrieni.</w:t>
      </w:r>
    </w:p>
    <w:p>
      <w:pPr>
        <w:pStyle w:val="Compact"/>
        <w:numPr>
          <w:ilvl w:val="0"/>
          <w:numId w:val="1007"/>
        </w:numPr>
      </w:pPr>
      <w:r>
        <w:rPr>
          <w:b/>
          <w:bCs/>
        </w:rPr>
        <w:t xml:space="preserve">Le prostaglandine fanno contrarre il miometrio.</w:t>
      </w:r>
      <w:r>
        <w:t xml:space="preserve"> </w:t>
      </w:r>
      <w:r>
        <w:t xml:space="preserve">Servono a espellere il tessuto sfaldato e a limitare la perdita di sangue: la contrazione uterina in mestruazione è normale e necessaria.</w:t>
      </w:r>
    </w:p>
    <w:p>
      <w:pPr>
        <w:pStyle w:val="Compact"/>
        <w:numPr>
          <w:ilvl w:val="0"/>
          <w:numId w:val="1007"/>
        </w:numPr>
      </w:pPr>
      <w:r>
        <w:rPr>
          <w:b/>
          <w:bCs/>
        </w:rPr>
        <w:t xml:space="preserve">Fra una contrazione e l’altra il muscolo si rilascia e la pressione torna bassa.</w:t>
      </w:r>
      <w:r>
        <w:t xml:space="preserve"> </w:t>
      </w:r>
      <w:r>
        <w:t xml:space="preserve">In quella pausa le arterie riaprono e il tessuto si riossigena. Il tono di base fra le contrazioni è la variabile chiave dell’intera fisiologia. È come tenere il pugno chiuso: quello che stanca non è stringere, è non aprirlo mai.</w:t>
      </w:r>
    </w:p>
    <w:p>
      <w:pPr>
        <w:pStyle w:val="Compact"/>
        <w:numPr>
          <w:ilvl w:val="0"/>
          <w:numId w:val="1007"/>
        </w:numPr>
      </w:pPr>
      <w:r>
        <w:rPr>
          <w:b/>
          <w:bCs/>
        </w:rPr>
        <w:t xml:space="preserve">Il segnale sale a T10-L1 e a S2-S4.</w:t>
      </w:r>
      <w:r>
        <w:t xml:space="preserve"> </w:t>
      </w:r>
      <w:r>
        <w:t xml:space="preserve">Lungo la via viene modulato dai sistemi che abbassano il guadagno del dolore, e arriva alla coscienza come sensazione, non come allarme.</w:t>
      </w:r>
    </w:p>
    <w:p>
      <w:pPr>
        <w:pStyle w:val="Compact"/>
        <w:numPr>
          <w:ilvl w:val="0"/>
          <w:numId w:val="1007"/>
        </w:numPr>
      </w:pPr>
      <w:r>
        <w:rPr>
          <w:b/>
          <w:bCs/>
        </w:rPr>
        <w:t xml:space="preserve">E attorno all’utero il contenitore si muove.</w:t>
      </w:r>
      <w:r>
        <w:t xml:space="preserve"> </w:t>
      </w:r>
      <w:r>
        <w:t xml:space="preserve">Bacino, lombare bassa e diaframma accompagnano la contrazione uterina con l’escursione e con il respiro. Finché il contenitore si muove, l’ingresso somatico negli stessi segmenti resta basso.</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08"/>
        </w:numPr>
      </w:pPr>
      <w:r>
        <w:t xml:space="preserve">La contrazione uterina in mestruazione non è il guasto: è la funzione.</w:t>
      </w:r>
    </w:p>
    <w:p>
      <w:pPr>
        <w:pStyle w:val="Compact"/>
        <w:numPr>
          <w:ilvl w:val="0"/>
          <w:numId w:val="1008"/>
        </w:numPr>
      </w:pPr>
      <w:r>
        <w:t xml:space="preserve">La variabile che separa il normale dal doloroso è la</w:t>
      </w:r>
      <w:r>
        <w:t xml:space="preserve"> </w:t>
      </w:r>
      <w:r>
        <w:rPr>
          <w:b/>
          <w:bCs/>
        </w:rPr>
        <w:t xml:space="preserve">pausa</w:t>
      </w:r>
      <w:r>
        <w:t xml:space="preserve"> </w:t>
      </w:r>
      <w:r>
        <w:t xml:space="preserve">fra le contrazioni, cioè il tono di base.</w:t>
      </w:r>
    </w:p>
    <w:p>
      <w:pPr>
        <w:pStyle w:val="Compact"/>
        <w:numPr>
          <w:ilvl w:val="0"/>
          <w:numId w:val="1008"/>
        </w:numPr>
      </w:pPr>
      <w:r>
        <w:t xml:space="preserve">Il dolore normale è un segnale modulato lungo la via: parte della differenza fra due donne sta nella modulazione, non nell’utero.</w:t>
      </w:r>
    </w:p>
    <w:p>
      <w:pPr>
        <w:pStyle w:val="Compact"/>
        <w:numPr>
          <w:ilvl w:val="0"/>
          <w:numId w:val="1008"/>
        </w:numPr>
      </w:pPr>
      <w:r>
        <w:rPr>
          <w:b/>
          <w:bCs/>
        </w:rPr>
        <w:t xml:space="preserve">Perché ci sei tu.</w:t>
      </w:r>
      <w:r>
        <w:t xml:space="preserve"> </w:t>
      </w:r>
      <w:r>
        <w:t xml:space="preserve">In uno studio di fase I su donne con dismenorrea, bloccare il recettore della prostaglandina F2α ha abbassato la pressione dentro l’utero del 23% e insieme il dolore (Böttcher,</w:t>
      </w:r>
      <w:r>
        <w:t xml:space="preserve"> </w:t>
      </w:r>
      <w:r>
        <w:rPr>
          <w:i/>
          <w:iCs/>
        </w:rPr>
        <w:t xml:space="preserve">Hum Reprod</w:t>
      </w:r>
      <w:r>
        <w:t xml:space="preserve"> </w:t>
      </w:r>
      <w:r>
        <w:t xml:space="preserve">2014, 24 donne — PMID 25164021). Questo ti autorizza a sapere con precisione qual è il generatore principale, e che è interno e farmacologico. Non ti autorizza a sostenere che una mano lo raggiunga: nessuno ha mai misurato la pressione dentro l’utero prima e dopo un trattamento manuale.</w:t>
      </w:r>
    </w:p>
    <w:p>
      <w:r>
        <w:pict>
          <v:rect style="width:0;height:1.5pt" o:hralign="center" o:hrstd="t" o:hr="t"/>
        </w:pict>
      </w:r>
    </w:p>
    <w:bookmarkEnd w:id="30"/>
    <w:bookmarkStart w:id="36"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cose si rompono insieme — la pressione dentro l’utero, la soglia del sistema, la parete addominale che diventa una seconda sorgente, il contenitore lombo-pelvico e lo stato di attivazione — e solo tre delle cinque sono a portata delle tue mani.</w:t>
      </w:r>
    </w:p>
    <w:p>
      <w:pPr>
        <w:pStyle w:val="FirstParagraph"/>
      </w:pPr>
      <w:r>
        <w:rPr>
          <w:b/>
          <w:bCs/>
        </w:rPr>
        <w:t xml:space="preserve">L’ordine è didattico, e il criterio va dichiarato: si parte dal generatore e si arriva alla cornice.</w:t>
      </w:r>
      <w:r>
        <w:t xml:space="preserve"> </w:t>
      </w:r>
      <w:r>
        <w:t xml:space="preserve">Non è l’ordine per solidità. Il terzo meccanismo è più solido del secondo, e il quinto più del quarto; l’etichetta di ciascuno sta nel suo box, dove si legge. Vale invece una regola che li attraversa tutti e cinque:</w:t>
      </w:r>
      <w:r>
        <w:t xml:space="preserve"> </w:t>
      </w:r>
      <w:r>
        <w:rPr>
          <w:b/>
          <w:bCs/>
        </w:rPr>
        <w:t xml:space="preserve">il meccanismo più solido è il meno tuo, e quello su cui incidi di più è il meno solido.</w:t>
      </w:r>
    </w:p>
    <w:p>
      <w:r>
        <w:pict>
          <v:rect style="width:0;height:1.5pt" o:hralign="center" o:hrstd="t" o:hr="t"/>
        </w:pict>
      </w:r>
    </w:p>
    <w:bookmarkStart w:id="31" w:name="X4ad2e0f35d19d20e7c5ab2d4cca865c8d61d2eb"/>
    <w:p>
      <w:pPr>
        <w:pStyle w:val="Heading3"/>
      </w:pPr>
      <w:r>
        <w:t xml:space="preserve">1. Il muscolo che si stringe sul proprio rubinetto</w:t>
      </w:r>
    </w:p>
    <w:p>
      <w:pPr>
        <w:pStyle w:val="FirstParagraph"/>
      </w:pPr>
      <w:r>
        <w:rPr>
          <w:b/>
          <w:bCs/>
        </w:rPr>
        <w:t xml:space="preserve">La sequenza</w:t>
      </w:r>
    </w:p>
    <w:p>
      <w:pPr>
        <w:pStyle w:val="Compact"/>
        <w:numPr>
          <w:ilvl w:val="0"/>
          <w:numId w:val="1009"/>
        </w:numPr>
      </w:pPr>
      <w:r>
        <w:t xml:space="preserve">Alla caduta del progesterone l’endometrio libera prostaglandine, e nelle donne con dismenorrea ne libera</w:t>
      </w:r>
      <w:r>
        <w:t xml:space="preserve"> </w:t>
      </w:r>
      <w:r>
        <w:rPr>
          <w:b/>
          <w:bCs/>
        </w:rPr>
        <w:t xml:space="preserve">di più</w:t>
      </w:r>
      <w:r>
        <w:t xml:space="preserve">.</w:t>
      </w:r>
    </w:p>
    <w:p>
      <w:pPr>
        <w:pStyle w:val="Compact"/>
        <w:numPr>
          <w:ilvl w:val="0"/>
          <w:numId w:val="1009"/>
        </w:numPr>
      </w:pPr>
      <w:r>
        <w:t xml:space="preserve">Il miometrio risponde con contrazioni più frequenti, più forti e disordinate, e con un</w:t>
      </w:r>
      <w:r>
        <w:t xml:space="preserve"> </w:t>
      </w:r>
      <w:r>
        <w:rPr>
          <w:b/>
          <w:bCs/>
        </w:rPr>
        <w:t xml:space="preserve">tono di base più alto</w:t>
      </w:r>
      <w:r>
        <w:t xml:space="preserve">.</w:t>
      </w:r>
    </w:p>
    <w:p>
      <w:pPr>
        <w:pStyle w:val="Compact"/>
        <w:numPr>
          <w:ilvl w:val="0"/>
          <w:numId w:val="1009"/>
        </w:numPr>
      </w:pPr>
      <w:r>
        <w:t xml:space="preserve">Fra una contrazione e l’altra la pressione dentro l’utero non torna giù. Le arterie che passano dentro il muscolo restano compresse, e il tessuto va in ischemia.</w:t>
      </w:r>
    </w:p>
    <w:p>
      <w:pPr>
        <w:pStyle w:val="Compact"/>
        <w:numPr>
          <w:ilvl w:val="0"/>
          <w:numId w:val="1009"/>
        </w:numPr>
      </w:pPr>
      <w:r>
        <w:t xml:space="preserve">L’ischemia libera metaboliti che eccitano le fibre nervose sottili dell’utero. Il segnale sale a T10-L1 e diventa il crampo che la paziente descrive.</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DIMOSTRATO</w:t>
      </w:r>
      <w:r>
        <w:t xml:space="preserve"> </w:t>
      </w:r>
      <w:r>
        <w:rPr>
          <w:i/>
          <w:iCs/>
        </w:rPr>
        <w:t xml:space="preserve">(studi sull’uomo, solidi)</w:t>
      </w:r>
      <w:r>
        <w:t xml:space="preserve"> </w:t>
      </w:r>
      <w:r>
        <w:t xml:space="preserve">che le prostaglandine guidino la contrazione dolorosa. Bloccarne la sintesi con un antinfiammatorio dà un sollievo da moderato a eccellente a circa metà delle donne, contro il 18% del placebo (Marjoribanks,</w:t>
      </w:r>
      <w:r>
        <w:t xml:space="preserve"> </w:t>
      </w:r>
      <w:r>
        <w:rPr>
          <w:i/>
          <w:iCs/>
        </w:rPr>
        <w:t xml:space="preserve">Cochrane</w:t>
      </w:r>
      <w:r>
        <w:t xml:space="preserve"> </w:t>
      </w:r>
      <w:r>
        <w:t xml:space="preserve">2015; la stima viene dai 35 studi randomizzati che confrontano l’antinfiammatorio con il placebo — PMID 26224322). Bloccare direttamente il recettore della PGF2α abbassa insieme la pressione intrauterina e il dolore: lo mostra uno studio di fase I, in aperto, senza gruppo di controllo, su 24 donne (Böttcher,</w:t>
      </w:r>
      <w:r>
        <w:t xml:space="preserve"> </w:t>
      </w:r>
      <w:r>
        <w:rPr>
          <w:i/>
          <w:iCs/>
        </w:rPr>
        <w:t xml:space="preserve">Hum Reprod</w:t>
      </w:r>
      <w:r>
        <w:t xml:space="preserve"> </w:t>
      </w:r>
      <w:r>
        <w:t xml:space="preserve">2014 — PMID 25164021). Il DIMOSTRATO regge sulla Cochrane; Böttcher aggiunge la direzione e non la prova.</w:t>
      </w:r>
      <w:r>
        <w:t xml:space="preserve"> </w:t>
      </w:r>
      <w:r>
        <w:rPr>
          <w:b/>
          <w:bCs/>
        </w:rPr>
        <w:t xml:space="preserve">PROBABILE</w:t>
      </w:r>
      <w:r>
        <w:t xml:space="preserve"> </w:t>
      </w:r>
      <w:r>
        <w:rPr>
          <w:i/>
          <w:iCs/>
        </w:rPr>
        <w:t xml:space="preserve">(razionale forte, prove parziali)</w:t>
      </w:r>
      <w:r>
        <w:t xml:space="preserve"> </w:t>
      </w:r>
      <w:r>
        <w:t xml:space="preserve">che l’anello ischemico sia il passaggio che genera il dolore. La ricostruzione — ipercontrattilità, riduzione del flusso uterino, ipersensibilità dei nervi periferici — è quella accettata in letteratura (Dawood,</w:t>
      </w:r>
      <w:r>
        <w:t xml:space="preserve"> </w:t>
      </w:r>
      <w:r>
        <w:rPr>
          <w:i/>
          <w:iCs/>
        </w:rPr>
        <w:t xml:space="preserve">Obstet Gynecol</w:t>
      </w:r>
      <w:r>
        <w:t xml:space="preserve"> </w:t>
      </w:r>
      <w:r>
        <w:t xml:space="preserve">2006 — PMID 16880317). E l’impedenza al flusso è misurata: il primo giorno di mestruazione gli indici Doppler delle arterie uterine e arcuate sono più alti nelle donne con dismenorrea che nelle altre (Altunyurt,</w:t>
      </w:r>
      <w:r>
        <w:t xml:space="preserve"> </w:t>
      </w:r>
      <w:r>
        <w:rPr>
          <w:i/>
          <w:iCs/>
        </w:rPr>
        <w:t xml:space="preserve">J Reprod Med</w:t>
      </w:r>
      <w:r>
        <w:t xml:space="preserve"> </w:t>
      </w:r>
      <w:r>
        <w:t xml:space="preserve">2005, 25 donne contro 24 — PMID 15916208).</w:t>
      </w:r>
      <w:r>
        <w:t xml:space="preserve"> </w:t>
      </w:r>
      <w:r>
        <w:rPr>
          <w:b/>
          <w:bCs/>
        </w:rPr>
        <w:t xml:space="preserve">Misurato come impedenza al Doppler, non come pressione dentro l’utero né come dolore nella stessa donna: dice che il flusso è diverso, non che il flusso è il dolore.</w:t>
      </w:r>
      <w:r>
        <w:t xml:space="preserve"> </w:t>
      </w:r>
      <w:r>
        <w:t xml:space="preserve">E non vale per tutte. Nella forma</w:t>
      </w:r>
      <w:r>
        <w:t xml:space="preserve"> </w:t>
      </w:r>
      <w:r>
        <w:rPr>
          <w:b/>
          <w:bCs/>
        </w:rPr>
        <w:t xml:space="preserve">lieve</w:t>
      </w:r>
      <w:r>
        <w:t xml:space="preserve"> </w:t>
      </w:r>
      <w:r>
        <w:t xml:space="preserve">gli stessi indici non differiscono dai controlli, e gli autori concludono che lì l’origine è un’altra (Özbay,</w:t>
      </w:r>
      <w:r>
        <w:t xml:space="preserve"> </w:t>
      </w:r>
      <w:r>
        <w:rPr>
          <w:i/>
          <w:iCs/>
        </w:rPr>
        <w:t xml:space="preserve">J Pain Res</w:t>
      </w:r>
      <w:r>
        <w:t xml:space="preserve"> </w:t>
      </w:r>
      <w:r>
        <w:t xml:space="preserve">2024, 29 donne con forma lieve contro 26 — PMID 38887385). È il motivo fisiologico per cui la ragazza con il fastidio modesto e la donna che si ferma due giorni non sono la stessa condizione in due dosi.</w:t>
      </w:r>
    </w:p>
    <w:p>
      <w:pPr>
        <w:pStyle w:val="FirstParagraph"/>
      </w:pPr>
      <w:r>
        <w:rPr>
          <w:b/>
          <w:bCs/>
        </w:rPr>
        <w:t xml:space="preserve">Come si vede addosso alla paziente.</w:t>
      </w:r>
      <w:r>
        <w:t xml:space="preserve"> </w:t>
      </w:r>
      <w:r>
        <w:t xml:space="preserve">Dolore</w:t>
      </w:r>
      <w:r>
        <w:t xml:space="preserve"> </w:t>
      </w:r>
      <w:r>
        <w:rPr>
          <w:b/>
          <w:bCs/>
        </w:rPr>
        <w:t xml:space="preserve">crampiforme e a ondate</w:t>
      </w:r>
      <w:r>
        <w:t xml:space="preserve">, non continuo, che comincia con il flusso o poche ore prima e punta nelle prime quarantotto ore. Calore e antinfiammatorio funzionano bene. Nausea, vomito e diarrea nei giorni peggiori sono coerenti: le prostaglandine circolanti agiscono anche sull’intestino.</w:t>
      </w:r>
    </w:p>
    <w:p>
      <w:pPr>
        <w:pStyle w:val="BodyText"/>
      </w:pPr>
      <w:r>
        <w:rPr>
          <w:b/>
          <w:bCs/>
        </w:rPr>
        <w:t xml:space="preserve">È un muscolo che, stringendosi, chiude il rubinetto che lo alimenta.</w:t>
      </w:r>
    </w:p>
    <w:p>
      <w:r>
        <w:pict>
          <v:rect style="width:0;height:1.5pt" o:hralign="center" o:hrstd="t" o:hr="t"/>
        </w:pict>
      </w:r>
    </w:p>
    <w:bookmarkEnd w:id="31"/>
    <w:bookmarkStart w:id="32" w:name="la-bilancia-tarata-male"/>
    <w:p>
      <w:pPr>
        <w:pStyle w:val="Heading3"/>
      </w:pPr>
      <w:r>
        <w:t xml:space="preserve">2. La bilancia tarata male</w:t>
      </w:r>
    </w:p>
    <w:p>
      <w:pPr>
        <w:pStyle w:val="FirstParagraph"/>
      </w:pPr>
      <w:r>
        <w:rPr>
          <w:b/>
          <w:bCs/>
        </w:rPr>
        <w:t xml:space="preserve">La sequenza</w:t>
      </w:r>
    </w:p>
    <w:p>
      <w:pPr>
        <w:pStyle w:val="Compact"/>
        <w:numPr>
          <w:ilvl w:val="0"/>
          <w:numId w:val="1010"/>
        </w:numPr>
      </w:pPr>
      <w:r>
        <w:t xml:space="preserve">Nelle donne con dismenorrea l’elaborazione del dolore è alterata. È uno stato misurato; la direzione causale è un’altra cosa, e sta nel box qui sotto.</w:t>
      </w:r>
    </w:p>
    <w:p>
      <w:pPr>
        <w:pStyle w:val="Compact"/>
        <w:numPr>
          <w:ilvl w:val="0"/>
          <w:numId w:val="1010"/>
        </w:numPr>
      </w:pPr>
      <w:r>
        <w:t xml:space="preserve">La soglia si abbassa</w:t>
      </w:r>
      <w:r>
        <w:t xml:space="preserve"> </w:t>
      </w:r>
      <w:r>
        <w:rPr>
          <w:b/>
          <w:bCs/>
        </w:rPr>
        <w:t xml:space="preserve">non solo dove il dolore mestruale si riferisce, ma anche fuori</w:t>
      </w:r>
      <w:r>
        <w:t xml:space="preserve"> </w:t>
      </w:r>
      <w:r>
        <w:t xml:space="preserve">— braccio, gamba — e</w:t>
      </w:r>
      <w:r>
        <w:t xml:space="preserve"> </w:t>
      </w:r>
      <w:r>
        <w:rPr>
          <w:b/>
          <w:bCs/>
        </w:rPr>
        <w:t xml:space="preserve">anche nei giorni senza dolore</w:t>
      </w:r>
      <w:r>
        <w:t xml:space="preserve">: la differenza persiste in fase follicolare.</w:t>
      </w:r>
    </w:p>
    <w:p>
      <w:pPr>
        <w:pStyle w:val="Compact"/>
        <w:numPr>
          <w:ilvl w:val="0"/>
          <w:numId w:val="1010"/>
        </w:numPr>
      </w:pPr>
      <w:r>
        <w:t xml:space="preserve">In una parte delle donne si aggiunge un difetto della modulazione discendente: il sistema che dovrebbe abbassare il guadagno lo abbassa meno.</w:t>
      </w:r>
    </w:p>
    <w:p>
      <w:pPr>
        <w:pStyle w:val="Compact"/>
        <w:numPr>
          <w:ilvl w:val="0"/>
          <w:numId w:val="1010"/>
        </w:numPr>
      </w:pPr>
      <w:r>
        <w:t xml:space="preserve">Lo stesso stimolo uterino produce più dolore, e altri organi dello stesso territorio cominciano a farsi sentire.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il fenomeno esista. Le donne con dismenorrea sono più sensibili al dolore sperimentale, dentro e fuori le aree di riferimento, e la differenza persiste fuori dai giorni di mestruazione. E la dismenorrea è un fattore di rischio per la fibromialgia (Iacovides,</w:t>
      </w:r>
      <w:r>
        <w:t xml:space="preserve"> </w:t>
      </w:r>
      <w:r>
        <w:rPr>
          <w:i/>
          <w:iCs/>
        </w:rPr>
        <w:t xml:space="preserve">Hum Reprod Update</w:t>
      </w:r>
      <w:r>
        <w:t xml:space="preserve"> </w:t>
      </w:r>
      <w:r>
        <w:t xml:space="preserve">2015, revisione critica — PMID 26346058). Alla risonanza funzionale, durante la mestruazione, alcune aree si comportano in modo diverso: nelle donne senza dolore si disattivano davanti a uno stimolo nocivo, nelle donne con dismenorrea no. E il cortisolo medio è più basso (Vincent,</w:t>
      </w:r>
      <w:r>
        <w:t xml:space="preserve"> </w:t>
      </w:r>
      <w:r>
        <w:rPr>
          <w:i/>
          <w:iCs/>
        </w:rPr>
        <w:t xml:space="preserve">Pain</w:t>
      </w:r>
      <w:r>
        <w:t xml:space="preserve"> </w:t>
      </w:r>
      <w:r>
        <w:t xml:space="preserve">2011 — PMID 21524851). In un sottogruppo la modulazione condizionata del dolore è ridotta e le soglie corporee generali sono più basse (Hellman,</w:t>
      </w:r>
      <w:r>
        <w:t xml:space="preserve"> </w:t>
      </w:r>
      <w:r>
        <w:rPr>
          <w:i/>
          <w:iCs/>
        </w:rPr>
        <w:t xml:space="preserve">Pain</w:t>
      </w:r>
      <w:r>
        <w:t xml:space="preserve"> </w:t>
      </w:r>
      <w:r>
        <w:t xml:space="preserve">2020, 147 donne con dismenorrea, 37 controlli, 25 con sindrome della vescica dolorosa — PMID 32168005).</w:t>
      </w:r>
      <w:r>
        <w:t xml:space="preserve"> </w:t>
      </w:r>
      <w:r>
        <w:rPr>
          <w:b/>
          <w:bCs/>
        </w:rPr>
        <w:t xml:space="preserve">IPOTESI</w:t>
      </w:r>
      <w:r>
        <w:t xml:space="preserve"> </w:t>
      </w:r>
      <w:r>
        <w:rPr>
          <w:i/>
          <w:iCs/>
        </w:rPr>
        <w:t xml:space="preserve">(meccanismo coerente, nessuno studio)</w:t>
      </w:r>
      <w:r>
        <w:t xml:space="preserve"> </w:t>
      </w:r>
      <w:r>
        <w:t xml:space="preserve">la direzione. Se sia il dolore ripetuto ad abbassare la soglia, o una soglia già bassa a rendere doloroso il ciclo, nessuno l’ha stabilito.</w:t>
      </w:r>
    </w:p>
    <w:p>
      <w:pPr>
        <w:pStyle w:val="FirstParagraph"/>
      </w:pPr>
      <w:r>
        <w:rPr>
          <w:b/>
          <w:bCs/>
        </w:rPr>
        <w:t xml:space="preserve">Come si vede addosso alla paziente.</w:t>
      </w:r>
      <w:r>
        <w:t xml:space="preserve"> </w:t>
      </w:r>
      <w:r>
        <w:t xml:space="preserve">Fa male anche fuori dai giorni del ciclo, magari poco. Ha altri dolori: colon irritabile, mal di testa, dolore ai rapporti. Dorme male nei giorni del flusso.</w:t>
      </w:r>
    </w:p>
    <w:p>
      <w:pPr>
        <w:pStyle w:val="BlockText"/>
      </w:pPr>
      <w:r>
        <w:rPr>
          <w:b/>
          <w:bCs/>
        </w:rPr>
        <w:t xml:space="preserve">Attenzione.</w:t>
      </w:r>
      <w:r>
        <w:t xml:space="preserve"> </w:t>
      </w:r>
      <w:r>
        <w:t xml:space="preserve">Bruciore, urgenza o sangue nelle urine che tornano</w:t>
      </w:r>
      <w:r>
        <w:t xml:space="preserve"> </w:t>
      </w:r>
      <w:r>
        <w:rPr>
          <w:b/>
          <w:bCs/>
        </w:rPr>
        <w:t xml:space="preserve">con il flusso</w:t>
      </w:r>
      <w:r>
        <w:t xml:space="preserve">, a urinocoltura negativa, non sono un reperto di questo meccanismo: sono una riga della tabella delle bandiere rosse. Alla palpazione è dolente in molti punti, non in uno. E — segno che vale da solo —</w:t>
      </w:r>
      <w:r>
        <w:t xml:space="preserve"> </w:t>
      </w:r>
      <w:r>
        <w:rPr>
          <w:b/>
          <w:bCs/>
        </w:rPr>
        <w:t xml:space="preserve">è dolente anche dove il ciclo non c’entra</w:t>
      </w:r>
      <w:r>
        <w:t xml:space="preserve">, per esempio sul trapezio.</w:t>
      </w:r>
    </w:p>
    <w:p>
      <w:pPr>
        <w:pStyle w:val="BlockText"/>
      </w:pPr>
      <w:r>
        <w:rPr>
          <w:b/>
          <w:bCs/>
        </w:rPr>
        <w:t xml:space="preserve">Attenzione.</w:t>
      </w:r>
      <w:r>
        <w:t xml:space="preserve"> </w:t>
      </w:r>
      <w:r>
        <w:t xml:space="preserve">Questa combinazione — dolore fuori dal ciclo, dolore ai rapporti, dolore alla defecazione mestruale — è anche il pattern che deve farti pensare all’endometriosi. Sensibilizzazione e malattia non si escludono: convivono spesso. Il capitolo «Dove finisce il nostro campo» dice cosa farne.</w:t>
      </w:r>
    </w:p>
    <w:p>
      <w:pPr>
        <w:pStyle w:val="FirstParagraph"/>
      </w:pPr>
      <w:r>
        <w:rPr>
          <w:b/>
          <w:bCs/>
        </w:rPr>
        <w:t xml:space="preserve">È una bilancia tarata male: segna due chili in più anche quando il piatto è vuoto.</w:t>
      </w:r>
    </w:p>
    <w:p>
      <w:r>
        <w:pict>
          <v:rect style="width:0;height:1.5pt" o:hralign="center" o:hrstd="t" o:hr="t"/>
        </w:pict>
      </w:r>
    </w:p>
    <w:bookmarkEnd w:id="32"/>
    <w:bookmarkStart w:id="33" w:name="il-campanello-che-resta-incastrato"/>
    <w:p>
      <w:pPr>
        <w:pStyle w:val="Heading3"/>
      </w:pPr>
      <w:r>
        <w:t xml:space="preserve">3. Il campanello che resta incastrato</w:t>
      </w:r>
    </w:p>
    <w:p>
      <w:pPr>
        <w:pStyle w:val="FirstParagraph"/>
      </w:pPr>
      <w:r>
        <w:rPr>
          <w:b/>
          <w:bCs/>
        </w:rPr>
        <w:t xml:space="preserve">La sequenza</w:t>
      </w:r>
    </w:p>
    <w:p>
      <w:pPr>
        <w:pStyle w:val="Compact"/>
        <w:numPr>
          <w:ilvl w:val="0"/>
          <w:numId w:val="1011"/>
        </w:numPr>
      </w:pPr>
      <w:r>
        <w:t xml:space="preserve">Ogni mese il segnale uterino entra nei segmenti T10-L1 e converge con quelli della parete addominale. La convergenza produce iperalgesia riferita: la soglia scende nei tessuti somatici di quel territorio.</w:t>
      </w:r>
    </w:p>
    <w:p>
      <w:pPr>
        <w:pStyle w:val="Compact"/>
        <w:numPr>
          <w:ilvl w:val="0"/>
          <w:numId w:val="1011"/>
        </w:numPr>
      </w:pPr>
      <w:r>
        <w:t xml:space="preserve">E parte un anello che torna indietro. Un</w:t>
      </w:r>
      <w:r>
        <w:t xml:space="preserve"> </w:t>
      </w:r>
      <w:r>
        <w:rPr>
          <w:b/>
          <w:bCs/>
        </w:rPr>
        <w:t xml:space="preserve">riflesso viscero-somatico efferente</w:t>
      </w:r>
      <w:r>
        <w:t xml:space="preserve"> </w:t>
      </w:r>
      <w:r>
        <w:t xml:space="preserve">attiva la muscolatura del metamero, sensibilizza i nocicettori di quel muscolo e nel tempo ne cambia il trofismo. È questo anello, non la convergenza da sola, a rendere la parete una sorgente periferica — ed è l’unico pezzo della sequenza che autorizza le mani.</w:t>
      </w:r>
    </w:p>
    <w:p>
      <w:pPr>
        <w:pStyle w:val="Compact"/>
        <w:numPr>
          <w:ilvl w:val="0"/>
          <w:numId w:val="1011"/>
        </w:numPr>
      </w:pPr>
      <w:r>
        <w:t xml:space="preserve">Il calo è</w:t>
      </w:r>
      <w:r>
        <w:t xml:space="preserve"> </w:t>
      </w:r>
      <w:r>
        <w:rPr>
          <w:b/>
          <w:bCs/>
        </w:rPr>
        <w:t xml:space="preserve">selettivo per profondità</w:t>
      </w:r>
      <w:r>
        <w:t xml:space="preserve">: massimo nel muscolo, minore nel sottocute, assente nella pelle. Ed è più marcato sul retto dell’addome di</w:t>
      </w:r>
      <w:r>
        <w:t xml:space="preserve"> </w:t>
      </w:r>
      <w:r>
        <w:rPr>
          <w:b/>
          <w:bCs/>
        </w:rPr>
        <w:t xml:space="preserve">sinistra</w:t>
      </w:r>
      <w:r>
        <w:t xml:space="preserve">.</w:t>
      </w:r>
    </w:p>
    <w:p>
      <w:pPr>
        <w:pStyle w:val="Compact"/>
        <w:numPr>
          <w:ilvl w:val="0"/>
          <w:numId w:val="1011"/>
        </w:numPr>
      </w:pPr>
      <w:r>
        <w:t xml:space="preserve">Ripetuto per anni, quel territorio sviluppa punti dolorosi propri, che scaricano di continuo verso il midollo.</w:t>
      </w:r>
    </w:p>
    <w:p>
      <w:pPr>
        <w:pStyle w:val="Compact"/>
        <w:numPr>
          <w:ilvl w:val="0"/>
          <w:numId w:val="1011"/>
        </w:numPr>
      </w:pPr>
      <w:r>
        <w:t xml:space="preserve">A quel punto la parete non è più solo il luogo dove il dolore arriva: è</w:t>
      </w:r>
      <w:r>
        <w:t xml:space="preserve"> </w:t>
      </w:r>
      <w:r>
        <w:rPr>
          <w:b/>
          <w:bCs/>
        </w:rPr>
        <w:t xml:space="preserve">una seconda sorgente</w:t>
      </w:r>
      <w:r>
        <w:t xml:space="preserve">, che alza il livello di quella originaria.</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DIMOSTRATO</w:t>
      </w:r>
      <w:r>
        <w:t xml:space="preserve"> </w:t>
      </w:r>
      <w:r>
        <w:rPr>
          <w:i/>
          <w:iCs/>
        </w:rPr>
        <w:t xml:space="preserve">(studi sull’uomo, solidi)</w:t>
      </w:r>
      <w:r>
        <w:t xml:space="preserve"> </w:t>
      </w:r>
      <w:r>
        <w:t xml:space="preserve">che l’iperalgesia della parete esista, sia muscolare e correli con il dolore spontaneo: soglie misurate quattro volte in un ciclo, su quattro sedi, in donne con e senza dismenorrea e in uomini (Giamberardino,</w:t>
      </w:r>
      <w:r>
        <w:t xml:space="preserve"> </w:t>
      </w:r>
      <w:r>
        <w:rPr>
          <w:i/>
          <w:iCs/>
        </w:rPr>
        <w:t xml:space="preserve">Pain</w:t>
      </w:r>
      <w:r>
        <w:t xml:space="preserve"> </w:t>
      </w:r>
      <w:r>
        <w:t xml:space="preserve">1997 — PMID 9211480).</w:t>
      </w:r>
      <w:r>
        <w:t xml:space="preserve"> </w:t>
      </w:r>
      <w:r>
        <w:rPr>
          <w:b/>
          <w:bCs/>
        </w:rPr>
        <w:t xml:space="preserve">PROBABILE</w:t>
      </w:r>
      <w:r>
        <w:t xml:space="preserve"> </w:t>
      </w:r>
      <w:r>
        <w:rPr>
          <w:i/>
          <w:iCs/>
        </w:rPr>
        <w:t xml:space="preserve">(razionale forte, prove parziali)</w:t>
      </w:r>
      <w:r>
        <w:t xml:space="preserve"> </w:t>
      </w:r>
      <w:r>
        <w:t xml:space="preserve">che spegnere quella seconda sorgente riduca il dolore mestruale. Prendi donne con dismenorrea</w:t>
      </w:r>
      <w:r>
        <w:t xml:space="preserve"> </w:t>
      </w:r>
      <w:r>
        <w:rPr>
          <w:b/>
          <w:bCs/>
        </w:rPr>
        <w:t xml:space="preserve">più pregressa calcolosi urinaria</w:t>
      </w:r>
      <w:r>
        <w:t xml:space="preserve">. Nell’</w:t>
      </w:r>
      <w:r>
        <w:rPr>
          <w:b/>
          <w:bCs/>
        </w:rPr>
        <w:t xml:space="preserve">area lombare</w:t>
      </w:r>
      <w:r>
        <w:t xml:space="preserve">, che è l’area di riferimento del dolore urinario, si disattivano con anestetico i punti trigger. Nell’anno successivo il numero di cicli dolorosi cala e le soglie della parete addominale salgono: 16 donne trattate contro 12 non trattate (Costantini e Giamberardino,</w:t>
      </w:r>
      <w:r>
        <w:t xml:space="preserve"> </w:t>
      </w:r>
      <w:r>
        <w:rPr>
          <w:i/>
          <w:iCs/>
        </w:rPr>
        <w:t xml:space="preserve">Eur J Pain</w:t>
      </w:r>
      <w:r>
        <w:t xml:space="preserve"> </w:t>
      </w:r>
      <w:r>
        <w:t xml:space="preserve">2020 — PMID 32034979).</w:t>
      </w:r>
      <w:r>
        <w:t xml:space="preserve"> </w:t>
      </w:r>
      <w:r>
        <w:rPr>
          <w:b/>
          <w:bCs/>
        </w:rPr>
        <w:t xml:space="preserve">Qui i salti sono tre e vanno detti tutti: di intervento (un ago, non una mano), di bersaglio (l’area lombare, non la parete su cui le soglie sono state misurate) e di popolazione (donne con due dolori, non con uno).</w:t>
      </w:r>
      <w:r>
        <w:t xml:space="preserve"> </w:t>
      </w:r>
      <w:r>
        <w:t xml:space="preserve">Con i tre salti scritti l’etichetta regge; senza, scenderebbe a IPOTESI.</w:t>
      </w:r>
    </w:p>
    <w:p>
      <w:pPr>
        <w:pStyle w:val="FirstParagraph"/>
      </w:pPr>
      <w:r>
        <w:rPr>
          <w:b/>
          <w:bCs/>
        </w:rPr>
        <w:t xml:space="preserve">Come si vede addosso alla paziente.</w:t>
      </w:r>
      <w:r>
        <w:t xml:space="preserve"> </w:t>
      </w:r>
      <w:r>
        <w:t xml:space="preserve">Palpando la parete sotto l’ombelico trovi dolore</w:t>
      </w:r>
      <w:r>
        <w:t xml:space="preserve"> </w:t>
      </w:r>
      <w:r>
        <w:rPr>
          <w:b/>
          <w:bCs/>
        </w:rPr>
        <w:t xml:space="preserve">che lei riconosce</w:t>
      </w:r>
      <w:r>
        <w:t xml:space="preserve"> </w:t>
      </w:r>
      <w:r>
        <w:t xml:space="preserve">—</w:t>
      </w:r>
      <w:r>
        <w:t xml:space="preserve"> </w:t>
      </w:r>
      <w:r>
        <w:rPr>
          <w:i/>
          <w:iCs/>
        </w:rPr>
        <w:t xml:space="preserve">“sì, è quello”</w:t>
      </w:r>
      <w:r>
        <w:t xml:space="preserve"> </w:t>
      </w:r>
      <w:r>
        <w:t xml:space="preserve">— anche lontano dai giorni del ciclo. La dolenzia è asimmetrica e spesso peggiore a sinistra. La pressione riproduce non solo dolore locale, ma una sensazione profonda e sorda, che somiglia al crampo. E la contrazione attiva della parete non la spegne.</w:t>
      </w:r>
    </w:p>
    <w:p>
      <w:pPr>
        <w:pStyle w:val="BodyText"/>
      </w:pPr>
      <w:r>
        <w:t xml:space="preserve">E una previsione che serve: nell’area riferita ti aspetti un muscolo</w:t>
      </w:r>
      <w:r>
        <w:t xml:space="preserve"> </w:t>
      </w:r>
      <w:r>
        <w:rPr>
          <w:b/>
          <w:bCs/>
        </w:rPr>
        <w:t xml:space="preserve">dolente e piuttosto assottigliato</w:t>
      </w:r>
      <w:r>
        <w:t xml:space="preserve">, non un muscolo duro. Chi cerca ipertono e conclude che il reperto non c’è ha sbagliato l’attesa, non la mano.</w:t>
      </w:r>
    </w:p>
    <w:p>
      <w:pPr>
        <w:pStyle w:val="BodyText"/>
      </w:pPr>
      <w:r>
        <w:rPr>
          <w:b/>
          <w:bCs/>
        </w:rPr>
        <w:t xml:space="preserve">È un campanello che, a furia di suonare, resta incastrato e continua a suonare da solo.</w:t>
      </w:r>
    </w:p>
    <w:p>
      <w:r>
        <w:pict>
          <v:rect style="width:0;height:1.5pt" o:hralign="center" o:hrstd="t" o:hr="t"/>
        </w:pict>
      </w:r>
    </w:p>
    <w:bookmarkEnd w:id="33"/>
    <w:bookmarkStart w:id="34" w:name="la-porta-che-struscia-sul-pavimento"/>
    <w:p>
      <w:pPr>
        <w:pStyle w:val="Heading3"/>
      </w:pPr>
      <w:r>
        <w:t xml:space="preserve">4. La porta che struscia sul pavimento</w:t>
      </w:r>
    </w:p>
    <w:p>
      <w:pPr>
        <w:pStyle w:val="FirstParagraph"/>
      </w:pPr>
      <w:r>
        <w:rPr>
          <w:b/>
          <w:bCs/>
        </w:rPr>
        <w:t xml:space="preserve">La sequenza</w:t>
      </w:r>
    </w:p>
    <w:p>
      <w:pPr>
        <w:pStyle w:val="Compact"/>
        <w:numPr>
          <w:ilvl w:val="0"/>
          <w:numId w:val="1012"/>
        </w:numPr>
      </w:pPr>
      <w:r>
        <w:t xml:space="preserve">Bacino, lombare bassa e diaframma formano il contenitore in cui l’utero lavora.</w:t>
      </w:r>
    </w:p>
    <w:p>
      <w:pPr>
        <w:pStyle w:val="Compact"/>
        <w:numPr>
          <w:ilvl w:val="0"/>
          <w:numId w:val="1012"/>
        </w:numPr>
      </w:pPr>
      <w:r>
        <w:t xml:space="preserve">Anni di posizione fetale, due giorni al mese, riducono l’escursione lombare e chiudono il torace basso.</w:t>
      </w:r>
    </w:p>
    <w:p>
      <w:pPr>
        <w:pStyle w:val="Compact"/>
        <w:numPr>
          <w:ilvl w:val="0"/>
          <w:numId w:val="1012"/>
        </w:numPr>
      </w:pPr>
      <w:r>
        <w:t xml:space="preserve">La riduzione di escursione e l’aumento del tono mantengono un ingresso nocicettivo negli stessi segmenti in cui arriva il segnale uterino. Ma solo in due distretti: il</w:t>
      </w:r>
      <w:r>
        <w:t xml:space="preserve"> </w:t>
      </w:r>
      <w:r>
        <w:rPr>
          <w:b/>
          <w:bCs/>
        </w:rPr>
        <w:t xml:space="preserve">sacro con la sacroiliaca posteriore</w:t>
      </w:r>
      <w:r>
        <w:t xml:space="preserve"> </w:t>
      </w:r>
      <w:r>
        <w:t xml:space="preserve">e la</w:t>
      </w:r>
      <w:r>
        <w:t xml:space="preserve"> </w:t>
      </w:r>
      <w:r>
        <w:rPr>
          <w:b/>
          <w:bCs/>
        </w:rPr>
        <w:t xml:space="preserve">cerniera dorso-lombare T10-L1</w:t>
      </w:r>
      <w:r>
        <w:t xml:space="preserve">. Quali livelli condivida ciascuno dei due, e perché il rachide lombare medio ne resti fuori, sta in «Le strutture in gioco».</w:t>
      </w:r>
    </w:p>
    <w:p>
      <w:pPr>
        <w:pStyle w:val="Compact"/>
        <w:numPr>
          <w:ilvl w:val="0"/>
          <w:numId w:val="1012"/>
        </w:numPr>
      </w:pPr>
      <w:r>
        <w:t xml:space="preserve">Quell’ingresso somma il proprio contributo a quello viscerale sul neurone di convergenza. Il risultato è la componente lombare del sintomo — quella che la paziente descrive come</w:t>
      </w:r>
      <w:r>
        <w:t xml:space="preserve"> </w:t>
      </w:r>
      <w:r>
        <w:rPr>
          <w:i/>
          <w:iCs/>
        </w:rPr>
        <w:t xml:space="preserve">“la schiena che si spacca”</w:t>
      </w:r>
      <w:r>
        <w:t xml:space="preserve"> </w:t>
      </w:r>
      <w:r>
        <w:t xml:space="preserve">— che ha una vita sua e persiste fra un ciclo e l’altro.</w:t>
      </w:r>
    </w:p>
    <w:p>
      <w:pPr>
        <w:pStyle w:val="FirstParagraph"/>
      </w:pPr>
      <w:r>
        <w:t xml:space="preserve">Il punto 2 di questa sequenza è un compenso.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IPOTESI</w:t>
      </w:r>
      <w:r>
        <w:t xml:space="preserve"> </w:t>
      </w:r>
      <w:r>
        <w:rPr>
          <w:i/>
          <w:iCs/>
        </w:rPr>
        <w:t xml:space="preserve">(meccanismo coerente, nessuno studio)</w:t>
      </w:r>
      <w:r>
        <w:t xml:space="preserve"> </w:t>
      </w:r>
      <w:r>
        <w:t xml:space="preserve">che la rigidità del contenitore sia una causa del dolore mestruale, e qui con prove contrarie da nominare. Nessuno ha misurato escursione lombare, mobilità sacroiliaca o assetto diaframmatico prima e dopo, mettendoli in relazione col dolore mestruale. E sulla leva costruita su questo meccanismo la revisione dedicata è negativa: quattro studi di manipolazione ad alta velocità non mostrano differenza contro la finta manipolazione, e il solo studio con numerosità adeguata non trova nessuna differenza (Proctor,</w:t>
      </w:r>
      <w:r>
        <w:t xml:space="preserve"> </w:t>
      </w:r>
      <w:r>
        <w:rPr>
          <w:i/>
          <w:iCs/>
        </w:rPr>
        <w:t xml:space="preserve">Cochrane</w:t>
      </w:r>
      <w:r>
        <w:t xml:space="preserve"> </w:t>
      </w:r>
      <w:r>
        <w:t xml:space="preserve">2006 — PMID 16855988).</w:t>
      </w:r>
      <w:r>
        <w:t xml:space="preserve"> </w:t>
      </w:r>
      <w:r>
        <w:rPr>
          <w:b/>
          <w:bCs/>
        </w:rPr>
        <w:t xml:space="preserve">PROBABILE</w:t>
      </w:r>
      <w:r>
        <w:t xml:space="preserve"> </w:t>
      </w:r>
      <w:r>
        <w:rPr>
          <w:i/>
          <w:iCs/>
        </w:rPr>
        <w:t xml:space="preserve">(razionale forte, prove parziali)</w:t>
      </w:r>
      <w:r>
        <w:t xml:space="preserve"> </w:t>
      </w:r>
      <w:r>
        <w:t xml:space="preserve">su una cosa più stretta e più utile, cioè l’effetto immediato sulla</w:t>
      </w:r>
      <w:r>
        <w:t xml:space="preserve"> </w:t>
      </w:r>
      <w:r>
        <w:rPr>
          <w:b/>
          <w:bCs/>
        </w:rPr>
        <w:t xml:space="preserve">componente lombo-pelvica</w:t>
      </w:r>
      <w:r>
        <w:t xml:space="preserve">. Una manipolazione pelvica bilaterale, contro finto trattamento, alza la soglia di pressione su entrambe le sacroiliache e riduce il dolore lombo-pelvico riferito — non il crampo (Molins-Cubero,</w:t>
      </w:r>
      <w:r>
        <w:t xml:space="preserve"> </w:t>
      </w:r>
      <w:r>
        <w:rPr>
          <w:i/>
          <w:iCs/>
        </w:rPr>
        <w:t xml:space="preserve">Pain Med</w:t>
      </w:r>
      <w:r>
        <w:t xml:space="preserve"> </w:t>
      </w:r>
      <w:r>
        <w:t xml:space="preserve">2014, 40 donne — PMID 24666560).</w:t>
      </w:r>
    </w:p>
    <w:p>
      <w:pPr>
        <w:pStyle w:val="FirstParagraph"/>
      </w:pPr>
      <w:r>
        <w:rPr>
          <w:b/>
          <w:bCs/>
        </w:rPr>
        <w:t xml:space="preserve">Come si vede addosso alla paziente.</w:t>
      </w:r>
      <w:r>
        <w:t xml:space="preserve"> </w:t>
      </w:r>
      <w:r>
        <w:t xml:space="preserve">Il dolore lombosacrale c’è anche fuori dal ciclo, attenuato. L’escursione lombare è ridotta rispetto all’età, il torace basso poco espansivo. E descrive quel dolore come</w:t>
      </w:r>
      <w:r>
        <w:t xml:space="preserve"> </w:t>
      </w:r>
      <w:r>
        <w:rPr>
          <w:b/>
          <w:bCs/>
        </w:rPr>
        <w:t xml:space="preserve">diverso</w:t>
      </w:r>
      <w:r>
        <w:t xml:space="preserve"> </w:t>
      </w:r>
      <w:r>
        <w:t xml:space="preserve">dal crampo: più sordo, più fisso, meno a ondate.</w:t>
      </w:r>
    </w:p>
    <w:p>
      <w:pPr>
        <w:pStyle w:val="BodyText"/>
      </w:pPr>
      <w:r>
        <w:rPr>
          <w:b/>
          <w:bCs/>
        </w:rPr>
        <w:t xml:space="preserve">È una porta che struscia sul pavimento: il cardine funziona, si è mossa la cornice.</w:t>
      </w:r>
    </w:p>
    <w:p>
      <w:r>
        <w:pict>
          <v:rect style="width:0;height:1.5pt" o:hralign="center" o:hrstd="t" o:hr="t"/>
        </w:pict>
      </w:r>
    </w:p>
    <w:bookmarkEnd w:id="34"/>
    <w:bookmarkStart w:id="35" w:name="X64fc19be7efc560b4e1c932fd6baaace7a3252e"/>
    <w:p>
      <w:pPr>
        <w:pStyle w:val="Heading3"/>
      </w:pPr>
      <w:r>
        <w:t xml:space="preserve">5. Il calendario nero prima che il mese cominci</w:t>
      </w:r>
    </w:p>
    <w:p>
      <w:pPr>
        <w:pStyle w:val="FirstParagraph"/>
      </w:pPr>
      <w:r>
        <w:rPr>
          <w:b/>
          <w:bCs/>
        </w:rPr>
        <w:t xml:space="preserve">La sequenza</w:t>
      </w:r>
    </w:p>
    <w:p>
      <w:pPr>
        <w:pStyle w:val="Compact"/>
        <w:numPr>
          <w:ilvl w:val="0"/>
          <w:numId w:val="1013"/>
        </w:numPr>
      </w:pPr>
      <w:r>
        <w:t xml:space="preserve">Vent’anni di dolore prevedibile insegnano al sistema ad aspettarselo. E l’attesa sposta in basso la soglia a cui una sensazione viscerale diventa sintomo.</w:t>
      </w:r>
    </w:p>
    <w:p>
      <w:pPr>
        <w:pStyle w:val="Compact"/>
        <w:numPr>
          <w:ilvl w:val="0"/>
          <w:numId w:val="1013"/>
        </w:numPr>
      </w:pPr>
      <w:r>
        <w:t xml:space="preserve">E l’asse dello stress, dopo anni, non è acceso: è smussato. Il cortisolo medio è più basso quanto più lunga è la storia, e davanti a uno stimolo nocivo manca la disattivazione corticale che si osserva nelle altre donne. Il sistema non è più acceso: è meno capace di spegnersi. L’«attivazione» che vedi in stanza — tessuto reattivo, respiro alto, ipervigilanza — è un’altra cosa, simpatica e comportamentale, e le due non si mescolano nella stessa frase.</w:t>
      </w:r>
    </w:p>
    <w:p>
      <w:pPr>
        <w:pStyle w:val="Compact"/>
        <w:numPr>
          <w:ilvl w:val="0"/>
          <w:numId w:val="1013"/>
        </w:numPr>
      </w:pPr>
      <w:r>
        <w:t xml:space="preserve">Il quadro si autoconferma. La giornata si organizza attorno al dolore prima che arrivi, e l’esperienza conferma la previsione. Il risultato non è dolore immaginario: è</w:t>
      </w:r>
      <w:r>
        <w:t xml:space="preserve"> </w:t>
      </w:r>
      <w:r>
        <w:rPr>
          <w:b/>
          <w:bCs/>
        </w:rPr>
        <w:t xml:space="preserve">la stessa quantità di segnale, letta più forte</w:t>
      </w:r>
      <w:r>
        <w:t xml:space="preserve">.</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che lo stato di attivazione pesi. Lo stress elevato aumenta il rischio di dismenorrea negli studi di comunità, con effetti modesti (rapporti di probabilità fra 1 e 4; Ju,</w:t>
      </w:r>
      <w:r>
        <w:t xml:space="preserve"> </w:t>
      </w:r>
      <w:r>
        <w:rPr>
          <w:i/>
          <w:iCs/>
        </w:rPr>
        <w:t xml:space="preserve">Epidemiol Rev</w:t>
      </w:r>
      <w:r>
        <w:t xml:space="preserve"> </w:t>
      </w:r>
      <w:r>
        <w:t xml:space="preserve">2014 — PMID 24284871). E le donne con dismenorrea mostrano una soppressione dell’asse dello stress correlata alla durata del sintomo (Vincent,</w:t>
      </w:r>
      <w:r>
        <w:t xml:space="preserve"> </w:t>
      </w:r>
      <w:r>
        <w:rPr>
          <w:i/>
          <w:iCs/>
        </w:rPr>
        <w:t xml:space="preserve">Pain</w:t>
      </w:r>
      <w:r>
        <w:t xml:space="preserve"> </w:t>
      </w:r>
      <w:r>
        <w:t xml:space="preserve">2011 — PMID 21524851).</w:t>
      </w:r>
      <w:r>
        <w:t xml:space="preserve"> </w:t>
      </w:r>
      <w:r>
        <w:rPr>
          <w:b/>
          <w:bCs/>
        </w:rPr>
        <w:t xml:space="preserve">IPOTESI</w:t>
      </w:r>
      <w:r>
        <w:t xml:space="preserve"> </w:t>
      </w:r>
      <w:r>
        <w:rPr>
          <w:i/>
          <w:iCs/>
        </w:rPr>
        <w:t xml:space="preserve">(meccanismo coerente, nessuno studio)</w:t>
      </w:r>
      <w:r>
        <w:t xml:space="preserve"> </w:t>
      </w:r>
      <w:r>
        <w:t xml:space="preserve">che l’attivazione sia un bersaglio modificabile in questa condizione con le nostre mani: nessuno l’ha misurato.</w:t>
      </w:r>
    </w:p>
    <w:p>
      <w:pPr>
        <w:pStyle w:val="FirstParagraph"/>
      </w:pPr>
      <w:r>
        <w:rPr>
          <w:b/>
          <w:bCs/>
        </w:rPr>
        <w:t xml:space="preserve">Come si vede addosso alla paziente.</w:t>
      </w:r>
      <w:r>
        <w:t xml:space="preserve"> </w:t>
      </w:r>
      <w:r>
        <w:t xml:space="preserve">Il mese è organizzato intorno a due date, e controlla il calendario prima di accettare un impegno. Racconta il dolore con un lessico di inevitabilità —</w:t>
      </w:r>
      <w:r>
        <w:t xml:space="preserve"> </w:t>
      </w:r>
      <w:r>
        <w:rPr>
          <w:i/>
          <w:iCs/>
        </w:rPr>
        <w:t xml:space="preserve">“tanto lo so come va”</w:t>
      </w:r>
      <w:r>
        <w:t xml:space="preserve">. Tessuti reattivi, respiro alto e corto mentre parla del ciclo. E dice, quasi sempre, che in vacanza il ciclo pesa meno.</w:t>
      </w:r>
    </w:p>
    <w:p>
      <w:pPr>
        <w:pStyle w:val="BodyText"/>
      </w:pPr>
      <w:r>
        <w:rPr>
          <w:b/>
          <w:bCs/>
        </w:rPr>
        <w:t xml:space="preserve">Il calendario si riempie di caselle nere prima ancora che il mese cominci.</w:t>
      </w:r>
    </w:p>
    <w:p>
      <w:r>
        <w:pict>
          <v:rect style="width:0;height:1.5pt" o:hralign="center" o:hrstd="t" o:hr="t"/>
        </w:pict>
      </w:r>
    </w:p>
    <w:p>
      <w:pPr>
        <w:pStyle w:val="FirstParagraph"/>
      </w:pPr>
      <w:r>
        <w:rPr>
          <w:b/>
          <w:bCs/>
        </w:rPr>
        <w:t xml:space="preserve">Una parola che li ordina.</w:t>
      </w:r>
      <w:r>
        <w:t xml:space="preserve"> </w:t>
      </w:r>
      <w:r>
        <w:t xml:space="preserve">I meccanismi 1 e 3 producono dolore</w:t>
      </w:r>
      <w:r>
        <w:t xml:space="preserve"> </w:t>
      </w:r>
      <w:r>
        <w:rPr>
          <w:b/>
          <w:bCs/>
        </w:rPr>
        <w:t xml:space="preserve">nocicettivo</w:t>
      </w:r>
      <w:r>
        <w:t xml:space="preserve">: un tessuto genera il segnale, e il dolore rispetta il suo territorio. Il meccanismo 2 descrive un dolore</w:t>
      </w:r>
      <w:r>
        <w:t xml:space="preserve"> </w:t>
      </w:r>
      <w:r>
        <w:rPr>
          <w:b/>
          <w:bCs/>
        </w:rPr>
        <w:t xml:space="preserve">nociplastico</w:t>
      </w:r>
      <w:r>
        <w:t xml:space="preserve">: distribuzione ampia, ipersensibilità a stimoli diversi, comorbilità multiple. Da qui viene la regola che ricorre più avanti: sul quadro nociplastico insistere sul carico locale non paga.</w:t>
      </w:r>
      <w:r>
        <w:t xml:space="preserve"> </w:t>
      </w:r>
      <w:r>
        <w:rPr>
          <w:b/>
          <w:bCs/>
        </w:rPr>
        <w:t xml:space="preserve">RAGIONAMENTO</w:t>
      </w:r>
      <w:r>
        <w:t xml:space="preserve"> </w:t>
      </w:r>
      <w:r>
        <w:rPr>
          <w:i/>
          <w:iCs/>
        </w:rPr>
        <w:t xml:space="preserve">(cornice clinica, non una prova)</w:t>
      </w:r>
      <w:r>
        <w:t xml:space="preserve">.</w:t>
      </w:r>
    </w:p>
    <w:p>
      <w:pPr>
        <w:pStyle w:val="BodyText"/>
      </w:pPr>
      <w:r>
        <w:rPr>
          <w:b/>
          <w:bCs/>
        </w:rPr>
        <w:t xml:space="preserve">Le tre cose da ricordare, più una</w:t>
      </w:r>
    </w:p>
    <w:p>
      <w:pPr>
        <w:pStyle w:val="Compact"/>
        <w:numPr>
          <w:ilvl w:val="0"/>
          <w:numId w:val="1014"/>
        </w:numPr>
      </w:pPr>
      <w:r>
        <w:t xml:space="preserve">Il generatore principale è chimico e interno, e non è tuo: saperlo ti impedisce di promettere il crampo.</w:t>
      </w:r>
    </w:p>
    <w:p>
      <w:pPr>
        <w:pStyle w:val="Compact"/>
        <w:numPr>
          <w:ilvl w:val="0"/>
          <w:numId w:val="1014"/>
        </w:numPr>
      </w:pPr>
      <w:r>
        <w:t xml:space="preserve">La parete addominale è la struttura in cui l’alterazione è misurata e ripetibile, ed è la sola su cui hai un bersaglio con un dato dietro.</w:t>
      </w:r>
    </w:p>
    <w:p>
      <w:pPr>
        <w:pStyle w:val="Compact"/>
        <w:numPr>
          <w:ilvl w:val="0"/>
          <w:numId w:val="1014"/>
        </w:numPr>
      </w:pPr>
      <w:r>
        <w:t xml:space="preserve">La componente lombo-pelvica è la seconda metà del sintomo e ha una leva sua, distinta da quella sul crampo: non confonderle è metà del lavoro.</w:t>
      </w:r>
    </w:p>
    <w:p>
      <w:pPr>
        <w:pStyle w:val="Compact"/>
        <w:numPr>
          <w:ilvl w:val="0"/>
          <w:numId w:val="1014"/>
        </w:numPr>
      </w:pPr>
      <w:r>
        <w:rPr>
          <w:b/>
          <w:bCs/>
        </w:rPr>
        <w:t xml:space="preserve">Perché ci sei tu.</w:t>
      </w:r>
      <w:r>
        <w:t xml:space="preserve"> </w:t>
      </w:r>
      <w:r>
        <w:t xml:space="preserve">La maggiore sensibilità al dolore delle donne con dismenorrea è presente anche fuori dalle aree in cui il dolore mestruale si riferisce, e anche nei giorni in cui non hanno dolore (Iacovides, 2015 — PMID 26346058). Questo ti autorizza a valutarla e a trattarla fuori dai giorni del sangue, quando è più facile per lei e per te. Non ti autorizza a chiamare quel reperto una diagnosi: la sensibilità aumentata la trovi anche in chi ha una malattia sotto.</w:t>
      </w:r>
    </w:p>
    <w:p>
      <w:r>
        <w:pict>
          <v:rect style="width:0;height:1.5pt" o:hralign="center" o:hrstd="t" o:hr="t"/>
        </w:pict>
      </w:r>
    </w:p>
    <w:bookmarkEnd w:id="35"/>
    <w:bookmarkEnd w:id="36"/>
    <w:bookmarkStart w:id="42"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cinque pattern, e il primo atto clinico non è trattarli — è separare i tre che restano da te dai due che vanno rimandati indietro.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Primaria giovane tipica</w:t>
            </w:r>
          </w:p>
        </w:tc>
        <w:tc>
          <w:tcPr/>
          <w:p>
            <w:pPr>
              <w:pStyle w:val="Compact"/>
            </w:pPr>
            <w:r>
              <w:t xml:space="preserve">Esordio entro un anno dal menarca</w:t>
            </w:r>
          </w:p>
        </w:tc>
        <w:tc>
          <w:tcPr/>
          <w:p>
            <w:pPr>
              <w:pStyle w:val="Compact"/>
            </w:pPr>
            <w:r>
              <w:t xml:space="preserve">Pressione intrauterina</w:t>
            </w:r>
          </w:p>
        </w:tc>
        <w:tc>
          <w:tcPr/>
          <w:p>
            <w:pPr>
              <w:pStyle w:val="Compact"/>
            </w:pPr>
            <w:r>
              <w:t xml:space="preserve">Poco: la leva è altrove</w:t>
            </w:r>
          </w:p>
        </w:tc>
      </w:tr>
      <w:tr>
        <w:tc>
          <w:tcPr/>
          <w:p>
            <w:pPr>
              <w:pStyle w:val="Compact"/>
            </w:pPr>
            <w:r>
              <w:t xml:space="preserve">Parete addominale iperalgesica</w:t>
            </w:r>
          </w:p>
        </w:tc>
        <w:tc>
          <w:tcPr/>
          <w:p>
            <w:pPr>
              <w:pStyle w:val="Compact"/>
            </w:pPr>
            <w:r>
              <w:t xml:space="preserve">Dolore riprodotto palpando la parete</w:t>
            </w:r>
          </w:p>
        </w:tc>
        <w:tc>
          <w:tcPr/>
          <w:p>
            <w:pPr>
              <w:pStyle w:val="Compact"/>
            </w:pPr>
            <w:r>
              <w:t xml:space="preserve">Campanello incastrato</w:t>
            </w:r>
          </w:p>
        </w:tc>
        <w:tc>
          <w:tcPr/>
          <w:p>
            <w:pPr>
              <w:pStyle w:val="Compact"/>
            </w:pPr>
            <w:r>
              <w:t xml:space="preserve">Molto</w:t>
            </w:r>
          </w:p>
        </w:tc>
      </w:tr>
      <w:tr>
        <w:tc>
          <w:tcPr/>
          <w:p>
            <w:pPr>
              <w:pStyle w:val="Compact"/>
            </w:pPr>
            <w:r>
              <w:t xml:space="preserve">Soglia abbassata diffusa</w:t>
            </w:r>
          </w:p>
        </w:tc>
        <w:tc>
          <w:tcPr/>
          <w:p>
            <w:pPr>
              <w:pStyle w:val="Compact"/>
            </w:pPr>
            <w:r>
              <w:t xml:space="preserve">Dolori multipli, anche fuori ciclo</w:t>
            </w:r>
          </w:p>
        </w:tc>
        <w:tc>
          <w:tcPr/>
          <w:p>
            <w:pPr>
              <w:pStyle w:val="Compact"/>
            </w:pPr>
            <w:r>
              <w:t xml:space="preserve">Bilancia tarata male</w:t>
            </w:r>
          </w:p>
        </w:tc>
        <w:tc>
          <w:tcPr/>
          <w:p>
            <w:pPr>
              <w:pStyle w:val="Compact"/>
            </w:pPr>
            <w:r>
              <w:t xml:space="preserve">Abbastanza</w:t>
            </w:r>
          </w:p>
        </w:tc>
      </w:tr>
      <w:tr>
        <w:tc>
          <w:tcPr/>
          <w:p>
            <w:pPr>
              <w:pStyle w:val="Compact"/>
            </w:pPr>
            <w:r>
              <w:t xml:space="preserve">Sospetta secondaria</w:t>
            </w:r>
          </w:p>
        </w:tc>
        <w:tc>
          <w:tcPr/>
          <w:p>
            <w:pPr>
              <w:pStyle w:val="Compact"/>
            </w:pPr>
            <w:r>
              <w:t xml:space="preserve">Peggiora anno dopo anno</w:t>
            </w:r>
          </w:p>
        </w:tc>
        <w:tc>
          <w:tcPr/>
          <w:p>
            <w:pPr>
              <w:pStyle w:val="Compact"/>
            </w:pPr>
            <w:r>
              <w:t xml:space="preserve">Non lo sai, e non è tuo</w:t>
            </w:r>
          </w:p>
        </w:tc>
        <w:tc>
          <w:tcPr/>
          <w:p>
            <w:pPr>
              <w:pStyle w:val="Compact"/>
            </w:pPr>
            <w:r>
              <w:t xml:space="preserve">Si invia; parete e lombare restano trattabili</w:t>
            </w:r>
          </w:p>
        </w:tc>
      </w:tr>
      <w:tr>
        <w:tc>
          <w:tcPr/>
          <w:p>
            <w:pPr>
              <w:pStyle w:val="Compact"/>
            </w:pPr>
            <w:r>
              <w:t xml:space="preserve">Da dispositivo o causa nota</w:t>
            </w:r>
          </w:p>
        </w:tc>
        <w:tc>
          <w:tcPr/>
          <w:p>
            <w:pPr>
              <w:pStyle w:val="Compact"/>
            </w:pPr>
            <w:r>
              <w:t xml:space="preserve">Comparso dopo spirale al rame</w:t>
            </w:r>
          </w:p>
        </w:tc>
        <w:tc>
          <w:tcPr/>
          <w:p>
            <w:pPr>
              <w:pStyle w:val="Compact"/>
            </w:pPr>
            <w:r>
              <w:t xml:space="preserve">Causa esterna nota</w:t>
            </w:r>
          </w:p>
        </w:tc>
        <w:tc>
          <w:tcPr/>
          <w:p>
            <w:pPr>
              <w:pStyle w:val="Compact"/>
            </w:pPr>
            <w:r>
              <w:t xml:space="preserve">Si segnala; il ciclo non è il bersaglio</w:t>
            </w:r>
          </w:p>
        </w:tc>
      </w:tr>
    </w:tbl>
    <w:bookmarkStart w:id="37" w:name="primaria-giovane-tipica"/>
    <w:p>
      <w:pPr>
        <w:pStyle w:val="Heading3"/>
      </w:pPr>
      <w:r>
        <w:t xml:space="preserve">Primaria giovane tipica</w:t>
      </w:r>
    </w:p>
    <w:p>
      <w:pPr>
        <w:pStyle w:val="FirstParagraph"/>
      </w:pPr>
      <w:r>
        <w:t xml:space="preserve">Esordio entro sei-dodici mesi dal menarca, dolore nelle prime quarantotto ore, buona risposta all’antinfiammatorio, ecografia normale, nessun dolore fuori dal ciclo.</w:t>
      </w:r>
    </w:p>
    <w:p>
      <w:pPr>
        <w:pStyle w:val="BodyText"/>
      </w:pPr>
      <w:r>
        <w:rPr>
          <w:b/>
          <w:bCs/>
        </w:rPr>
        <w:t xml:space="preserve">L’esordio precoce rassicura solo se il dolore non è ingravescente e risponde al farmaco.</w:t>
      </w:r>
      <w:r>
        <w:t xml:space="preserve"> </w:t>
      </w:r>
      <w:r>
        <w:t xml:space="preserve">Qualunque anomalia ostruttiva del tratto riproduttivo — imenale, vaginale o mulleriana — causa dismenorrea secondaria. E si presenta esattamente in quella finestra: dolore severo che comincia subito dopo il menarca, peggiora e non risponde (ACOG 760, 2018 — PMID 30461694). Sono quadri chirurgici. La finestra che dovrebbe tranquillizzarti è la stessa in cui si presenta la causa più chirurgica di tutte.</w:t>
      </w:r>
    </w:p>
    <w:p>
      <w:pPr>
        <w:pStyle w:val="BodyText"/>
      </w:pPr>
      <w:r>
        <w:t xml:space="preserve">È la forma su cui la fisiologia è più chiara e la tua leva è più corta: il generatore è la pressione intrauterina, e nessuna mano ci arriva. È la vetrina di un negozio chiuso: vedi tutto e non tocchi niente.</w:t>
      </w:r>
      <w:r>
        <w:t xml:space="preserve"> </w:t>
      </w:r>
      <w:r>
        <w:rPr>
          <w:b/>
          <w:bCs/>
        </w:rPr>
        <w:t xml:space="preserve">Quello che puoi fare qui non è manuale: è insegnare le leve attive con le prove migliori del documento</w:t>
      </w:r>
      <w:r>
        <w:t xml:space="preserve">, e riconoscere se il quadro cambia.</w:t>
      </w:r>
    </w:p>
    <w:bookmarkEnd w:id="37"/>
    <w:bookmarkStart w:id="38" w:name="parete-addominale-iperalgesica"/>
    <w:p>
      <w:pPr>
        <w:pStyle w:val="Heading3"/>
      </w:pPr>
      <w:r>
        <w:t xml:space="preserve">Parete addominale iperalgesica</w:t>
      </w:r>
    </w:p>
    <w:p>
      <w:pPr>
        <w:pStyle w:val="FirstParagraph"/>
      </w:pPr>
      <w:r>
        <w:t xml:space="preserve">La palpazione della parete sotto l’ombelico riproduce un dolore che la paziente riconosce come</w:t>
      </w:r>
      <w:r>
        <w:t xml:space="preserve"> </w:t>
      </w:r>
      <w:r>
        <w:t xml:space="preserve">“il suo”</w:t>
      </w:r>
      <w:r>
        <w:t xml:space="preserve">, e lo fa anche in fase follicolare. La dolenzia è asimmetrica, spesso peggiore a sinistra. È il sottotipo in cui bersaglio, marker e razionale hanno un dato dietro.</w:t>
      </w:r>
      <w:r>
        <w:t xml:space="preserve"> </w:t>
      </w:r>
      <w:r>
        <w:rPr>
          <w:b/>
          <w:bCs/>
        </w:rPr>
        <w:t xml:space="preserve">È la paziente per cui questo documento esiste.</w:t>
      </w:r>
    </w:p>
    <w:p>
      <w:pPr>
        <w:pStyle w:val="BodyText"/>
      </w:pPr>
      <w:r>
        <w:rPr>
          <w:b/>
          <w:bCs/>
        </w:rPr>
        <w:t xml:space="preserve">Una variante da separare:</w:t>
      </w:r>
      <w:r>
        <w:t xml:space="preserve"> </w:t>
      </w:r>
      <w:r>
        <w:t xml:space="preserve">la donna con una cicatrice sull’addome basso. Ha un substrato diverso e una prognosi diversa. La domanda che le distingue sta nel Passo 0 di «Come ragiono davanti a questa paziente».</w:t>
      </w:r>
    </w:p>
    <w:bookmarkEnd w:id="38"/>
    <w:bookmarkStart w:id="39" w:name="soglia-abbassata-diffusa"/>
    <w:p>
      <w:pPr>
        <w:pStyle w:val="Heading3"/>
      </w:pPr>
      <w:r>
        <w:t xml:space="preserve">Soglia abbassata diffusa</w:t>
      </w:r>
    </w:p>
    <w:p>
      <w:pPr>
        <w:pStyle w:val="FirstParagraph"/>
      </w:pPr>
      <w:r>
        <w:t xml:space="preserve">Dolori multipli — intestino, vescica, testa, rapporti — soglie basse ovunque, sonno rotto, dolore che non rispetta i confini del ciclo. È il quadro nociplastico di «Cosa si rompe». Il bersaglio non è la parete: è lo stato. Leve più lente, tempi in settimane, e il marker che conta è quello fuori piano.</w:t>
      </w:r>
      <w:r>
        <w:t xml:space="preserve"> </w:t>
      </w:r>
      <w:r>
        <w:rPr>
          <w:b/>
          <w:bCs/>
        </w:rPr>
        <w:t xml:space="preserve">Non è</w:t>
      </w:r>
      <w:r>
        <w:rPr>
          <w:b/>
          <w:bCs/>
        </w:rPr>
        <w:t xml:space="preserve"> </w:t>
      </w:r>
      <w:r>
        <w:rPr>
          <w:b/>
          <w:bCs/>
        </w:rPr>
        <w:t xml:space="preserve">“non c’è niente da fare”</w:t>
      </w:r>
      <w:r>
        <w:rPr>
          <w:b/>
          <w:bCs/>
        </w:rPr>
        <w:t xml:space="preserve">: è il quadro in cui il piano dell’attivazione è il bersaglio dichiarato.</w:t>
      </w:r>
    </w:p>
    <w:bookmarkEnd w:id="39"/>
    <w:bookmarkStart w:id="40" w:name="sospetta-secondaria"/>
    <w:p>
      <w:pPr>
        <w:pStyle w:val="Heading3"/>
      </w:pPr>
      <w:r>
        <w:t xml:space="preserve">Sospetta secondaria</w:t>
      </w:r>
    </w:p>
    <w:p>
      <w:pPr>
        <w:pStyle w:val="FirstParagraph"/>
      </w:pPr>
      <w:r>
        <w:t xml:space="preserve">Dolore presente anche fuori dal ciclo</w:t>
      </w:r>
      <w:r>
        <w:t xml:space="preserve"> </w:t>
      </w:r>
      <w:r>
        <w:rPr>
          <w:b/>
          <w:bCs/>
        </w:rPr>
        <w:t xml:space="preserve">che somiglia al crampo o è comparso dopo</w:t>
      </w:r>
      <w:r>
        <w:t xml:space="preserve">. La dolenzia lombosacrale sorda di sempre è un’altra cosa, ed è qualificata nel passo 1 della Road Map. Gli altri separatori stanno riga per riga nella tabella delle bandiere rosse: peggioramento anno dopo anno, rapporti profondi, defecazione mestruale, flusso abbondante, fallimento di farmaco più ormone, esordio dopo anni di cicli indolori.</w:t>
      </w:r>
    </w:p>
    <w:p>
      <w:pPr>
        <w:pStyle w:val="BodyText"/>
      </w:pPr>
      <w:r>
        <w:t xml:space="preserve">Va rimandata al ginecologo, e la riga che devi avere in testa è questa:</w:t>
      </w:r>
      <w:r>
        <w:t xml:space="preserve"> </w:t>
      </w:r>
      <w:r>
        <w:rPr>
          <w:b/>
          <w:bCs/>
        </w:rPr>
        <w:t xml:space="preserve">l’ecografia normale che ha in mano non chiude la questione.</w:t>
      </w:r>
      <w:r>
        <w:t xml:space="preserve"> </w:t>
      </w:r>
      <w:r>
        <w:t xml:space="preserve">Su questo pattern il tuo atto clinico principale è il riconoscimento.</w:t>
      </w:r>
    </w:p>
    <w:p>
      <w:pPr>
        <w:pStyle w:val="BodyText"/>
      </w:pPr>
      <w:r>
        <w:rPr>
          <w:b/>
          <w:bCs/>
        </w:rPr>
        <w:t xml:space="preserve">Rimandare non vuol dire mandare via.</w:t>
      </w:r>
      <w:r>
        <w:t xml:space="preserve"> </w:t>
      </w:r>
      <w:r>
        <w:t xml:space="preserve">È il GIALLO PRIORITARIO del capitolo sui limiti. Il canale ginecologico corre per iscritto; tu lavori in parallelo su parete e componente lombo-pelvica, dichiarando che il sintomo mestruale non è il bersaglio; il tetto è di quattro settimane. Sensibilizzazione e malattia convivono spesso: la parete iperalgesica c’è anche in questa donna, e resta trattabile. Sulla nostra leva vale</w:t>
      </w:r>
      <w:r>
        <w:t xml:space="preserve"> </w:t>
      </w:r>
      <w:r>
        <w:rPr>
          <w:b/>
          <w:bCs/>
        </w:rPr>
        <w:t xml:space="preserve">IPOTESI</w:t>
      </w:r>
      <w:r>
        <w:t xml:space="preserve"> </w:t>
      </w:r>
      <w:r>
        <w:rPr>
          <w:i/>
          <w:iCs/>
        </w:rPr>
        <w:t xml:space="preserve">(meccanismo coerente, nessuno studio)</w:t>
      </w:r>
      <w:r>
        <w:t xml:space="preserve">, con l’unica misura che esiste su una popolazione vicina. Prendi donne con dolore pelvico da endometriosi non responsivo alla terapia convenzionale. Quattro settimane di idroterapia con massaggio hanno ridotto dismenorrea e dispareunia, e hanno alzato le soglie di pressione della regione pelvica (Rodríguez-Ruiz,</w:t>
      </w:r>
      <w:r>
        <w:t xml:space="preserve"> </w:t>
      </w:r>
      <w:r>
        <w:rPr>
          <w:i/>
          <w:iCs/>
        </w:rPr>
        <w:t xml:space="preserve">Medicina</w:t>
      </w:r>
      <w:r>
        <w:t xml:space="preserve"> </w:t>
      </w:r>
      <w:r>
        <w:t xml:space="preserve">2024, 44 donne — PMID 39459464).</w:t>
      </w:r>
      <w:r>
        <w:t xml:space="preserve"> </w:t>
      </w:r>
      <w:r>
        <w:rPr>
          <w:b/>
          <w:bCs/>
        </w:rPr>
        <w:t xml:space="preserve">Misurato su donne con endometriosi accertata e con un pacchetto di idroterapia in ambiente multisensoriale, non con le tue mani su una dismenorrea primaria: i salti sono di popolazione e di intervento.</w:t>
      </w:r>
    </w:p>
    <w:bookmarkEnd w:id="40"/>
    <w:bookmarkStart w:id="41" w:name="da-dispositivo-o-causa-nota"/>
    <w:p>
      <w:pPr>
        <w:pStyle w:val="Heading3"/>
      </w:pPr>
      <w:r>
        <w:t xml:space="preserve">Da dispositivo o causa nota</w:t>
      </w:r>
    </w:p>
    <w:p>
      <w:pPr>
        <w:pStyle w:val="FirstParagraph"/>
      </w:pPr>
      <w:r>
        <w:t xml:space="preserve">Dismenorrea comparsa o marcatamente peggiorata dopo l’inserimento di una spirale al rame, oppure in presenza di una causa già nota. Il dispositivo non si commenta e non si tocca: si segnala al prescrittore per iscritto. Si lavora eventualmente su altro, dichiarando che il sintomo mestruale non è il bersaglio.</w:t>
      </w:r>
    </w:p>
    <w:p>
      <w:pPr>
        <w:pStyle w:val="BodyText"/>
      </w:pPr>
      <w:r>
        <w:rPr>
          <w:b/>
          <w:bCs/>
        </w:rPr>
        <w:t xml:space="preserve">Condizioni spesso associate.</w:t>
      </w:r>
      <w:r>
        <w:t xml:space="preserve"> </w:t>
      </w:r>
      <w:r>
        <w:t xml:space="preserve">Con il colon irritabile, vedi la Bibbia dei problemi digestivi: i due quadri condividono i segmenti T10-L1 e si amplificano a vicenda in modo misurato — è l’</w:t>
      </w:r>
      <w:r>
        <w:rPr>
          <w:b/>
          <w:bCs/>
        </w:rPr>
        <w:t xml:space="preserve">iperalgesia viscero-viscerale</w:t>
      </w:r>
      <w:r>
        <w:t xml:space="preserve">. Chi ha entrambe le condizioni ha più dolore di chi ne ha una sola, e trattarne una migliora l’altra (Giamberardino,</w:t>
      </w:r>
      <w:r>
        <w:t xml:space="preserve"> </w:t>
      </w:r>
      <w:r>
        <w:rPr>
          <w:i/>
          <w:iCs/>
        </w:rPr>
        <w:t xml:space="preserve">Pain</w:t>
      </w:r>
      <w:r>
        <w:t xml:space="preserve"> </w:t>
      </w:r>
      <w:r>
        <w:t xml:space="preserve">2010 — PMID 20638177). Con la lombalgia, vedi la Bibbia della lombalgia: stesso territorio, stesso neurone di convergenza. Con la cefalea nei giorni del ciclo, la Bibbia dell’emicrania.</w:t>
      </w:r>
    </w:p>
    <w:p>
      <w:pPr>
        <w:pStyle w:val="BodyText"/>
      </w:pPr>
      <w:r>
        <w:rPr>
          <w:b/>
          <w:bCs/>
        </w:rPr>
        <w:t xml:space="preserve">Le tre cose da ricordare, più una</w:t>
      </w:r>
    </w:p>
    <w:p>
      <w:pPr>
        <w:pStyle w:val="Compact"/>
        <w:numPr>
          <w:ilvl w:val="0"/>
          <w:numId w:val="1015"/>
        </w:numPr>
      </w:pPr>
      <w:r>
        <w:t xml:space="preserve">Il primo atto è separare: in due dei cinque pattern il sintomo mestruale non è il tuo bersaglio, e uno dei due è frequente.</w:t>
      </w:r>
    </w:p>
    <w:p>
      <w:pPr>
        <w:pStyle w:val="Compact"/>
        <w:numPr>
          <w:ilvl w:val="0"/>
          <w:numId w:val="1015"/>
        </w:numPr>
      </w:pPr>
      <w:r>
        <w:t xml:space="preserve">Il sottotipo su cui incidi di più è quello della parete addominale, ed è l’unico in cui il tuo bersaglio è stato misurato.</w:t>
      </w:r>
    </w:p>
    <w:p>
      <w:pPr>
        <w:pStyle w:val="Compact"/>
        <w:numPr>
          <w:ilvl w:val="0"/>
          <w:numId w:val="1015"/>
        </w:numPr>
      </w:pPr>
      <w:r>
        <w:t xml:space="preserve">Nella forma giovane tipica la tua leva migliore non passa dalle mani: passa da cosa le insegni.</w:t>
      </w:r>
    </w:p>
    <w:p>
      <w:pPr>
        <w:pStyle w:val="Compact"/>
        <w:numPr>
          <w:ilvl w:val="0"/>
          <w:numId w:val="1015"/>
        </w:numPr>
      </w:pPr>
      <w:r>
        <w:rPr>
          <w:b/>
          <w:bCs/>
        </w:rPr>
        <w:t xml:space="preserve">Perché ci sei tu.</w:t>
      </w:r>
      <w:r>
        <w:t xml:space="preserve"> </w:t>
      </w:r>
      <w:r>
        <w:t xml:space="preserve">Su questo sottotipo non ci sei. Fra le adolescenti con dismenorrea portate in laparoscopia, il 70% aveva endometriosi visibile (Janssen,</w:t>
      </w:r>
      <w:r>
        <w:t xml:space="preserve"> </w:t>
      </w:r>
      <w:r>
        <w:rPr>
          <w:i/>
          <w:iCs/>
        </w:rPr>
        <w:t xml:space="preserve">Hum Reprod Update</w:t>
      </w:r>
      <w:r>
        <w:t xml:space="preserve"> </w:t>
      </w:r>
      <w:r>
        <w:t xml:space="preserve">2013 — PMID 23727940). Il dato viene da una popolazione già selezionata per l’intervento, e proprio per questo dice quanto è frequente il pattern che va mandato. Questo ti autorizza a riconoscere il pattern e a mandarlo indietro. Non ti autorizza a trattarlo come primario perché l’ecografia era normale.</w:t>
      </w:r>
    </w:p>
    <w:p>
      <w:r>
        <w:pict>
          <v:rect style="width:0;height:1.5pt" o:hralign="center" o:hrstd="t" o:hr="t"/>
        </w:pict>
      </w:r>
    </w:p>
    <w:bookmarkEnd w:id="41"/>
    <w:bookmarkEnd w:id="42"/>
    <w:bookmarkStart w:id="48"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due modelli hanno un aggancio misurato, due lo hanno debole, e uno vale solo come domanda da porre e rinvio da fare.</w:t>
      </w:r>
    </w:p>
    <w:bookmarkStart w:id="43" w:name="biomeccanico-strutturale"/>
    <w:p>
      <w:pPr>
        <w:pStyle w:val="Heading3"/>
      </w:pPr>
      <w:r>
        <w:t xml:space="preserve">Biomeccanico-Strutturale</w:t>
      </w:r>
    </w:p>
    <w:p>
      <w:pPr>
        <w:pStyle w:val="FirstParagraph"/>
      </w:pPr>
      <w:r>
        <w:rPr>
          <w:b/>
          <w:bCs/>
        </w:rPr>
        <w:t xml:space="preserve">Cosa governa qui.</w:t>
      </w:r>
      <w:r>
        <w:t xml:space="preserve"> </w:t>
      </w:r>
      <w:r>
        <w:t xml:space="preserve">L’escursione del contenitore lombo-pelvico e la qualità del tessuto della parete addominale bassa.</w:t>
      </w:r>
    </w:p>
    <w:p>
      <w:pPr>
        <w:pStyle w:val="BodyText"/>
      </w:pPr>
      <w:r>
        <w:rPr>
          <w:b/>
          <w:bCs/>
        </w:rPr>
        <w:t xml:space="preserve">Quali meccanismi governa.</w:t>
      </w:r>
      <w:r>
        <w:t xml:space="preserve"> </w:t>
      </w:r>
      <w:r>
        <w:t xml:space="preserve">«La porta che struscia sul pavimento» per intero, e la componente meccanica del «campanello che resta incastrato».</w:t>
      </w:r>
    </w:p>
    <w:p>
      <w:pPr>
        <w:pStyle w:val="BodyText"/>
      </w:pPr>
      <w:r>
        <w:rPr>
          <w:b/>
          <w:bCs/>
        </w:rPr>
        <w:t xml:space="preserve">Gli attori.</w:t>
      </w:r>
      <w:r>
        <w:t xml:space="preserve"> </w:t>
      </w:r>
      <w:r>
        <w:t xml:space="preserve">Rachide lombare basso, sacro e sacroiliache; cerniera dorso-lombare; retto dell’addome e parete sotto l’ombelico; lamine utero-sacrali; diaframma.</w:t>
      </w:r>
    </w:p>
    <w:p>
      <w:pPr>
        <w:pStyle w:val="BodyText"/>
      </w:pPr>
      <w:r>
        <w:rPr>
          <w:b/>
          <w:bCs/>
        </w:rPr>
        <w:t xml:space="preserve">Dove sta l’utero fra i cinque modelli.</w:t>
      </w:r>
      <w:r>
        <w:t xml:space="preserve"> </w:t>
      </w:r>
      <w:r>
        <w:t xml:space="preserve">Qui. La meccanica dell’organo e delle sue sospensioni appartiene al Biomeccanico-Strutturale, il riflesso viscero-somatico al Neurologico, e un modello viscerale separato non esiste. Con la restrizione che questa condizione impone: la meccanica dell’organo è</w:t>
      </w:r>
      <w:r>
        <w:t xml:space="preserve"> </w:t>
      </w:r>
      <w:r>
        <w:rPr>
          <w:b/>
          <w:bCs/>
        </w:rPr>
        <w:t xml:space="preserve">fuori portata</w:t>
      </w:r>
      <w:r>
        <w:t xml:space="preserve"> </w:t>
      </w:r>
      <w:r>
        <w:t xml:space="preserve">dalla mano, e quello che resta al Biomeccanico sono il contenitore e la parete.</w:t>
      </w:r>
    </w:p>
    <w:p>
      <w:pPr>
        <w:pStyle w:val="BodyText"/>
      </w:pPr>
      <w:r>
        <w:rPr>
          <w:b/>
          <w:bCs/>
        </w:rPr>
        <w:t xml:space="preserve">I segnali che ti dicono che pesa in questa paziente.</w:t>
      </w:r>
      <w:r>
        <w:t xml:space="preserve"> </w:t>
      </w:r>
      <w:r>
        <w:t xml:space="preserve">Escursione lombare ridotta rispetto all’età. Dolore lombosacrale anche in fase follicolare. Dolore riprodotto dalla palpazione della parete e riconosciuto come</w:t>
      </w:r>
      <w:r>
        <w:t xml:space="preserve"> </w:t>
      </w:r>
      <w:r>
        <w:t xml:space="preserve">“il suo”</w:t>
      </w:r>
      <w:r>
        <w:t xml:space="preserve">. Asimmetria fra i due retti.</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sulla componente lombo-pelvica, contro finto trattamento e in doppio cieco (Molins-Cubero,</w:t>
      </w:r>
      <w:r>
        <w:t xml:space="preserve"> </w:t>
      </w:r>
      <w:r>
        <w:rPr>
          <w:i/>
          <w:iCs/>
        </w:rPr>
        <w:t xml:space="preserve">Pain Med</w:t>
      </w:r>
      <w:r>
        <w:t xml:space="preserve"> </w:t>
      </w:r>
      <w:r>
        <w:t xml:space="preserve">2014, 40 donne — PMID 24666560): è la sola parte del quadro con una misura dietro.</w:t>
      </w:r>
      <w:r>
        <w:t xml:space="preserve"> </w:t>
      </w:r>
      <w:r>
        <w:rPr>
          <w:b/>
          <w:bCs/>
        </w:rPr>
        <w:t xml:space="preserve">IPOTESI</w:t>
      </w:r>
      <w:r>
        <w:t xml:space="preserve"> </w:t>
      </w:r>
      <w:r>
        <w:rPr>
          <w:i/>
          <w:iCs/>
        </w:rPr>
        <w:t xml:space="preserve">(meccanismo coerente, nessuno studio)</w:t>
      </w:r>
      <w:r>
        <w:t xml:space="preserve"> </w:t>
      </w:r>
      <w:r>
        <w:t xml:space="preserve">che la rigidità del contenitore sia una causa del dolore mestruale, con la prova contraria da nominare (Proctor,</w:t>
      </w:r>
      <w:r>
        <w:t xml:space="preserve"> </w:t>
      </w:r>
      <w:r>
        <w:rPr>
          <w:i/>
          <w:iCs/>
        </w:rPr>
        <w:t xml:space="preserve">Cochrane</w:t>
      </w:r>
      <w:r>
        <w:t xml:space="preserve"> </w:t>
      </w:r>
      <w:r>
        <w:t xml:space="preserve">2006 — PMID 16855988). Va aggiunto il solo studio che batta un placebo sull’esito primario, sul tessuto connettivo (Özgül, 2023, 38 donne — PMID 35556238). I tre studi sono raccontati per esteso in «Cosa si rompe» e in «Cosa dice la scienza».</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bookmarkEnd w:id="43"/>
    <w:bookmarkStart w:id="44" w:name="respiratorio-circolatorio"/>
    <w:p>
      <w:pPr>
        <w:pStyle w:val="Heading3"/>
      </w:pPr>
      <w:r>
        <w:t xml:space="preserve">Respiratorio-Circolatorio</w:t>
      </w:r>
    </w:p>
    <w:p>
      <w:pPr>
        <w:pStyle w:val="FirstParagraph"/>
      </w:pPr>
      <w:r>
        <w:rPr>
          <w:b/>
          <w:bCs/>
        </w:rPr>
        <w:t xml:space="preserve">Cosa governa qui.</w:t>
      </w:r>
      <w:r>
        <w:t xml:space="preserve"> </w:t>
      </w:r>
      <w:r>
        <w:t xml:space="preserve">La meccanica ventilatoria e il ritmo del respiro, cioè la via più diretta allo stato di attivazione.</w:t>
      </w:r>
    </w:p>
    <w:p>
      <w:pPr>
        <w:pStyle w:val="BodyText"/>
      </w:pPr>
      <w:r>
        <w:rPr>
          <w:b/>
          <w:bCs/>
        </w:rPr>
        <w:t xml:space="preserve">Quali meccanismi governa.</w:t>
      </w:r>
      <w:r>
        <w:t xml:space="preserve"> </w:t>
      </w:r>
      <w:r>
        <w:t xml:space="preserve">Il tetto del «contenitore» e, in via indiretta, «il calendario nero».</w:t>
      </w:r>
    </w:p>
    <w:p>
      <w:pPr>
        <w:pStyle w:val="BodyText"/>
      </w:pPr>
      <w:r>
        <w:rPr>
          <w:b/>
          <w:bCs/>
        </w:rPr>
        <w:t xml:space="preserve">Gli attori.</w:t>
      </w:r>
      <w:r>
        <w:t xml:space="preserve"> </w:t>
      </w:r>
      <w:r>
        <w:t xml:space="preserve">Diaframma, coste basse, parete addominale, pavimento pelvico.</w:t>
      </w:r>
    </w:p>
    <w:p>
      <w:pPr>
        <w:pStyle w:val="BodyText"/>
      </w:pPr>
      <w:r>
        <w:rPr>
          <w:b/>
          <w:bCs/>
        </w:rPr>
        <w:t xml:space="preserve">I segnali che ti dicono che pesa in questa paziente.</w:t>
      </w:r>
      <w:r>
        <w:t xml:space="preserve"> </w:t>
      </w:r>
      <w:r>
        <w:t xml:space="preserve">Espansione ridotta del torace basso. Respiro alto e corto quando parla del ciclo. Apnea sul contatto addominale.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con una restrizione di perimetro da dire nel modo giusto.</w:t>
      </w:r>
      <w:r>
        <w:t xml:space="preserve"> </w:t>
      </w:r>
      <w:r>
        <w:rPr>
          <w:b/>
          <w:bCs/>
        </w:rPr>
        <w:t xml:space="preserve">La metà circolatoria del modello è centrale nella fisiopatologia — il meccanismo 1 è un’ischemia da compressione delle arterie del miometrio (Dawood, 2006 — PMID 16880317) — e non è raggiungibile dalla mano.</w:t>
      </w:r>
      <w:r>
        <w:t xml:space="preserve"> </w:t>
      </w:r>
      <w:r>
        <w:t xml:space="preserve">Non è irrilevanza del modello: è irraggiungibilità del bersaglio. Il flusso uterino dopo un trattamento manuale è stato misurato, una volta e contro placebo, e il risultato sta per intero in «Cosa dice la scienza»: gli indici Doppler di una delle due arterie si muovono, il dolore no. Quello che ti resta qui è la meccanica ventilatoria, e il ritmo.</w:t>
      </w:r>
    </w:p>
    <w:bookmarkEnd w:id="44"/>
    <w:bookmarkStart w:id="45" w:name="neurologico"/>
    <w:p>
      <w:pPr>
        <w:pStyle w:val="Heading3"/>
      </w:pPr>
      <w:r>
        <w:t xml:space="preserve">Neurologico</w:t>
      </w:r>
    </w:p>
    <w:p>
      <w:pPr>
        <w:pStyle w:val="FirstParagraph"/>
      </w:pPr>
      <w:r>
        <w:rPr>
          <w:b/>
          <w:bCs/>
        </w:rPr>
        <w:t xml:space="preserve">Cosa governa qui.</w:t>
      </w:r>
      <w:r>
        <w:t xml:space="preserve"> </w:t>
      </w:r>
      <w:r>
        <w:t xml:space="preserve">La convergenza viscero-somatica a T10-L1, la soglia a cui il segnale uterino diventa sintomo, e la modulazione discendente.</w:t>
      </w:r>
    </w:p>
    <w:p>
      <w:pPr>
        <w:pStyle w:val="BodyText"/>
      </w:pPr>
      <w:r>
        <w:rPr>
          <w:b/>
          <w:bCs/>
        </w:rPr>
        <w:t xml:space="preserve">Quali meccanismi governa.</w:t>
      </w:r>
      <w:r>
        <w:t xml:space="preserve"> </w:t>
      </w:r>
      <w:r>
        <w:t xml:space="preserve">«La bilancia tarata male» e «il campanello che resta incastrato» per intero.</w:t>
      </w:r>
    </w:p>
    <w:p>
      <w:pPr>
        <w:pStyle w:val="BodyText"/>
      </w:pPr>
      <w:r>
        <w:rPr>
          <w:b/>
          <w:bCs/>
        </w:rPr>
        <w:t xml:space="preserve">Gli attori.</w:t>
      </w:r>
      <w:r>
        <w:t xml:space="preserve"> </w:t>
      </w:r>
      <w:r>
        <w:t xml:space="preserve">Nervi ipogastrici, nervi pelvici, neuroni di convergenza midollari, sistemi di modulazione discendente.</w:t>
      </w:r>
    </w:p>
    <w:p>
      <w:pPr>
        <w:pStyle w:val="BodyText"/>
      </w:pPr>
      <w:r>
        <w:rPr>
          <w:b/>
          <w:bCs/>
        </w:rPr>
        <w:t xml:space="preserve">I segnali che ti dicono che pesa in questa paziente.</w:t>
      </w:r>
      <w:r>
        <w:t xml:space="preserve"> </w:t>
      </w:r>
      <w:r>
        <w:t xml:space="preserve">Dolore che rispetta il territorio T10-L1. Soglie basse anche in sedi lontane. Comorbilità con colon irritabile, vescica dolorosa, cefalea. Dolore anche in fase follicolare.</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che la convergenza produca iperalgesia muscolare riferita misurabile (Giamberardino,</w:t>
      </w:r>
      <w:r>
        <w:t xml:space="preserve"> </w:t>
      </w:r>
      <w:r>
        <w:rPr>
          <w:i/>
          <w:iCs/>
        </w:rPr>
        <w:t xml:space="preserve">Pain</w:t>
      </w:r>
      <w:r>
        <w:t xml:space="preserve"> </w:t>
      </w:r>
      <w:r>
        <w:t xml:space="preserve">1997 — PMID 9211480), e che la sensibilizzazione esista e si estenda oltre il territorio (Iacovides, 2015 — PMID 26346058; Hellman,</w:t>
      </w:r>
      <w:r>
        <w:t xml:space="preserve"> </w:t>
      </w:r>
      <w:r>
        <w:rPr>
          <w:i/>
          <w:iCs/>
        </w:rPr>
        <w:t xml:space="preserve">Pain</w:t>
      </w:r>
      <w:r>
        <w:t xml:space="preserve"> </w:t>
      </w:r>
      <w:r>
        <w:t xml:space="preserve">2020 — PMID 32168005). Sull’iperalgesia riferita della parete vale l’etichetta della Leva 1 —</w:t>
      </w:r>
      <w:r>
        <w:t xml:space="preserve"> </w:t>
      </w:r>
      <w:r>
        <w:rPr>
          <w:b/>
          <w:bCs/>
        </w:rPr>
        <w:t xml:space="preserve">PROBABILE</w:t>
      </w:r>
      <w:r>
        <w:t xml:space="preserve"> </w:t>
      </w:r>
      <w:r>
        <w:rPr>
          <w:i/>
          <w:iCs/>
        </w:rPr>
        <w:t xml:space="preserve">(razionale forte, prove parziali)</w:t>
      </w:r>
      <w:r>
        <w:t xml:space="preserve">, con i tre salti scritti.</w:t>
      </w:r>
      <w:r>
        <w:t xml:space="preserve"> </w:t>
      </w:r>
      <w:r>
        <w:rPr>
          <w:b/>
          <w:bCs/>
        </w:rPr>
        <w:t xml:space="preserve">IPOTESI</w:t>
      </w:r>
      <w:r>
        <w:t xml:space="preserve"> </w:t>
      </w:r>
      <w:r>
        <w:rPr>
          <w:i/>
          <w:iCs/>
        </w:rPr>
        <w:t xml:space="preserve">(meccanismo coerente, nessuno studio)</w:t>
      </w:r>
      <w:r>
        <w:t xml:space="preserve"> </w:t>
      </w:r>
      <w:r>
        <w:t xml:space="preserve">che un trattamento manuale modifichi la componente</w:t>
      </w:r>
      <w:r>
        <w:t xml:space="preserve"> </w:t>
      </w:r>
      <w:r>
        <w:rPr>
          <w:b/>
          <w:bCs/>
        </w:rPr>
        <w:t xml:space="preserve">centrale</w:t>
      </w:r>
      <w:r>
        <w:t xml:space="preserve">, cioè la sensibilizzazione diffusa.</w:t>
      </w:r>
    </w:p>
    <w:bookmarkEnd w:id="45"/>
    <w:bookmarkStart w:id="46" w:name="metabolico-energetico"/>
    <w:p>
      <w:pPr>
        <w:pStyle w:val="Heading3"/>
      </w:pPr>
      <w:r>
        <w:t xml:space="preserve">Metabolico-Energetico</w:t>
      </w:r>
    </w:p>
    <w:p>
      <w:pPr>
        <w:pStyle w:val="FirstParagraph"/>
      </w:pPr>
      <w:r>
        <w:rPr>
          <w:b/>
          <w:bCs/>
        </w:rPr>
        <w:t xml:space="preserve">Cosa governa qui.</w:t>
      </w:r>
      <w:r>
        <w:t xml:space="preserve"> </w:t>
      </w:r>
      <w:r>
        <w:t xml:space="preserve">Sonno, carico allostatico, attività fisica abituale, peso e abitudini. Governa la</w:t>
      </w:r>
      <w:r>
        <w:t xml:space="preserve"> </w:t>
      </w:r>
      <w:r>
        <w:rPr>
          <w:b/>
          <w:bCs/>
        </w:rPr>
        <w:t xml:space="preserve">prognosi</w:t>
      </w:r>
      <w:r>
        <w:t xml:space="preserve">, non un meccanismo in proprio. È partire con l’ombrello o senza: la strada è la stessa, il viaggio no.</w:t>
      </w:r>
    </w:p>
    <w:p>
      <w:pPr>
        <w:pStyle w:val="BodyText"/>
      </w:pPr>
      <w:r>
        <w:rPr>
          <w:b/>
          <w:bCs/>
        </w:rPr>
        <w:t xml:space="preserve">Quali meccanismi governa.</w:t>
      </w:r>
      <w:r>
        <w:t xml:space="preserve"> </w:t>
      </w:r>
      <w:r>
        <w:t xml:space="preserve">Nessuno da solo, e due in concorso. Contribuisce a «la bilancia tarata male» e a «il calendario nero», attraverso l’asse dello stress e il sonno. In questa condizione entrambi sono reperti misurati: cortisolo medio più basso e correlato alla durata del sintomo (Vincent,</w:t>
      </w:r>
      <w:r>
        <w:t xml:space="preserve"> </w:t>
      </w:r>
      <w:r>
        <w:rPr>
          <w:i/>
          <w:iCs/>
        </w:rPr>
        <w:t xml:space="preserve">Pain</w:t>
      </w:r>
      <w:r>
        <w:t xml:space="preserve"> </w:t>
      </w:r>
      <w:r>
        <w:t xml:space="preserve">2011 — PMID 21524851), sonno peggiore nei giorni del flusso (Iacovides, 2015 — PMID 26346058).</w:t>
      </w:r>
    </w:p>
    <w:p>
      <w:pPr>
        <w:pStyle w:val="BodyText"/>
      </w:pPr>
      <w:r>
        <w:rPr>
          <w:b/>
          <w:bCs/>
        </w:rPr>
        <w:t xml:space="preserve">Gli attori.</w:t>
      </w:r>
      <w:r>
        <w:t xml:space="preserve"> </w:t>
      </w:r>
      <w:r>
        <w:t xml:space="preserve">Sonno dei giorni del flusso, attività fisica regolare, stress cronico. Non il fumo e non il peso: la fonte che regge questo modello dichiara</w:t>
      </w:r>
      <w:r>
        <w:t xml:space="preserve"> </w:t>
      </w:r>
      <w:r>
        <w:rPr>
          <w:b/>
          <w:bCs/>
        </w:rPr>
        <w:t xml:space="preserve">inconclusive</w:t>
      </w:r>
      <w:r>
        <w:t xml:space="preserve"> </w:t>
      </w:r>
      <w:r>
        <w:t xml:space="preserve">le prove su fumo, dieta e obesità (Ju, 2014 — PMID 24284871).</w:t>
      </w:r>
    </w:p>
    <w:p>
      <w:pPr>
        <w:pStyle w:val="BodyText"/>
      </w:pPr>
      <w:r>
        <w:rPr>
          <w:b/>
          <w:bCs/>
        </w:rPr>
        <w:t xml:space="preserve">I segnali che ti dicono che pesa in questa paziente.</w:t>
      </w:r>
      <w:r>
        <w:t xml:space="preserve"> </w:t>
      </w:r>
      <w:r>
        <w:t xml:space="preserve">Sedentarietà. Sonno rotto nei giorni del ciclo. Peggioramento netto nei periodi di carico.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l’esercizio regolare riduca il dolore mestruale (Armour,</w:t>
      </w:r>
      <w:r>
        <w:t xml:space="preserve"> </w:t>
      </w:r>
      <w:r>
        <w:rPr>
          <w:i/>
          <w:iCs/>
        </w:rPr>
        <w:t xml:space="preserve">Cochrane</w:t>
      </w:r>
      <w:r>
        <w:t xml:space="preserve"> </w:t>
      </w:r>
      <w:r>
        <w:t xml:space="preserve">2019 — PMID 31538328). I numeri, e la ragione per cui l’etichetta non sale a DIMOSTRATO, stanno in «Cosa può fare la paziente da sola». E questo blocco di prove non appartiene tutto qui: la sintesi comparativa più ampia mette al primo posto il</w:t>
      </w:r>
      <w:r>
        <w:t xml:space="preserve"> </w:t>
      </w:r>
      <w:r>
        <w:rPr>
          <w:b/>
          <w:bCs/>
        </w:rPr>
        <w:t xml:space="preserve">rilassamento</w:t>
      </w:r>
      <w:r>
        <w:t xml:space="preserve">, non il condizionamento aerobico o di forza (Tsai,</w:t>
      </w:r>
      <w:r>
        <w:t xml:space="preserve"> </w:t>
      </w:r>
      <w:r>
        <w:rPr>
          <w:i/>
          <w:iCs/>
        </w:rPr>
        <w:t xml:space="preserve">Sports Med Open</w:t>
      </w:r>
      <w:r>
        <w:t xml:space="preserve"> </w:t>
      </w:r>
      <w:r>
        <w:t xml:space="preserve">2024, 29 studi, 1.808 donne — PMID 38816591). Parte di ciò che l’esercizio sposta passa dal piano comportamentale, non da questo.</w:t>
      </w:r>
    </w:p>
    <w:p>
      <w:pPr>
        <w:pStyle w:val="BlockText"/>
      </w:pPr>
      <w:r>
        <w:rPr>
          <w:b/>
          <w:bCs/>
        </w:rPr>
        <w:t xml:space="preserve">Attenzione.</w:t>
      </w:r>
      <w:r>
        <w:t xml:space="preserve"> </w:t>
      </w:r>
      <w:r>
        <w:t xml:space="preserve">Nessuna di queste leve si lavora con le mani. Si valutano, si nominano, si rinviano. L’esercizio in più si insegna, con i limiti scritti in «Cosa può fare la paziente da sola».</w:t>
      </w:r>
    </w:p>
    <w:bookmarkEnd w:id="46"/>
    <w:bookmarkStart w:id="47"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L’aspettativa, l’attenzione al corpo nei giorni precedenti, la storia di un dolore liquidato per vent’anni con una frase, e l’alleanza che costruisci nella prima seduta.</w:t>
      </w:r>
    </w:p>
    <w:p>
      <w:pPr>
        <w:pStyle w:val="BodyText"/>
      </w:pPr>
      <w:r>
        <w:rPr>
          <w:b/>
          <w:bCs/>
        </w:rPr>
        <w:t xml:space="preserve">Quali meccanismi governa.</w:t>
      </w:r>
      <w:r>
        <w:t xml:space="preserve"> </w:t>
      </w:r>
      <w:r>
        <w:t xml:space="preserve">«Il calendario nero prima che il mese cominci» per intero.</w:t>
      </w:r>
    </w:p>
    <w:p>
      <w:pPr>
        <w:pStyle w:val="BodyText"/>
      </w:pPr>
      <w:r>
        <w:rPr>
          <w:b/>
          <w:bCs/>
        </w:rPr>
        <w:t xml:space="preserve">Gli attori.</w:t>
      </w:r>
      <w:r>
        <w:t xml:space="preserve"> </w:t>
      </w:r>
      <w:r>
        <w:t xml:space="preserve">L’aspettativa; il significato che dà al dolore; la qualità e la durata del contatto; le parole con cui le spieghi il meccanismo.</w:t>
      </w:r>
    </w:p>
    <w:p>
      <w:pPr>
        <w:pStyle w:val="BodyText"/>
      </w:pPr>
      <w:r>
        <w:rPr>
          <w:b/>
          <w:bCs/>
        </w:rPr>
        <w:t xml:space="preserve">I segnali che ti dicono che pesa in questa paziente.</w:t>
      </w:r>
      <w:r>
        <w:t xml:space="preserve"> </w:t>
      </w:r>
      <w:r>
        <w:t xml:space="preserve">Lessico di inevitabilità. Mese organizzato attorno a due date. Miglioramento riferito in vacanza. Richiesta esplicita di essere creduta più che di essere curata.</w:t>
      </w:r>
    </w:p>
    <w:p>
      <w:pPr>
        <w:pStyle w:val="BlockText"/>
      </w:pPr>
      <w:r>
        <w:rPr>
          <w:b/>
          <w:bCs/>
        </w:rPr>
        <w:t xml:space="preserve">Quanto è solido:</w:t>
      </w:r>
      <w:r>
        <w:t xml:space="preserve"> </w:t>
      </w:r>
      <w:r>
        <w:t xml:space="preserve">l’etichetta si spezza, perché i pezzi non hanno la stessa forza.</w:t>
      </w:r>
      <w:r>
        <w:t xml:space="preserve"> </w:t>
      </w:r>
      <w:r>
        <w:rPr>
          <w:b/>
          <w:bCs/>
        </w:rPr>
        <w:t xml:space="preserve">PROBABILE</w:t>
      </w:r>
      <w:r>
        <w:t xml:space="preserve"> </w:t>
      </w:r>
      <w:r>
        <w:rPr>
          <w:i/>
          <w:iCs/>
        </w:rPr>
        <w:t xml:space="preserve">(razionale forte, prove parziali)</w:t>
      </w:r>
      <w:r>
        <w:t xml:space="preserve"> </w:t>
      </w:r>
      <w:r>
        <w:t xml:space="preserve">che questo piano pesi qui. Lo stress è un fattore di rischio negli studi di comunità, con rapporti di probabilità fra 1 e 4 — cioè da nessun aumento a un rischio quadruplo (Ju, 2014 — PMID 24284871). L’asse dello stress è alterato (Vincent, 2011 — PMID 21524851). E</w:t>
      </w:r>
      <w:r>
        <w:t xml:space="preserve"> </w:t>
      </w:r>
      <w:r>
        <w:rPr>
          <w:b/>
          <w:bCs/>
        </w:rPr>
        <w:t xml:space="preserve">una spiegazione vale più di un’altra</w:t>
      </w:r>
      <w:r>
        <w:t xml:space="preserve">: a parità di esercizio, l’educazione alle neuroscienze del dolore batte quella biomedica sul dolore mestruale (Erol,</w:t>
      </w:r>
      <w:r>
        <w:t xml:space="preserve"> </w:t>
      </w:r>
      <w:r>
        <w:rPr>
          <w:i/>
          <w:iCs/>
        </w:rPr>
        <w:t xml:space="preserve">Healthcare</w:t>
      </w:r>
      <w:r>
        <w:t xml:space="preserve"> </w:t>
      </w:r>
      <w:r>
        <w:t xml:space="preserve">2025, 38 donne — PMID 40868570).</w:t>
      </w:r>
      <w:r>
        <w:t xml:space="preserve"> </w:t>
      </w:r>
      <w:r>
        <w:rPr>
          <w:b/>
          <w:bCs/>
        </w:rPr>
        <w:t xml:space="preserve">IPOTESI</w:t>
      </w:r>
      <w:r>
        <w:t xml:space="preserve"> </w:t>
      </w:r>
      <w:r>
        <w:rPr>
          <w:i/>
          <w:iCs/>
        </w:rPr>
        <w:t xml:space="preserve">(meccanismo coerente, nessuno studio)</w:t>
      </w:r>
      <w:r>
        <w:t xml:space="preserve"> </w:t>
      </w:r>
      <w:r>
        <w:t xml:space="preserve">che la quota non specifica pesi qui quanto pesa nella terapia manuale muscolo-scheletrica in generale. Lì l’88% dell’effetto immediato della mobilizzazione non è attribuibile all’effetto specifico, con un intervallo dal 57% al 120% (Ezzatvar,</w:t>
      </w:r>
      <w:r>
        <w:t xml:space="preserve"> </w:t>
      </w:r>
      <w:r>
        <w:rPr>
          <w:i/>
          <w:iCs/>
        </w:rPr>
        <w:t xml:space="preserve">JOSPT</w:t>
      </w:r>
      <w:r>
        <w:t xml:space="preserve"> </w:t>
      </w:r>
      <w:r>
        <w:t xml:space="preserve">2024 — PMID 38602164).</w:t>
      </w:r>
      <w:r>
        <w:t xml:space="preserve"> </w:t>
      </w:r>
      <w:r>
        <w:rPr>
          <w:b/>
          <w:bCs/>
        </w:rPr>
        <w:t xml:space="preserve">Misurato su dolore muscolo-scheletrico, non su donne con dolore mestruale: il salto è di popolazione.</w:t>
      </w:r>
    </w:p>
    <w:p>
      <w:pPr>
        <w:pStyle w:val="FirstParagraph"/>
      </w:pPr>
      <w:r>
        <w:rPr>
          <w:b/>
          <w:bCs/>
        </w:rPr>
        <w:t xml:space="preserve">Le tre cose da ricordare, più una</w:t>
      </w:r>
    </w:p>
    <w:p>
      <w:pPr>
        <w:pStyle w:val="Compact"/>
        <w:numPr>
          <w:ilvl w:val="0"/>
          <w:numId w:val="1016"/>
        </w:numPr>
      </w:pPr>
      <w:r>
        <w:t xml:space="preserve">Solo due modelli hanno qui un aggancio misurato: il Neurologico sul meccanismo, il Biomeccanico sulla sola componente lombo-pelvica.</w:t>
      </w:r>
    </w:p>
    <w:p>
      <w:pPr>
        <w:pStyle w:val="Compact"/>
        <w:numPr>
          <w:ilvl w:val="0"/>
          <w:numId w:val="1016"/>
        </w:numPr>
      </w:pPr>
      <w:r>
        <w:t xml:space="preserve">Il Respiratorio-Circolatorio entra dimezzato e dichiarato: qui vale la ventilazione, non il drenaggio.</w:t>
      </w:r>
    </w:p>
    <w:p>
      <w:pPr>
        <w:pStyle w:val="Compact"/>
        <w:numPr>
          <w:ilvl w:val="0"/>
          <w:numId w:val="1016"/>
        </w:numPr>
      </w:pPr>
      <w:r>
        <w:t xml:space="preserve">Il Metabolico-Energetico concorre e non comanda, e pareggia l’etichetta del Biomeccanico pur non governando un meccanismo per intero: è un’informazione clinica, non una contraddizione.</w:t>
      </w:r>
    </w:p>
    <w:p>
      <w:pPr>
        <w:pStyle w:val="Compact"/>
        <w:numPr>
          <w:ilvl w:val="0"/>
          <w:numId w:val="1016"/>
        </w:numPr>
      </w:pPr>
      <w:r>
        <w:rPr>
          <w:b/>
          <w:bCs/>
        </w:rPr>
        <w:t xml:space="preserve">Perché ci sei tu.</w:t>
      </w:r>
      <w:r>
        <w:t xml:space="preserve"> </w:t>
      </w:r>
      <w:r>
        <w:t xml:space="preserve">Una manipolazione pelvica bilaterale, in uno studio randomizzato in doppio cieco contro finto trattamento su 40 donne con dismenorrea, alza la soglia di pressione su entrambe le sacroiliache e riduce il dolore lombo-pelvico riferito (Molins-Cubero, 2014 — PMID 24666560). Questo ti autorizza a rivendicare la componente lombo-pelvica del quadro come territorio con una misura dietro. Non ti autorizza a estendere il risultato al crampo uterino: quello studio non l’ha misurato.</w:t>
      </w:r>
    </w:p>
    <w:p>
      <w:r>
        <w:pict>
          <v:rect style="width:0;height:1.5pt" o:hralign="center" o:hrstd="t" o:hr="t"/>
        </w:pict>
      </w:r>
    </w:p>
    <w:bookmarkEnd w:id="47"/>
    <w:bookmarkEnd w:id="48"/>
    <w:bookmarkStart w:id="56" w:name="Xff1f3aa8df77d9cbef8415bd1587c5530074ce4"/>
    <w:p>
      <w:pPr>
        <w:pStyle w:val="Heading2"/>
      </w:pPr>
      <w:r>
        <w:t xml:space="preserve">Capitolo 8 — Come ragiono davanti a questa paziente</w:t>
      </w:r>
    </w:p>
    <w:p>
      <w:pPr>
        <w:pStyle w:val="BlockText"/>
      </w:pPr>
      <w:r>
        <w:rPr>
          <w:b/>
          <w:bCs/>
        </w:rPr>
        <w:t xml:space="preserve">In una riga:</w:t>
      </w:r>
      <w:r>
        <w:t xml:space="preserve"> </w:t>
      </w:r>
      <w:r>
        <w:t xml:space="preserve">prima si smista, poi si sceglie il piano che comanda, poi si sceglie il marker — e il marker che decide non è quello del piano che hai trattato.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Tutto questo capitolo è il modo in cui decido, non una cosa che qualcuno ha dimostrato.</w:t>
      </w:r>
    </w:p>
    <w:bookmarkStart w:id="49" w:name="la-punta-e-il-sommerso"/>
    <w:p>
      <w:pPr>
        <w:pStyle w:val="Heading3"/>
      </w:pPr>
      <w:r>
        <w:t xml:space="preserve">La punta e il sommerso</w:t>
      </w:r>
    </w:p>
    <w:p>
      <w:pPr>
        <w:pStyle w:val="FirstParagraph"/>
      </w:pPr>
      <w:r>
        <w:t xml:space="preserve">La paziente porta la punta: il crampo. Il sommerso cambia da donna a donna, ed è quello che decide dove metti le mani.</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questa paziente, sta consumando più capacità di adattamento degli altri. È l’ipotesi di lavoro che decide su cosa agire per primo, non un fatto misurato: per questo porta sempre l’etichetta RAGIONAMENTO.</w:t>
      </w:r>
    </w:p>
    <w:p>
      <w:pPr>
        <w:pStyle w:val="FirstParagraph"/>
      </w:pPr>
      <w:r>
        <w:rPr>
          <w:b/>
          <w:bCs/>
        </w:rPr>
        <w:t xml:space="preserve">Paziente A — il sommerso è la parete.</w:t>
      </w:r>
      <w:r>
        <w:t xml:space="preserve"> </w:t>
      </w:r>
      <w:r>
        <w:t xml:space="preserve">Trentotto anni, due figli, dolore da sempre, ecografia normale di due anni fa. Nessun sintomo fuori dal ciclo, se non un fastidio addominale sordo che non aveva mai collegato. Palpi la parete in fase follicolare e lei dice</w:t>
      </w:r>
      <w:r>
        <w:t xml:space="preserve"> </w:t>
      </w:r>
      <w:r>
        <w:rPr>
          <w:i/>
          <w:iCs/>
        </w:rPr>
        <w:t xml:space="preserve">“sì, è questo, più a sinistra”</w:t>
      </w:r>
      <w:r>
        <w:t xml:space="preserve">.</w:t>
      </w:r>
      <w:r>
        <w:t xml:space="preserve"> </w:t>
      </w:r>
      <w:r>
        <w:rPr>
          <w:b/>
          <w:bCs/>
        </w:rPr>
        <w:t xml:space="preserve">Cosa fai:</w:t>
      </w:r>
      <w:r>
        <w:t xml:space="preserve"> </w:t>
      </w:r>
      <w:r>
        <w:t xml:space="preserve">lavori sulla parete nel territorio T10-L1 e sul complesso lombo-sacrale. Misuri la soglia sul retto sinistro prima e dopo, e usi come prova della chiave di volta la soglia sul deltoide controlaterale. È il quadro in cui hai più bersaglio e più misura.</w:t>
      </w:r>
    </w:p>
    <w:p>
      <w:pPr>
        <w:pStyle w:val="BodyText"/>
      </w:pPr>
      <w:r>
        <w:rPr>
          <w:b/>
          <w:bCs/>
        </w:rPr>
        <w:t xml:space="preserve">Paziente B — il sommerso è il contenitore.</w:t>
      </w:r>
      <w:r>
        <w:t xml:space="preserve"> </w:t>
      </w:r>
      <w:r>
        <w:t xml:space="preserve">Ventinove anni, sportiva, dolore mestruale moderato. Ma il dolore lombosacrale lo vive tutto il mese, e nel ciclo esplode. Escursione lombare ridotta, torace basso poco espansivo.</w:t>
      </w:r>
      <w:r>
        <w:t xml:space="preserve"> </w:t>
      </w:r>
      <w:r>
        <w:rPr>
          <w:b/>
          <w:bCs/>
        </w:rPr>
        <w:t xml:space="preserve">Cosa fai:</w:t>
      </w:r>
      <w:r>
        <w:t xml:space="preserve"> </w:t>
      </w:r>
      <w:r>
        <w:t xml:space="preserve">lavori sul complesso lombo-sacrale e sull’assetto diaframmatico, e dichiari il bersaglio per quello che è — la componente lombare, non il crampo. Marker principale l’escursione lombare; marker della prova la soglia sulla parete, che non hai trattato. Il suo dolore fuori dal ciclo è sordo, stabile, di sempre e diverso dal crampo: è segnale di piano, non uscita, e qui il canale ginecologico non si attiva. Se cambiasse carattere, sì.</w:t>
      </w:r>
    </w:p>
    <w:p>
      <w:pPr>
        <w:pStyle w:val="BodyText"/>
      </w:pPr>
      <w:r>
        <w:rPr>
          <w:b/>
          <w:bCs/>
        </w:rPr>
        <w:t xml:space="preserve">Paziente C — il sommerso è il livello di attivazione.</w:t>
      </w:r>
      <w:r>
        <w:t xml:space="preserve"> </w:t>
      </w:r>
      <w:r>
        <w:t xml:space="preserve">Trentaquattro anni, dolore raddoppiato negli ultimi due anni dopo un evento di vita pesante. Colon irritabile, insonnia nel flusso, dolore ai rapporti, soglie basse ovunque, tessuti che sobbalzano.</w:t>
      </w:r>
      <w:r>
        <w:t xml:space="preserve"> </w:t>
      </w:r>
      <w:r>
        <w:rPr>
          <w:b/>
          <w:bCs/>
        </w:rPr>
        <w:t xml:space="preserve">Cosa fai — e questa è la parte che si sbaglia più spesso: non la mandi via.</w:t>
      </w:r>
      <w:r>
        <w:t xml:space="preserve"> </w:t>
      </w:r>
      <w:r>
        <w:t xml:space="preserve">Il bersaglio è l’attivazione, e ce l’hai: contatto lento, tempo dedicato, ritmo del respiro, e la spiegazione del meccanismo a una donna a cui nessuno l’ha mai data. Il lavoro puramente locale, su un sistema che non riesce a spegnersi, non tiene. Proprio per questo il piano che comanda è un altro, e non perché non ci sia niente da fare. È lavoro manuale a tutti gli effetti, mirato altrove, con l’etichetta del capitolo delle leve (IPOTESI) e i suoi tempi: effetto di stato dentro la seduta, soglia in settimane. È il quadro in cui hai</w:t>
      </w:r>
      <w:r>
        <w:t xml:space="preserve"> </w:t>
      </w:r>
      <w:r>
        <w:rPr>
          <w:b/>
          <w:bCs/>
        </w:rPr>
        <w:t xml:space="preserve">più</w:t>
      </w:r>
      <w:r>
        <w:t xml:space="preserve"> </w:t>
      </w:r>
      <w:r>
        <w:t xml:space="preserve">da fare, non meno. E in parallelo il canale ginecologico va attivato.</w:t>
      </w:r>
    </w:p>
    <w:p>
      <w:pPr>
        <w:pStyle w:val="BodyText"/>
      </w:pPr>
      <w:r>
        <w:rPr>
          <w:b/>
          <w:bCs/>
        </w:rPr>
        <w:t xml:space="preserve">Il marker che verifica si sceglie al contrario degli altri due casi.</w:t>
      </w:r>
      <w:r>
        <w:t xml:space="preserve"> </w:t>
      </w:r>
      <w:r>
        <w:t xml:space="preserve">Se il piano che tratti è lo stato, il deltoide non è fuori piano: è lo stesso piano visto da lontano, e conferma invece di verificare. La prova della chiave di volta diventa allora il marker locale che con lei non hai trattato — la soglia sul retto sinistro, o l’escursione lombare.</w:t>
      </w:r>
    </w:p>
    <w:p>
      <w:pPr>
        <w:pStyle w:val="BodyText"/>
      </w:pPr>
      <w:r>
        <w:rPr>
          <w:b/>
          <w:bCs/>
        </w:rPr>
        <w:t xml:space="preserve">Paziente D — il sommerso non è tuo.</w:t>
      </w:r>
      <w:r>
        <w:t xml:space="preserve"> </w:t>
      </w:r>
      <w:r>
        <w:t xml:space="preserve">Trentotto anni come A, stesso racconto, stessa parete che riproduce il dolore che lei riconosce. Si separa da A su tre cose: il ciclo peggiora di anno in anno, fa male ai rapporti profondi, e farmaco più ormone hanno fallito a quattro mesi. La domanda che scioglie il dubbio è diretta:</w:t>
      </w:r>
      <w:r>
        <w:t xml:space="preserve"> </w:t>
      </w:r>
      <w:r>
        <w:rPr>
          <w:i/>
          <w:iCs/>
        </w:rPr>
        <w:t xml:space="preserve">“il ciclo di oggi fa più male di quello di cinque anni fa?”</w:t>
      </w:r>
      <w:r>
        <w:t xml:space="preserve">.</w:t>
      </w:r>
      <w:r>
        <w:t xml:space="preserve"> </w:t>
      </w:r>
      <w:r>
        <w:rPr>
          <w:b/>
          <w:bCs/>
        </w:rPr>
        <w:t xml:space="preserve">Cosa fai:</w:t>
      </w:r>
      <w:r>
        <w:t xml:space="preserve"> </w:t>
      </w:r>
      <w:r>
        <w:t xml:space="preserve">la comunicazione scritta al ginecologo viene prima di tutto il resto. Poi lavori in parallelo su parete e componente lombo-pelvica, dichiarando che il sintomo mestruale non è il bersaglio, con il tetto a quattro settimane. La parete iperalgesica resta trattabile anche in lei: è ciò che rende questo caso lavorabile e non solo spaventoso.</w:t>
      </w:r>
    </w:p>
    <w:bookmarkEnd w:id="49"/>
    <w:bookmarkStart w:id="50" w:name="perché-si-indaga-dallalto"/>
    <w:p>
      <w:pPr>
        <w:pStyle w:val="Heading3"/>
      </w:pPr>
      <w:r>
        <w:t xml:space="preserve">Perché si indaga dall’alto</w:t>
      </w:r>
    </w:p>
    <w:p>
      <w:pPr>
        <w:pStyle w:val="FirstParagraph"/>
      </w:pPr>
      <w:r>
        <w:t xml:space="preserve">Un livello di attivazione alto tiene i tessuti reattivi, per quanto preciso sia il tuo lavoro locale. E un contenitore che non respira limita quello che qualunque tecnica può ottenere. Quindi si indaga dall’alto verso il basso:</w:t>
      </w:r>
      <w:r>
        <w:t xml:space="preserve"> </w:t>
      </w:r>
      <w:r>
        <w:rPr>
          <w:b/>
          <w:bCs/>
        </w:rPr>
        <w:t xml:space="preserve">prima il livello di attivazione, poi il contenitore, poi il bersaglio locale.</w:t>
      </w:r>
    </w:p>
    <w:p>
      <w:pPr>
        <w:pStyle w:val="BodyText"/>
      </w:pPr>
      <w:r>
        <w:t xml:space="preserve">Con una particolarità. Qui il piano più a monte di tutti — il generatore chimico dentro l’utero — è fuori portata. La gerarchia che governi comincia quindi sotto il piano che comanda davvero. E l’indagine si apre con una domanda che non è un piano.</w:t>
      </w:r>
    </w:p>
    <w:p>
      <w:pPr>
        <w:pStyle w:val="BodyText"/>
      </w:pPr>
      <w:r>
        <w:t xml:space="preserve">La regola «non trattare il punto in cui la paziente sente» qui non si attenua:</w:t>
      </w:r>
      <w:r>
        <w:t xml:space="preserve"> </w:t>
      </w:r>
      <w:r>
        <w:rPr>
          <w:b/>
          <w:bCs/>
        </w:rPr>
        <w:t xml:space="preserve">si toglie</w:t>
      </w:r>
      <w:r>
        <w:t xml:space="preserve">, e non vale per la scelta del bersaglio. Su questa condizione il tessuto dell’area riferita — la parete sotto l’ombelico — è l’unico bersaglio con una misura dietro. Quello che resta intatto, e che discrimina davvero, è la regola di verifica che questo capitolo scrive più sotto:</w:t>
      </w:r>
      <w:r>
        <w:t xml:space="preserve"> </w:t>
      </w:r>
      <w:r>
        <w:rPr>
          <w:b/>
          <w:bCs/>
        </w:rPr>
        <w:t xml:space="preserve">il marker che decide appartiene a un piano che non hai trattato.</w:t>
      </w:r>
    </w:p>
    <w:bookmarkEnd w:id="50"/>
    <w:bookmarkStart w:id="51" w:name="passo-0-che-cosa-ha-dentro-e-da-quando"/>
    <w:p>
      <w:pPr>
        <w:pStyle w:val="Heading3"/>
      </w:pPr>
      <w:r>
        <w:t xml:space="preserve">Passo 0 — che cosa ha dentro, e da quando</w:t>
      </w:r>
    </w:p>
    <w:p>
      <w:pPr>
        <w:pStyle w:val="FirstParagraph"/>
      </w:pPr>
      <w:r>
        <w:t xml:space="preserve">Non è un passo di ragionamento: è un filtro, e viene prima.</w:t>
      </w:r>
      <w:r>
        <w:t xml:space="preserve"> </w:t>
      </w:r>
      <w:r>
        <w:rPr>
          <w:b/>
          <w:bCs/>
        </w:rPr>
        <w:t xml:space="preserve">Da quando è comparso o peggiorato il dolore, e cosa è cambiato in quel momento?</w:t>
      </w:r>
    </w:p>
    <w:p>
      <w:pPr>
        <w:pStyle w:val="BodyText"/>
      </w:pPr>
      <w:r>
        <w:t xml:space="preserve">La prima cosa da cercare è una spirale al rame. Quella dismenorrea ha una causa esterna nota, regredisce alla rimozione, e le revisioni sistematiche la escludono per definizione dalla forma primaria. Se c’è, si segnala al prescrittore per iscritto, il ragionamento prosegue su quello che resta, e il bersaglio del tuo lavoro va dichiarato diverso dal sintomo mestruale.</w:t>
      </w:r>
    </w:p>
    <w:p>
      <w:pPr>
        <w:pStyle w:val="BodyText"/>
      </w:pPr>
      <w:r>
        <w:rPr>
          <w:b/>
          <w:bCs/>
        </w:rPr>
        <w:t xml:space="preserve">La seconda è una cicatrice sull’addome basso.</w:t>
      </w:r>
      <w:r>
        <w:t xml:space="preserve"> </w:t>
      </w:r>
      <w:r>
        <w:t xml:space="preserve">Cesareo e laparoscopia lasciano il segno dentro il territorio T10-L1, dove sta il tuo bersaglio migliore. Una parete dolente per convergenza e una parete sotto un tirante cicatriziale sono driver diversi, e la palpazione da sola non li separa. Dal lato del rinvio: una dismenorrea comparsa o peggiorata dopo un cesareo, con perdite che continuano oltre la fine del flusso, è una riga da scrivere al ginecologo (Antila, 2020 — PMID 31785470).</w:t>
      </w:r>
    </w:p>
    <w:p>
      <w:pPr>
        <w:pStyle w:val="BodyText"/>
      </w:pPr>
      <w:r>
        <w:rPr>
          <w:b/>
          <w:bCs/>
        </w:rPr>
        <w:t xml:space="preserve">I passi da 1 a 6 sono l’indagine vera, e il settimo è la scelta.</w:t>
      </w:r>
    </w:p>
    <w:bookmarkEnd w:id="51"/>
    <w:bookmarkStart w:id="52" w:name="la-road-map"/>
    <w:p>
      <w:pPr>
        <w:pStyle w:val="Heading3"/>
      </w:pPr>
      <w:r>
        <w:t xml:space="preserve">La Road Map</w:t>
      </w:r>
    </w:p>
    <w:p>
      <w:pPr>
        <w:pStyle w:val="Compact"/>
        <w:numPr>
          <w:ilvl w:val="0"/>
          <w:numId w:val="1017"/>
        </w:numPr>
      </w:pPr>
      <w:r>
        <w:rPr>
          <w:b/>
          <w:bCs/>
        </w:rPr>
        <w:t xml:space="preserve">C’è un pattern da rimandare indietro?</w:t>
      </w:r>
      <w:r>
        <w:t xml:space="preserve"> </w:t>
      </w:r>
      <w:r>
        <w:t xml:space="preserve">Peggioramento anno dopo anno, dolore ai rapporti profondi o alla defecazione nei giorni del flusso, fallimento di farmaco più ormone dopo tre-sei mesi, sintomi urinari ciclici, dolore ciclico a spalla o torace, infertilità. E il dolore fuori dal ciclo,</w:t>
      </w:r>
      <w:r>
        <w:t xml:space="preserve"> </w:t>
      </w:r>
      <w:r>
        <w:rPr>
          <w:b/>
          <w:bCs/>
        </w:rPr>
        <w:t xml:space="preserve">ma qualificato</w:t>
      </w:r>
      <w:r>
        <w:t xml:space="preserve">, perché altrove lo stesso reperto è un segnale di piano. È</w:t>
      </w:r>
      <w:r>
        <w:t xml:space="preserve"> </w:t>
      </w:r>
      <w:r>
        <w:rPr>
          <w:b/>
          <w:bCs/>
        </w:rPr>
        <w:t xml:space="preserve">uscita</w:t>
      </w:r>
      <w:r>
        <w:t xml:space="preserve"> </w:t>
      </w:r>
      <w:r>
        <w:t xml:space="preserve">se ha lo stesso carattere del crampo, se è comparso dopo, o se si accompagna a uno degli elementi qui sopra. È</w:t>
      </w:r>
      <w:r>
        <w:t xml:space="preserve"> </w:t>
      </w:r>
      <w:r>
        <w:rPr>
          <w:b/>
          <w:bCs/>
        </w:rPr>
        <w:t xml:space="preserve">segnale di piano</w:t>
      </w:r>
      <w:r>
        <w:t xml:space="preserve"> </w:t>
      </w:r>
      <w:r>
        <w:t xml:space="preserve">una dolenzia lombosacrale sorda, stabile, di sempre, che lei riconosce come diversa dal crampo. Se è uscita, il primo atto clinico è la comunicazione scritta al curante, e viene prima di tutto il resto.</w:t>
      </w:r>
    </w:p>
    <w:p>
      <w:pPr>
        <w:pStyle w:val="Compact"/>
        <w:numPr>
          <w:ilvl w:val="0"/>
          <w:numId w:val="1017"/>
        </w:numPr>
      </w:pPr>
      <w:r>
        <w:rPr>
          <w:b/>
          <w:bCs/>
        </w:rPr>
        <w:t xml:space="preserve">Qual è il livello di attivazione?</w:t>
      </w:r>
      <w:r>
        <w:t xml:space="preserve"> </w:t>
      </w:r>
      <w:r>
        <w:t xml:space="preserve">Reattività al contatto, respiro, soglie in sedi lontane dal territorio uterino, sonno. Se è alto, è il piano che comanda. La reattività al</w:t>
      </w:r>
      <w:r>
        <w:t xml:space="preserve"> </w:t>
      </w:r>
      <w:r>
        <w:rPr>
          <w:b/>
          <w:bCs/>
        </w:rPr>
        <w:t xml:space="preserve">primo</w:t>
      </w:r>
      <w:r>
        <w:t xml:space="preserve"> </w:t>
      </w:r>
      <w:r>
        <w:t xml:space="preserve">contatto sull’addome basso però non conta — è quasi sempre difesa — e vale solo se persiste dopo la messa in sicurezza.</w:t>
      </w:r>
    </w:p>
    <w:p>
      <w:pPr>
        <w:pStyle w:val="Compact"/>
        <w:numPr>
          <w:ilvl w:val="0"/>
          <w:numId w:val="1017"/>
        </w:numPr>
      </w:pPr>
      <w:r>
        <w:rPr>
          <w:b/>
          <w:bCs/>
        </w:rPr>
        <w:t xml:space="preserve">Il contenitore si muove?</w:t>
      </w:r>
      <w:r>
        <w:t xml:space="preserve"> </w:t>
      </w:r>
      <w:r>
        <w:t xml:space="preserve">Escursione lombare regionale, espansione del torace basso, mobilità del complesso sacro-iliaco.</w:t>
      </w:r>
    </w:p>
    <w:p>
      <w:pPr>
        <w:pStyle w:val="Compact"/>
        <w:numPr>
          <w:ilvl w:val="0"/>
          <w:numId w:val="1017"/>
        </w:numPr>
      </w:pPr>
      <w:r>
        <w:rPr>
          <w:b/>
          <w:bCs/>
        </w:rPr>
        <w:t xml:space="preserve">La parete addominale è una sorgente?</w:t>
      </w:r>
      <w:r>
        <w:t xml:space="preserve"> </w:t>
      </w:r>
      <w:r>
        <w:t xml:space="preserve">Palpazione sotto l’ombelico, in fase follicolare, con la domanda che discrimina:</w:t>
      </w:r>
      <w:r>
        <w:t xml:space="preserve"> </w:t>
      </w:r>
      <w:r>
        <w:rPr>
          <w:i/>
          <w:iCs/>
        </w:rPr>
        <w:t xml:space="preserve">“questo è il suo dolore o è un dolore nuovo?”</w:t>
      </w:r>
    </w:p>
    <w:p>
      <w:pPr>
        <w:pStyle w:val="Compact"/>
        <w:numPr>
          <w:ilvl w:val="0"/>
          <w:numId w:val="1017"/>
        </w:numPr>
      </w:pPr>
      <w:r>
        <w:rPr>
          <w:b/>
          <w:bCs/>
        </w:rPr>
        <w:t xml:space="preserve">Quanto pesa la componente lombo-sacrale nel suo racconto?</w:t>
      </w:r>
      <w:r>
        <w:t xml:space="preserve"> </w:t>
      </w:r>
      <w:r>
        <w:t xml:space="preserve">È il distretto con la misura contro finto trattamento, e va pesato per quello che vale.</w:t>
      </w:r>
    </w:p>
    <w:p>
      <w:pPr>
        <w:pStyle w:val="Compact"/>
        <w:numPr>
          <w:ilvl w:val="0"/>
          <w:numId w:val="1017"/>
        </w:numPr>
      </w:pPr>
      <w:r>
        <w:rPr>
          <w:b/>
          <w:bCs/>
        </w:rPr>
        <w:t xml:space="preserve">Cosa c’è nello stile di vita che sposta la prognosi?</w:t>
      </w:r>
      <w:r>
        <w:t xml:space="preserve"> </w:t>
      </w:r>
      <w:r>
        <w:t xml:space="preserve">Attività fisica regolare, sonno, carico. Si nominano e si rinviano, tranne l’esercizio, che si insegna.</w:t>
      </w:r>
    </w:p>
    <w:p>
      <w:pPr>
        <w:pStyle w:val="Compact"/>
        <w:numPr>
          <w:ilvl w:val="0"/>
          <w:numId w:val="1017"/>
        </w:numPr>
      </w:pPr>
      <w:r>
        <w:rPr>
          <w:b/>
          <w:bCs/>
        </w:rPr>
        <w:t xml:space="preserve">E poi si sceglie.</w:t>
      </w:r>
      <w:r>
        <w:t xml:space="preserve"> </w:t>
      </w:r>
      <w:r>
        <w:t xml:space="preserve">Dei piani risultati positivi comanda il più alto. Se è positivo solo il piano locale, comanda il locale, e lo dichiari invece di cercare più in alto qualcosa che non c’è. Se due piani sono positivi allo stesso titolo, tratti il più alto e usi il più basso come marker della chiave di volta.</w:t>
      </w:r>
    </w:p>
    <w:p>
      <w:pPr>
        <w:pStyle w:val="FirstParagraph"/>
      </w:pPr>
      <w:r>
        <w:rPr>
          <w:b/>
          <w:bCs/>
        </w:rPr>
        <w:t xml:space="preserve">L’ordine di questi passi non è l’ordine dei cinque meccanismi</w:t>
      </w:r>
      <w:r>
        <w:t xml:space="preserve">, e i due criteri sono diversi: i meccanismi vanno dal generatore alla cornice, la Road Map va per priorità di condotta. Il primo passo della Road Map non ha un meccanismo corrispondente in «Cosa si rompe»: non è qualcosa che si rompe, è un’uscita.</w:t>
      </w:r>
    </w:p>
    <w:bookmarkEnd w:id="52"/>
    <w:bookmarkStart w:id="53" w:name="la-prova-della-chiave-di-volta"/>
    <w:p>
      <w:pPr>
        <w:pStyle w:val="Heading3"/>
      </w:pPr>
      <w:r>
        <w:t xml:space="preserve">La prova della chiave di volta</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FirstParagraph"/>
      </w:pPr>
      <w:r>
        <w:t xml:space="preserve">Tratti in prova il piano che sospetti dominante, poi rivaluti. Se cede anche altro, hai trovato la chiave.</w:t>
      </w:r>
    </w:p>
    <w:p>
      <w:pPr>
        <w:pStyle w:val="BodyText"/>
      </w:pPr>
      <w:r>
        <w:t xml:space="preserve">E il caso opposto, che qui è il più probabile:</w:t>
      </w:r>
      <w:r>
        <w:t xml:space="preserve"> </w:t>
      </w:r>
      <w:r>
        <w:rPr>
          <w:b/>
          <w:bCs/>
        </w:rPr>
        <w:t xml:space="preserve">se il marker locale sale e l’esito non si muove</w:t>
      </w:r>
      <w:r>
        <w:t xml:space="preserve">, hai toccato un piano che non comanda. Si risale, non si insiste.</w:t>
      </w:r>
    </w:p>
    <w:p>
      <w:pPr>
        <w:pStyle w:val="BodyText"/>
      </w:pPr>
      <w:r>
        <w:t xml:space="preserve">Un marker funziona a quattro condizioni — la definizione sta in «Che cos’è davvero». È misurabile in meno di un minuto, con lo stesso metodo prima e dopo. È scelto</w:t>
      </w:r>
      <w:r>
        <w:t xml:space="preserve"> </w:t>
      </w:r>
      <w:r>
        <w:rPr>
          <w:b/>
          <w:bCs/>
        </w:rPr>
        <w:t xml:space="preserve">prima</w:t>
      </w:r>
      <w:r>
        <w:t xml:space="preserve"> </w:t>
      </w:r>
      <w:r>
        <w:t xml:space="preserve">di trattare.</w:t>
      </w:r>
      <w:r>
        <w:t xml:space="preserve"> </w:t>
      </w:r>
      <w:r>
        <w:rPr>
          <w:b/>
          <w:bCs/>
        </w:rPr>
        <w:t xml:space="preserve">Appartiene a un piano che non hai trattato.</w:t>
      </w:r>
      <w:r>
        <w:t xml:space="preserve"> </w:t>
      </w:r>
      <w:r>
        <w:t xml:space="preserve">Ha una soglia dichiarata.</w:t>
      </w:r>
    </w:p>
    <w:p>
      <w:pPr>
        <w:pStyle w:val="BodyText"/>
      </w:pPr>
      <w:r>
        <w:t xml:space="preserve">E una distinzione, perché altrimenti la terza condizione butta via la misura che la letteratura usa.</w:t>
      </w:r>
      <w:r>
        <w:t xml:space="preserve"> </w:t>
      </w:r>
      <w:r>
        <w:rPr>
          <w:b/>
          <w:bCs/>
        </w:rPr>
        <w:t xml:space="preserve">La misura sul piano che hai trattato è una misura di effetto immediato del gesto, non la prova della chiave di volta.</w:t>
      </w:r>
      <w:r>
        <w:t xml:space="preserve"> </w:t>
      </w:r>
      <w:r>
        <w:t xml:space="preserve">Due ruoli diversi, e servono entrambi: contare i passi non è la stessa cosa che vedere se sei arrivato.</w:t>
      </w:r>
    </w:p>
    <w:bookmarkEnd w:id="53"/>
    <w:bookmarkStart w:id="54" w:name="i-marker-di-questa-condizione"/>
    <w:p>
      <w:pPr>
        <w:pStyle w:val="Heading3"/>
      </w:pPr>
      <w:r>
        <w:t xml:space="preserve">I marker di questa condizione</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della paziente — è il bersaglio del tuo lavoro.</w:t>
      </w:r>
    </w:p>
    <w:p>
      <w:pPr>
        <w:pStyle w:val="FirstParagraph"/>
      </w:pPr>
      <w:r>
        <w:t xml:space="preserve">Non tutti i reperti valgono uguale, e la differenza è di riproducibilità misurata. Reggono come marker le grandezze che produci tu e che si ripetono; l’elenco sta nella prima condizione del GIALLO. La palpazione dei tessuti molli e il giudizio sulla mobilità</w:t>
      </w:r>
      <w:r>
        <w:t xml:space="preserve"> </w:t>
      </w:r>
      <w:r>
        <w:rPr>
          <w:b/>
          <w:bCs/>
        </w:rPr>
        <w:t xml:space="preserve">segmentale</w:t>
      </w:r>
      <w:r>
        <w:t xml:space="preserve"> </w:t>
      </w:r>
      <w:r>
        <w:t xml:space="preserve">restano nell’esame come orientamento, e si scrivono in cartella come tali.</w:t>
      </w:r>
    </w:p>
    <w:p>
      <w:pPr>
        <w:pStyle w:val="BodyText"/>
      </w:pPr>
      <w:r>
        <w:rPr>
          <w:b/>
          <w:bCs/>
        </w:rPr>
        <w:t xml:space="preserve">E i test di provocazione.</w:t>
      </w:r>
      <w:r>
        <w:t xml:space="preserve"> </w:t>
      </w:r>
      <w:r>
        <w:t xml:space="preserve">Sono tre, esterni e binari. Il</w:t>
      </w:r>
      <w:r>
        <w:t xml:space="preserve"> </w:t>
      </w:r>
      <w:r>
        <w:rPr>
          <w:b/>
          <w:bCs/>
        </w:rPr>
        <w:t xml:space="preserve">segno di Carnett</w:t>
      </w:r>
      <w:r>
        <w:t xml:space="preserve">: premi sul punto dolente e chiedi di contrarre l’addome; se il dolore aumenta o resta, la sorgente è la parete; se cala, è profonda. Il</w:t>
      </w:r>
      <w:r>
        <w:t xml:space="preserve"> </w:t>
      </w:r>
      <w:r>
        <w:rPr>
          <w:b/>
          <w:bCs/>
        </w:rPr>
        <w:t xml:space="preserve">riconoscimento</w:t>
      </w:r>
      <w:r>
        <w:t xml:space="preserve">:</w:t>
      </w:r>
      <w:r>
        <w:t xml:space="preserve"> </w:t>
      </w:r>
      <w:r>
        <w:rPr>
          <w:i/>
          <w:iCs/>
        </w:rPr>
        <w:t xml:space="preserve">«è il suo dolore o è nuovo?»</w:t>
      </w:r>
      <w:r>
        <w:t xml:space="preserve">. E l’</w:t>
      </w:r>
      <w:r>
        <w:rPr>
          <w:b/>
          <w:bCs/>
        </w:rPr>
        <w:t xml:space="preserve">asimmetria</w:t>
      </w:r>
      <w:r>
        <w:t xml:space="preserve"> </w:t>
      </w:r>
      <w:r>
        <w:t xml:space="preserve">destra-sinistra sul retto. Nessuno dei tre richiede strumenti, ed è il motivo per cui il GIALLO resta praticabile anche senza algometro.</w:t>
      </w:r>
    </w:p>
    <w:p>
      <w:pPr>
        <w:pStyle w:val="BodyText"/>
      </w:pPr>
      <w:r>
        <w:rPr>
          <w:b/>
          <w:bCs/>
        </w:rPr>
        <w:t xml:space="preserve">E una regola per i due marker algometrici, senza la quale misurano il calendario.</w:t>
      </w:r>
      <w:r>
        <w:t xml:space="preserve"> </w:t>
      </w:r>
      <w:r>
        <w:t xml:space="preserve">Le soglie somatiche variano con la fase del ciclo — più alte in luteale, più basse nel perimestruale — e la dismenorrea accentua l’oscillazione proprio nel muscolo addominale (Giamberardino, 1997 — PMID 9211480). Si rimisura nella</w:t>
      </w:r>
      <w:r>
        <w:t xml:space="preserve"> </w:t>
      </w:r>
      <w:r>
        <w:rPr>
          <w:b/>
          <w:bCs/>
        </w:rPr>
        <w:t xml:space="preserve">stessa fase</w:t>
      </w:r>
      <w:r>
        <w:t xml:space="preserve"> </w:t>
      </w:r>
      <w:r>
        <w:t xml:space="preserve">del basale, il giorno del ciclo si scrive accanto al numero, e un confronto fra fasi diverse non si legge.</w:t>
      </w:r>
    </w:p>
    <w:p>
      <w:pPr>
        <w:pStyle w:val="BodyText"/>
      </w:pPr>
      <w:r>
        <w:rPr>
          <w:b/>
          <w:bCs/>
        </w:rPr>
        <w:t xml:space="preserve">Marker 1 — Soglia di pressione sul retto dell’addome sinistro.</w:t>
      </w:r>
      <w:r>
        <w:t xml:space="preserve"> </w:t>
      </w:r>
      <w:r>
        <w:t xml:space="preserve">Algometro sul ventre del retto sinistro</w:t>
      </w:r>
      <w:r>
        <w:t xml:space="preserve"> </w:t>
      </w:r>
      <w:r>
        <w:rPr>
          <w:b/>
          <w:bCs/>
        </w:rPr>
        <w:t xml:space="preserve">sotto l’ombelico</w:t>
      </w:r>
      <w:r>
        <w:t xml:space="preserve">, nello stesso punto segnato in cartella, mediana di tre misure.</w:t>
      </w:r>
      <w:r>
        <w:t xml:space="preserve"> </w:t>
      </w:r>
      <w:r>
        <w:rPr>
          <w:b/>
          <w:bCs/>
        </w:rPr>
        <w:t xml:space="preserve">Soglia: +15%.</w:t>
      </w:r>
      <w:r>
        <w:t xml:space="preserve"> </w:t>
      </w:r>
      <w:r>
        <w:t xml:space="preserve">Non viene da uno studio: è l’errore tipico dell’algometria raddoppiato, ed è dichiarata per questo. La sede viene invece da un dato: è lì che la soglia è più bassa e lì che correla col dolore spontaneo (Giamberardino, 1997 — PMID 9211480). E la stessa sede è stata rimisurata</w:t>
      </w:r>
      <w:r>
        <w:t xml:space="preserve"> </w:t>
      </w:r>
      <w:r>
        <w:rPr>
          <w:b/>
          <w:bCs/>
        </w:rPr>
        <w:t xml:space="preserve">con il tuo strumento</w:t>
      </w:r>
      <w:r>
        <w:t xml:space="preserve">. All’algometro le donne con dismenorrea hanno soglie più basse sul retto dell’addome, da entrambi i lati, rispetto ai controlli (Hoyos-Calderon,</w:t>
      </w:r>
      <w:r>
        <w:t xml:space="preserve"> </w:t>
      </w:r>
      <w:r>
        <w:rPr>
          <w:i/>
          <w:iCs/>
        </w:rPr>
        <w:t xml:space="preserve">Biology</w:t>
      </w:r>
      <w:r>
        <w:t xml:space="preserve"> </w:t>
      </w:r>
      <w:r>
        <w:t xml:space="preserve">2022, 39 donne contro 41 — PMID 36358253).</w:t>
      </w:r>
      <w:r>
        <w:t xml:space="preserve"> </w:t>
      </w:r>
      <w:r>
        <w:rPr>
          <w:b/>
          <w:bCs/>
        </w:rPr>
        <w:t xml:space="preserve">È un caso-controllo: dice che il reperto c’è, non che si muove quando lo tratti.</w:t>
      </w:r>
      <w:r>
        <w:t xml:space="preserve"> </w:t>
      </w:r>
      <w:r>
        <w:rPr>
          <w:b/>
          <w:bCs/>
        </w:rPr>
        <w:t xml:space="preserve">Ruolo: misura di effetto immediato</w:t>
      </w:r>
      <w:r>
        <w:t xml:space="preserve">, se hai trattato la parete.</w:t>
      </w:r>
    </w:p>
    <w:p>
      <w:pPr>
        <w:pStyle w:val="BodyText"/>
      </w:pPr>
      <w:r>
        <w:rPr>
          <w:b/>
          <w:bCs/>
        </w:rPr>
        <w:t xml:space="preserve">Marker 2 — Soglia di pressione sul deltoide controlaterale.</w:t>
      </w:r>
      <w:r>
        <w:t xml:space="preserve"> </w:t>
      </w:r>
      <w:r>
        <w:t xml:space="preserve">Stesso strumento, stessa soglia, stessa provenienza. Che una sede remota sia più bassa in queste donne è misurato anche all’algometro, sul tibiale anteriore (Hoyos-Calderon, 2022 — PMID 36358253).</w:t>
      </w:r>
      <w:r>
        <w:t xml:space="preserve"> </w:t>
      </w:r>
      <w:r>
        <w:rPr>
          <w:b/>
          <w:bCs/>
        </w:rPr>
        <w:t xml:space="preserve">Ruolo: prova della chiave di volta</w:t>
      </w:r>
      <w:r>
        <w:t xml:space="preserve">, perché è un piano che non tratti mai —</w:t>
      </w:r>
      <w:r>
        <w:t xml:space="preserve"> </w:t>
      </w:r>
      <w:r>
        <w:rPr>
          <w:b/>
          <w:bCs/>
        </w:rPr>
        <w:t xml:space="preserve">tranne nella paziente il cui piano dominante è lo stato</w:t>
      </w:r>
      <w:r>
        <w:t xml:space="preserve">, dove va sostituito con un marker locale. Il razionale: la sensibilità di queste pazienti è documentata anche fuori dal territorio uterino (Iacovides, 2015 — PMID 26346058), quindi se lo stato si è spostato, una sede remota si sposta. Se sale solo l’addome, hai mosso la parete e non il sistema — che è un’informazione, non un fallimento.</w:t>
      </w:r>
      <w:r>
        <w:t xml:space="preserve"> </w:t>
      </w:r>
      <w:r>
        <w:rPr>
          <w:b/>
          <w:bCs/>
        </w:rPr>
        <w:t xml:space="preserve">Il limite:</w:t>
      </w:r>
      <w:r>
        <w:t xml:space="preserve"> </w:t>
      </w:r>
      <w:r>
        <w:t xml:space="preserve">anche la soglia sul muscolo dell’arto varia con la fase, quindi il deltoide è remoto ma non neutro rispetto al calendario.</w:t>
      </w:r>
    </w:p>
    <w:p>
      <w:pPr>
        <w:pStyle w:val="BodyText"/>
      </w:pPr>
      <w:r>
        <w:rPr>
          <w:b/>
          <w:bCs/>
        </w:rPr>
        <w:t xml:space="preserve">Cosa significa davvero una soglia che sale, e vale per entrambi i marker algometrici.</w:t>
      </w:r>
      <w:r>
        <w:t xml:space="preserve"> </w:t>
      </w:r>
      <w:r>
        <w:t xml:space="preserve">Nella letteratura trasversale la soglia di pressione sale dopo terapia manuale, in media di 0,32 kg/cm², con intervallo da 0,22 a 0,42. E sale in modo sistemico. Ma contro il finto trattamento la differenza non c’è (Aspinall,</w:t>
      </w:r>
      <w:r>
        <w:t xml:space="preserve"> </w:t>
      </w:r>
      <w:r>
        <w:rPr>
          <w:i/>
          <w:iCs/>
        </w:rPr>
        <w:t xml:space="preserve">Chiropr Man Therap</w:t>
      </w:r>
      <w:r>
        <w:t xml:space="preserve"> </w:t>
      </w:r>
      <w:r>
        <w:t xml:space="preserve">2019, 15 studi — PMID 30719281). La revisione più recente non trova nessun effetto ipoalgesico immediato coerente della manipolazione sulle soglie, né in chi ha dolore né in chi non ne ha (Jung,</w:t>
      </w:r>
      <w:r>
        <w:t xml:space="preserve"> </w:t>
      </w:r>
      <w:r>
        <w:rPr>
          <w:i/>
          <w:iCs/>
        </w:rPr>
        <w:t xml:space="preserve">Phys Ther</w:t>
      </w:r>
      <w:r>
        <w:t xml:space="preserve"> </w:t>
      </w:r>
      <w:r>
        <w:t xml:space="preserve">2023, 22 studi randomizzati — PMID 37172128).</w:t>
      </w:r>
      <w:r>
        <w:t xml:space="preserve"> </w:t>
      </w:r>
      <w:r>
        <w:rPr>
          <w:b/>
          <w:bCs/>
        </w:rPr>
        <w:t xml:space="preserve">Misurato sulla manipolazione spinale in dolore muscolo-scheletrico e in soggetti senza dolore, non sulla parete addominale di donne con dolore mestruale: i salti sono di popolazione, di distretto e di tecnica. Non rende inutile il marker — impedisce di leggerne la salita come prova di un effetto tuo.</w:t>
      </w:r>
      <w:r>
        <w:t xml:space="preserve"> </w:t>
      </w:r>
      <w:r>
        <w:t xml:space="preserve">E su questa condizione il conto torna uguale. Un solo confronto contro placebo ha misurato le soglie della parete bassa prima e dopo: le soglie sono salite in entrambi i gruppi, e i due gruppi non si sono separati in nessuna sede (Jin,</w:t>
      </w:r>
      <w:r>
        <w:t xml:space="preserve"> </w:t>
      </w:r>
      <w:r>
        <w:rPr>
          <w:i/>
          <w:iCs/>
        </w:rPr>
        <w:t xml:space="preserve">Medicina</w:t>
      </w:r>
      <w:r>
        <w:t xml:space="preserve"> </w:t>
      </w:r>
      <w:r>
        <w:t xml:space="preserve">2025, 34 donne — PMID 41155721). Una soglia che sale dice che il tuo lavoro ha prodotto un cambiamento misurabile in questa paziente. Non dice che il cambiamento sia specifico, ed è precisamente per questo che serve il marker fuori piano.</w:t>
      </w:r>
    </w:p>
    <w:p>
      <w:pPr>
        <w:pStyle w:val="BodyText"/>
      </w:pPr>
      <w:r>
        <w:rPr>
          <w:b/>
          <w:bCs/>
        </w:rPr>
        <w:t xml:space="preserve">Marker 3 — Escursione lombare regionale in flessione.</w:t>
      </w:r>
      <w:r>
        <w:t xml:space="preserve"> </w:t>
      </w:r>
      <w:r>
        <w:t xml:space="preserve">Schober modificato, cioè la differenza fra neutro e flessione su un riferimento quindici centimetri sopra la giunzione lombosacrale.</w:t>
      </w:r>
      <w:r>
        <w:t xml:space="preserve"> </w:t>
      </w:r>
      <w:r>
        <w:rPr>
          <w:b/>
          <w:bCs/>
        </w:rPr>
        <w:t xml:space="preserve">Soglia: il doppio dell’errore tipico della misura</w:t>
      </w:r>
      <w:r>
        <w:t xml:space="preserve">, stessa provenienza. Non la distanza dito-suolo, che correla soprattutto con l’escursione</w:t>
      </w:r>
      <w:r>
        <w:t xml:space="preserve"> </w:t>
      </w:r>
      <w:r>
        <w:rPr>
          <w:b/>
          <w:bCs/>
        </w:rPr>
        <w:t xml:space="preserve">pelvica</w:t>
      </w:r>
      <w:r>
        <w:t xml:space="preserve">: i centimetri guadagnati lì possono venire tutti da anca e ischiocrurali (Becker, 2023 — PMID 36832125).</w:t>
      </w:r>
      <w:r>
        <w:t xml:space="preserve"> </w:t>
      </w:r>
      <w:r>
        <w:rPr>
          <w:b/>
          <w:bCs/>
        </w:rPr>
        <w:t xml:space="preserve">Ruolo: effetto immediato</w:t>
      </w:r>
      <w:r>
        <w:t xml:space="preserve"> </w:t>
      </w:r>
      <w:r>
        <w:t xml:space="preserve">se hai trattato il complesso lombo-sacrale;</w:t>
      </w:r>
      <w:r>
        <w:t xml:space="preserve"> </w:t>
      </w:r>
      <w:r>
        <w:rPr>
          <w:b/>
          <w:bCs/>
        </w:rPr>
        <w:t xml:space="preserve">fuori piano</w:t>
      </w:r>
      <w:r>
        <w:t xml:space="preserve"> </w:t>
      </w:r>
      <w:r>
        <w:t xml:space="preserve">se hai trattato solo la parete.</w:t>
      </w:r>
    </w:p>
    <w:p>
      <w:pPr>
        <w:pStyle w:val="BodyText"/>
      </w:pPr>
      <w:r>
        <w:rPr>
          <w:b/>
          <w:bCs/>
        </w:rPr>
        <w:t xml:space="preserve">Marker 4 — Giorni del ciclo appena passato in cui il dolore ha cambiato il programma della giornata.</w:t>
      </w:r>
      <w:r>
        <w:t xml:space="preserve"> </w:t>
      </w:r>
      <w:r>
        <w:t xml:space="preserve">Una domanda, un numero.</w:t>
      </w:r>
      <w:r>
        <w:t xml:space="preserve"> </w:t>
      </w:r>
      <w:r>
        <w:rPr>
          <w:b/>
          <w:bCs/>
        </w:rPr>
        <w:t xml:space="preserve">Soglia: meno un giorno.</w:t>
      </w:r>
      <w:r>
        <w:t xml:space="preserve"> </w:t>
      </w:r>
      <w:r>
        <w:t xml:space="preserve">La provenienza va detta per intero, perché è la più debole del documento. Il solo studio controllato di osteopatia su questa condizione riporta 0,8 giorni, con un intervallo da −2 a 0,4 —</w:t>
      </w:r>
      <w:r>
        <w:t xml:space="preserve"> </w:t>
      </w:r>
      <w:r>
        <w:rPr>
          <w:b/>
          <w:bCs/>
        </w:rPr>
        <w:t xml:space="preserve">che attraversa lo zero</w:t>
      </w:r>
      <w:r>
        <w:t xml:space="preserve"> </w:t>
      </w:r>
      <w:r>
        <w:t xml:space="preserve">— a fronte di un p di 0,04 (Plathner e Wolf, 2025, 70 donne analizzate — PMID 40325740). Ti dà un ordine di grandezza, non un effetto stabilito. E l’intensità, lì, scende di 1,7 punti, cioè</w:t>
      </w:r>
      <w:r>
        <w:t xml:space="preserve"> </w:t>
      </w:r>
      <w:r>
        <w:rPr>
          <w:b/>
          <w:bCs/>
        </w:rPr>
        <w:t xml:space="preserve">sotto</w:t>
      </w:r>
      <w:r>
        <w:t xml:space="preserve"> </w:t>
      </w:r>
      <w:r>
        <w:t xml:space="preserve">i 2 comunemente usati come differenza minima percepita.</w:t>
      </w:r>
      <w:r>
        <w:t xml:space="preserve"> </w:t>
      </w:r>
      <w:r>
        <w:rPr>
          <w:b/>
          <w:bCs/>
        </w:rPr>
        <w:t xml:space="preserve">Ruolo: l’esito</w:t>
      </w:r>
      <w:r>
        <w:t xml:space="preserve">, e richiede un ciclo: per questo la revisione si programma su due.</w:t>
      </w:r>
      <w:r>
        <w:t xml:space="preserve"> </w:t>
      </w:r>
      <w:r>
        <w:rPr>
          <w:b/>
          <w:bCs/>
        </w:rPr>
        <w:t xml:space="preserve">Se la paziente non ha cicli</w:t>
      </w:r>
      <w:r>
        <w:t xml:space="preserve"> </w:t>
      </w:r>
      <w:r>
        <w:t xml:space="preserve">— pillola in continuo, dispositivo al levonorgestrel — si conta su otto settimane di calendario, che è già l’unità del triage.</w:t>
      </w:r>
    </w:p>
    <w:bookmarkEnd w:id="54"/>
    <w:bookmarkStart w:id="55" w:name="i-tre-stati-della-paziente"/>
    <w:p>
      <w:pPr>
        <w:pStyle w:val="Heading3"/>
      </w:pPr>
      <w:r>
        <w:t xml:space="preserve">I tre stati della paziente</w:t>
      </w:r>
    </w:p>
    <w:p>
      <w:pPr>
        <w:pStyle w:val="FirstParagraph"/>
      </w:pPr>
      <w:r>
        <w:rPr>
          <w:b/>
          <w:bCs/>
        </w:rPr>
        <w:t xml:space="preserve">In difesa</w:t>
      </w:r>
      <w:r>
        <w:t xml:space="preserve"> </w:t>
      </w:r>
      <w:r>
        <w:t xml:space="preserve">— tesa, respiro corto, monosillabi, imbarazzo per la zona. Parla al bisogno di sicurezza: dici cosa fai prima di farlo, tocco lento, mai una mano sull’addome senza averla annunciata. Finché non si sente al sicuro i tessuti rimbalzano ogni correzione.</w:t>
      </w:r>
    </w:p>
    <w:p>
      <w:pPr>
        <w:pStyle w:val="BodyText"/>
      </w:pPr>
      <w:r>
        <w:rPr>
          <w:b/>
          <w:bCs/>
        </w:rPr>
        <w:t xml:space="preserve">Emotiva</w:t>
      </w:r>
      <w:r>
        <w:t xml:space="preserve"> </w:t>
      </w:r>
      <w:r>
        <w:t xml:space="preserve">— racconta vent’anni di</w:t>
      </w:r>
      <w:r>
        <w:t xml:space="preserve"> </w:t>
      </w:r>
      <w:r>
        <w:rPr>
          <w:i/>
          <w:iCs/>
        </w:rPr>
        <w:t xml:space="preserve">“è normale, sei una donna”</w:t>
      </w:r>
      <w:r>
        <w:t xml:space="preserve">, cerca di essere creduta prima che curata. Ascolti, validi e nomini il meccanismo: è lo stato in cui il piano comportamentale è quasi sempre dominante.</w:t>
      </w:r>
    </w:p>
    <w:p>
      <w:pPr>
        <w:pStyle w:val="BodyText"/>
      </w:pPr>
      <w:r>
        <w:rPr>
          <w:b/>
          <w:bCs/>
        </w:rPr>
        <w:t xml:space="preserve">Razionale</w:t>
      </w:r>
      <w:r>
        <w:t xml:space="preserve"> </w:t>
      </w:r>
      <w:r>
        <w:t xml:space="preserve">— chiede i dati, ha letto di endometriosi. Le mostri la misura prima e dopo, e le dici anche il numero che non ti conviene: con lei l’onestà sulle prove costruisce l’alleanza, non la rompe.</w:t>
      </w:r>
    </w:p>
    <w:p>
      <w:pPr>
        <w:pStyle w:val="BodyText"/>
      </w:pPr>
      <w:r>
        <w:rPr>
          <w:b/>
          <w:bCs/>
        </w:rPr>
        <w:t xml:space="preserve">Le tre cose da ricordare, più una</w:t>
      </w:r>
    </w:p>
    <w:p>
      <w:pPr>
        <w:pStyle w:val="Compact"/>
        <w:numPr>
          <w:ilvl w:val="0"/>
          <w:numId w:val="1018"/>
        </w:numPr>
      </w:pPr>
      <w:r>
        <w:t xml:space="preserve">Prima di ogni ragionamento, il filtro: da quando fa male, e cosa è cambiato in quel momento.</w:t>
      </w:r>
    </w:p>
    <w:p>
      <w:pPr>
        <w:pStyle w:val="Compact"/>
        <w:numPr>
          <w:ilvl w:val="0"/>
          <w:numId w:val="1018"/>
        </w:numPr>
      </w:pPr>
      <w:r>
        <w:t xml:space="preserve">Il marker che decide appartiene a un piano che non hai trattato; quello sul piano trattato misura il gesto, e i due non si scambiano.</w:t>
      </w:r>
    </w:p>
    <w:p>
      <w:pPr>
        <w:pStyle w:val="Compact"/>
        <w:numPr>
          <w:ilvl w:val="0"/>
          <w:numId w:val="1018"/>
        </w:numPr>
      </w:pPr>
      <w:r>
        <w:t xml:space="preserve">La paziente il cui driver è il livello di attivazione è quella su cui hai più da fare, non meno: l’attivazione è il bersaglio, e la leva è manuale.</w:t>
      </w:r>
    </w:p>
    <w:p>
      <w:pPr>
        <w:pStyle w:val="Compact"/>
        <w:numPr>
          <w:ilvl w:val="0"/>
          <w:numId w:val="1018"/>
        </w:numPr>
      </w:pPr>
      <w:r>
        <w:rPr>
          <w:b/>
          <w:bCs/>
        </w:rPr>
        <w:t xml:space="preserve">Perché ci sei tu.</w:t>
      </w:r>
      <w:r>
        <w:t xml:space="preserve"> </w:t>
      </w:r>
      <w:r>
        <w:t xml:space="preserve">In un sottogruppo di donne con dismenorrea la modulazione condizionata del dolore è ridotta, e le soglie corporee generali sono più basse rispetto sia alle altre donne con dismenorrea sia alle donne senza dolore (Hellman,</w:t>
      </w:r>
      <w:r>
        <w:t xml:space="preserve"> </w:t>
      </w:r>
      <w:r>
        <w:rPr>
          <w:i/>
          <w:iCs/>
        </w:rPr>
        <w:t xml:space="preserve">Pain</w:t>
      </w:r>
      <w:r>
        <w:t xml:space="preserve"> </w:t>
      </w:r>
      <w:r>
        <w:t xml:space="preserve">2020 — PMID 32168005). Quel sottogruppo è stato identificato con un compito di riempimento della vescica, non con le mani. Questo ti autorizza a sapere che quel sottotipo esiste, e a scegliere il piano dell’attivazione quando i segnali che raccogli gli somigliano. Non ti autorizza a dire che l’hai identificato: il criterio dello studio non è riproducibile in stanza, e il tuo è un surrogato — IPOTESI, non un reperto.</w:t>
      </w:r>
    </w:p>
    <w:p>
      <w:r>
        <w:pict>
          <v:rect style="width:0;height:1.5pt" o:hralign="center" o:hrstd="t" o:hr="t"/>
        </w:pict>
      </w:r>
    </w:p>
    <w:bookmarkEnd w:id="55"/>
    <w:bookmarkEnd w:id="56"/>
    <w:bookmarkStart w:id="64"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cancello ha una particolarità che non ha altrove — un accertamento negativo non chiude niente, e chi lo tratta come una chiusura sbaglia nella direzione che costa di più.</w:t>
      </w:r>
    </w:p>
    <w:bookmarkStart w:id="57" w:name="le-bandiere-rosse"/>
    <w:p>
      <w:pPr>
        <w:pStyle w:val="Heading3"/>
      </w:pPr>
      <w:r>
        <w:t xml:space="preserve">Le bandiere rosse</w:t>
      </w:r>
    </w:p>
    <w:p>
      <w:pPr>
        <w:pStyle w:val="FirstParagraph"/>
      </w:pPr>
      <w:r>
        <w:rPr>
          <w:b/>
          <w:bCs/>
        </w:rPr>
        <w:t xml:space="preserve">Da dove vengono.</w:t>
      </w:r>
      <w:r>
        <w:t xml:space="preserve"> </w:t>
      </w:r>
      <w:r>
        <w:t xml:space="preserve">Il documento di riferimento sulla dismenorrea primaria è una linea guida</w:t>
      </w:r>
      <w:r>
        <w:t xml:space="preserve"> </w:t>
      </w:r>
      <w:r>
        <w:rPr>
          <w:b/>
          <w:bCs/>
        </w:rPr>
        <w:t xml:space="preserve">di trattamento</w:t>
      </w:r>
      <w:r>
        <w:t xml:space="preserve">, e non contiene una sezione di bandiere rosse (Burnett e Lemyre,</w:t>
      </w:r>
      <w:r>
        <w:t xml:space="preserve"> </w:t>
      </w:r>
      <w:r>
        <w:rPr>
          <w:i/>
          <w:iCs/>
        </w:rPr>
        <w:t xml:space="preserve">J Obstet Gynaecol Can</w:t>
      </w:r>
      <w:r>
        <w:t xml:space="preserve"> </w:t>
      </w:r>
      <w:r>
        <w:t xml:space="preserve">2017 — PMID 28625286). La tabella qui sotto è quindi</w:t>
      </w:r>
      <w:r>
        <w:t xml:space="preserve"> </w:t>
      </w:r>
      <w:r>
        <w:rPr>
          <w:b/>
          <w:bCs/>
        </w:rPr>
        <w:t xml:space="preserve">composta</w:t>
      </w:r>
      <w:r>
        <w:t xml:space="preserve">, e ogni riga porta la sua fonte. Il criterio dei tre-sei mesi viene dalla raccomandazione statunitense sull’adolescente (ACOG 760, 2018 — PMID 30461694). Il pattern suggestivo di endometriosi e la regola sull’immagine negativa vengono dalla linea guida europea (Becker,</w:t>
      </w:r>
      <w:r>
        <w:t xml:space="preserve"> </w:t>
      </w:r>
      <w:r>
        <w:rPr>
          <w:i/>
          <w:iCs/>
        </w:rPr>
        <w:t xml:space="preserve">Hum Reprod Open</w:t>
      </w:r>
      <w:r>
        <w:t xml:space="preserve"> </w:t>
      </w:r>
      <w:r>
        <w:t xml:space="preserve">2022 — PMID 35350465). Le righe acute vengono dai documenti dedicati a gravidanza ectopica (ACOG 193, 2018 — PMID 29470343), torsione annessiale (ACOG 783, 2019 — PMID 31348225) e malattia infiammatoria pelvica (CDC,</w:t>
      </w:r>
      <w:r>
        <w:t xml:space="preserve"> </w:t>
      </w:r>
      <w:r>
        <w:rPr>
          <w:i/>
          <w:iCs/>
        </w:rPr>
        <w:t xml:space="preserve">MMWR Recomm Rep</w:t>
      </w:r>
      <w:r>
        <w:t xml:space="preserve"> </w:t>
      </w:r>
      <w:r>
        <w:t xml:space="preserve">2021 — PMID 34292926). I sintomi extrapelvici, urinari, intestinali e l’infertilità vengono dai criteri di sospetto di ESHRE 2022 e di NICE NG73. Le anomalie ostruttive del tratto riproduttivo vengono da ACOG 760. La riga sul flusso abbondante con astenia viene dalla letteratura ematologica sulla carenza marziale (Samuelson Bannow, 2020 — PMID 33275699).</w:t>
      </w:r>
    </w:p>
    <w:p>
      <w:pPr>
        <w:pStyle w:val="BodyText"/>
      </w:pPr>
      <w:r>
        <w:rPr>
          <w:b/>
          <w:bCs/>
        </w:rPr>
        <w:t xml:space="preserve">Come si usa.</w:t>
      </w:r>
      <w:r>
        <w:t xml:space="preserve"> </w:t>
      </w:r>
      <w:r>
        <w:t xml:space="preserve">È la lista migliore disponibile e non è validata: si usa come rete, non come filtro. Una riga presente ti fa fermare. Tutte assenti non ti autorizzano a escludere niente. In cartella scrivi che l’hai passata in rassegna, non che la paziente è negativa. La colonna dei tempi è il tempo</w:t>
      </w:r>
      <w:r>
        <w:t xml:space="preserve"> </w:t>
      </w:r>
      <w:r>
        <w:rPr>
          <w:b/>
          <w:bCs/>
        </w:rPr>
        <w:t xml:space="preserve">dell’invio</w:t>
      </w:r>
      <w:r>
        <w:t xml:space="preserve">: la tua revisione è un altro orologio, e sta più sotto.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 dell’invio</w:t>
            </w:r>
          </w:p>
        </w:tc>
        <w:tc>
          <w:tcPr/>
          <w:p>
            <w:pPr>
              <w:pStyle w:val="Compact"/>
            </w:pPr>
            <w:r>
              <w:t xml:space="preserve">Uscita</w:t>
            </w:r>
          </w:p>
        </w:tc>
      </w:tr>
      <w:tr>
        <w:tc>
          <w:tcPr/>
          <w:p>
            <w:pPr>
              <w:pStyle w:val="Compact"/>
            </w:pPr>
            <w:r>
              <w:t xml:space="preserve">Dolore pelvico acuto violentissimo, diverso dal solito</w:t>
            </w:r>
          </w:p>
        </w:tc>
        <w:tc>
          <w:tcPr/>
          <w:p>
            <w:pPr>
              <w:pStyle w:val="Compact"/>
            </w:pPr>
            <w:r>
              <w:t xml:space="preserve">Pronto soccorso</w:t>
            </w:r>
          </w:p>
        </w:tc>
        <w:tc>
          <w:tcPr/>
          <w:p>
            <w:pPr>
              <w:pStyle w:val="Compact"/>
            </w:pPr>
            <w:r>
              <w:t xml:space="preserve">112</w:t>
            </w:r>
          </w:p>
        </w:tc>
        <w:tc>
          <w:tcPr/>
          <w:p>
            <w:pPr>
              <w:pStyle w:val="Compact"/>
            </w:pPr>
            <w:r>
              <w:t xml:space="preserve">ROSSO</w:t>
            </w:r>
          </w:p>
        </w:tc>
      </w:tr>
      <w:tr>
        <w:tc>
          <w:tcPr/>
          <w:p>
            <w:pPr>
              <w:pStyle w:val="Compact"/>
            </w:pPr>
            <w:r>
              <w:t xml:space="preserve">Ritardo mestruale o gravidanza possibile, con dolore</w:t>
            </w:r>
          </w:p>
        </w:tc>
        <w:tc>
          <w:tcPr/>
          <w:p>
            <w:pPr>
              <w:pStyle w:val="Compact"/>
            </w:pPr>
            <w:r>
              <w:t xml:space="preserve">Pronto soccorso ginecologico</w:t>
            </w:r>
          </w:p>
        </w:tc>
        <w:tc>
          <w:tcPr/>
          <w:p>
            <w:pPr>
              <w:pStyle w:val="Compact"/>
            </w:pPr>
            <w:r>
              <w:t xml:space="preserve">112</w:t>
            </w:r>
          </w:p>
        </w:tc>
        <w:tc>
          <w:tcPr/>
          <w:p>
            <w:pPr>
              <w:pStyle w:val="Compact"/>
            </w:pPr>
            <w:r>
              <w:t xml:space="preserve">ROSSO</w:t>
            </w:r>
          </w:p>
        </w:tc>
      </w:tr>
      <w:tr>
        <w:tc>
          <w:tcPr/>
          <w:p>
            <w:pPr>
              <w:pStyle w:val="Compact"/>
            </w:pPr>
            <w:r>
              <w:t xml:space="preserve">Febbre con perdite maleodoranti</w:t>
            </w:r>
          </w:p>
        </w:tc>
        <w:tc>
          <w:tcPr/>
          <w:p>
            <w:pPr>
              <w:pStyle w:val="Compact"/>
            </w:pPr>
            <w:r>
              <w:t xml:space="preserve">Medico curante o PS</w:t>
            </w:r>
          </w:p>
        </w:tc>
        <w:tc>
          <w:tcPr/>
          <w:p>
            <w:pPr>
              <w:pStyle w:val="Compact"/>
            </w:pPr>
            <w:r>
              <w:t xml:space="preserve">In giornata</w:t>
            </w:r>
          </w:p>
        </w:tc>
        <w:tc>
          <w:tcPr/>
          <w:p>
            <w:pPr>
              <w:pStyle w:val="Compact"/>
            </w:pPr>
            <w:r>
              <w:t xml:space="preserve">ROSSO</w:t>
            </w:r>
          </w:p>
        </w:tc>
      </w:tr>
      <w:tr>
        <w:tc>
          <w:tcPr/>
          <w:p>
            <w:pPr>
              <w:pStyle w:val="Compact"/>
            </w:pPr>
            <w:r>
              <w:t xml:space="preserve">Dolore unilaterale a esordio brusco, con vomito</w:t>
            </w:r>
          </w:p>
        </w:tc>
        <w:tc>
          <w:tcPr/>
          <w:p>
            <w:pPr>
              <w:pStyle w:val="Compact"/>
            </w:pPr>
            <w:r>
              <w:t xml:space="preserve">Pronto soccorso ginecologico</w:t>
            </w:r>
          </w:p>
        </w:tc>
        <w:tc>
          <w:tcPr/>
          <w:p>
            <w:pPr>
              <w:pStyle w:val="Compact"/>
            </w:pPr>
            <w:r>
              <w:t xml:space="preserve">Urgente</w:t>
            </w:r>
          </w:p>
        </w:tc>
        <w:tc>
          <w:tcPr/>
          <w:p>
            <w:pPr>
              <w:pStyle w:val="Compact"/>
            </w:pPr>
            <w:r>
              <w:t xml:space="preserve">ROSSO</w:t>
            </w:r>
          </w:p>
        </w:tc>
      </w:tr>
      <w:tr>
        <w:tc>
          <w:tcPr/>
          <w:p>
            <w:pPr>
              <w:pStyle w:val="Compact"/>
            </w:pPr>
            <w:r>
              <w:t xml:space="preserve">Sanguinamenti abbondanti ripetuti fuori dal ciclo</w:t>
            </w:r>
          </w:p>
        </w:tc>
        <w:tc>
          <w:tcPr/>
          <w:p>
            <w:pPr>
              <w:pStyle w:val="Compact"/>
            </w:pPr>
            <w:r>
              <w:t xml:space="preserve">Ginecologo</w:t>
            </w:r>
          </w:p>
        </w:tc>
        <w:tc>
          <w:tcPr/>
          <w:p>
            <w:pPr>
              <w:pStyle w:val="Compact"/>
            </w:pPr>
            <w:r>
              <w:t xml:space="preserve">Entro 7 giorni</w:t>
            </w:r>
          </w:p>
        </w:tc>
        <w:tc>
          <w:tcPr/>
          <w:p>
            <w:pPr>
              <w:pStyle w:val="Compact"/>
            </w:pPr>
            <w:r>
              <w:t xml:space="preserve">GIALLO PRIORITARIO</w:t>
            </w:r>
          </w:p>
        </w:tc>
      </w:tr>
      <w:tr>
        <w:tc>
          <w:tcPr/>
          <w:p>
            <w:pPr>
              <w:pStyle w:val="Compact"/>
            </w:pPr>
            <w:r>
              <w:t xml:space="preserve">Flusso mestruale abbondante, con astenia o pallore</w:t>
            </w:r>
          </w:p>
        </w:tc>
        <w:tc>
          <w:tcPr/>
          <w:p>
            <w:pPr>
              <w:pStyle w:val="Compact"/>
            </w:pPr>
            <w:r>
              <w:t xml:space="preserve">Medico curante</w:t>
            </w:r>
          </w:p>
        </w:tc>
        <w:tc>
          <w:tcPr/>
          <w:p>
            <w:pPr>
              <w:pStyle w:val="Compact"/>
            </w:pPr>
            <w:r>
              <w:t xml:space="preserve">Entro 7 giorni</w:t>
            </w:r>
          </w:p>
        </w:tc>
        <w:tc>
          <w:tcPr/>
          <w:p>
            <w:pPr>
              <w:pStyle w:val="Compact"/>
            </w:pPr>
            <w:r>
              <w:t xml:space="preserve">GIALLO PRIORITARIO</w:t>
            </w:r>
          </w:p>
        </w:tc>
      </w:tr>
      <w:tr>
        <w:tc>
          <w:tcPr/>
          <w:p>
            <w:pPr>
              <w:pStyle w:val="Compact"/>
            </w:pPr>
            <w:r>
              <w:t xml:space="preserve">Peggioramento progressivo ciclo dopo ciclo</w:t>
            </w:r>
          </w:p>
        </w:tc>
        <w:tc>
          <w:tcPr/>
          <w:p>
            <w:pPr>
              <w:pStyle w:val="Compact"/>
            </w:pPr>
            <w:r>
              <w:t xml:space="preserve">Ginecologo, competenza endometriosi</w:t>
            </w:r>
          </w:p>
        </w:tc>
        <w:tc>
          <w:tcPr/>
          <w:p>
            <w:pPr>
              <w:pStyle w:val="Compact"/>
            </w:pPr>
            <w:r>
              <w:t xml:space="preserve">Invio programmato</w:t>
            </w:r>
          </w:p>
        </w:tc>
        <w:tc>
          <w:tcPr/>
          <w:p>
            <w:pPr>
              <w:pStyle w:val="Compact"/>
            </w:pPr>
            <w:r>
              <w:t xml:space="preserve">GIALLO PRIORITARIO</w:t>
            </w:r>
          </w:p>
        </w:tc>
      </w:tr>
      <w:tr>
        <w:tc>
          <w:tcPr/>
          <w:p>
            <w:pPr>
              <w:pStyle w:val="Compact"/>
            </w:pPr>
            <w:r>
              <w:t xml:space="preserve">Nessuna risposta a farmaco più ormone, 3-6 mesi</w:t>
            </w:r>
          </w:p>
        </w:tc>
        <w:tc>
          <w:tcPr/>
          <w:p>
            <w:pPr>
              <w:pStyle w:val="Compact"/>
            </w:pPr>
            <w:r>
              <w:t xml:space="preserve">Ginecologo, competenza endometriosi</w:t>
            </w:r>
          </w:p>
        </w:tc>
        <w:tc>
          <w:tcPr/>
          <w:p>
            <w:pPr>
              <w:pStyle w:val="Compact"/>
            </w:pPr>
            <w:r>
              <w:t xml:space="preserve">Invio programmato</w:t>
            </w:r>
          </w:p>
        </w:tc>
        <w:tc>
          <w:tcPr/>
          <w:p>
            <w:pPr>
              <w:pStyle w:val="Compact"/>
            </w:pPr>
            <w:r>
              <w:t xml:space="preserve">GIALLO PRIORITARIO</w:t>
            </w:r>
          </w:p>
        </w:tc>
      </w:tr>
      <w:tr>
        <w:tc>
          <w:tcPr/>
          <w:p>
            <w:pPr>
              <w:pStyle w:val="Compact"/>
            </w:pPr>
            <w:r>
              <w:t xml:space="preserve">Dismenorrea comparsa dopo anni di cicli indolori</w:t>
            </w:r>
          </w:p>
        </w:tc>
        <w:tc>
          <w:tcPr/>
          <w:p>
            <w:pPr>
              <w:pStyle w:val="Compact"/>
            </w:pPr>
            <w:r>
              <w:t xml:space="preserve">Ginecologo</w:t>
            </w:r>
          </w:p>
        </w:tc>
        <w:tc>
          <w:tcPr/>
          <w:p>
            <w:pPr>
              <w:pStyle w:val="Compact"/>
            </w:pPr>
            <w:r>
              <w:t xml:space="preserve">Invio</w:t>
            </w:r>
          </w:p>
        </w:tc>
        <w:tc>
          <w:tcPr/>
          <w:p>
            <w:pPr>
              <w:pStyle w:val="Compact"/>
            </w:pPr>
            <w:r>
              <w:t xml:space="preserve">GIALLO PRIORITARIO</w:t>
            </w:r>
          </w:p>
        </w:tc>
      </w:tr>
      <w:tr>
        <w:tc>
          <w:tcPr/>
          <w:p>
            <w:pPr>
              <w:pStyle w:val="Compact"/>
            </w:pPr>
            <w:r>
              <w:t xml:space="preserve">Dolore ciclico a spalla o torace, tosse ciclica</w:t>
            </w:r>
          </w:p>
        </w:tc>
        <w:tc>
          <w:tcPr/>
          <w:p>
            <w:pPr>
              <w:pStyle w:val="Compact"/>
            </w:pPr>
            <w:r>
              <w:t xml:space="preserve">Ginecologo, competenza endometriosi</w:t>
            </w:r>
          </w:p>
        </w:tc>
        <w:tc>
          <w:tcPr/>
          <w:p>
            <w:pPr>
              <w:pStyle w:val="Compact"/>
            </w:pPr>
            <w:r>
              <w:t xml:space="preserve">Invio, non attendere</w:t>
            </w:r>
          </w:p>
        </w:tc>
        <w:tc>
          <w:tcPr/>
          <w:p>
            <w:pPr>
              <w:pStyle w:val="Compact"/>
            </w:pPr>
            <w:r>
              <w:t xml:space="preserve">GIALLO PRIORITARIO</w:t>
            </w:r>
          </w:p>
        </w:tc>
      </w:tr>
      <w:tr>
        <w:tc>
          <w:tcPr/>
          <w:p>
            <w:pPr>
              <w:pStyle w:val="Compact"/>
            </w:pPr>
            <w:r>
              <w:t xml:space="preserve">Sintomi urinari ciclici, ematuria o disuria mestruale</w:t>
            </w:r>
          </w:p>
        </w:tc>
        <w:tc>
          <w:tcPr/>
          <w:p>
            <w:pPr>
              <w:pStyle w:val="Compact"/>
            </w:pPr>
            <w:r>
              <w:t xml:space="preserve">Ginecologo, competenza endometriosi</w:t>
            </w:r>
          </w:p>
        </w:tc>
        <w:tc>
          <w:tcPr/>
          <w:p>
            <w:pPr>
              <w:pStyle w:val="Compact"/>
            </w:pPr>
            <w:r>
              <w:t xml:space="preserve">Invio</w:t>
            </w:r>
          </w:p>
        </w:tc>
        <w:tc>
          <w:tcPr/>
          <w:p>
            <w:pPr>
              <w:pStyle w:val="Compact"/>
            </w:pPr>
            <w:r>
              <w:t xml:space="preserve">GIALLO PRIORITARIO</w:t>
            </w:r>
          </w:p>
        </w:tc>
      </w:tr>
      <w:tr>
        <w:tc>
          <w:tcPr/>
          <w:p>
            <w:pPr>
              <w:pStyle w:val="Compact"/>
            </w:pPr>
            <w:r>
              <w:t xml:space="preserve">Dolore ciclico alla defecazione o sangue rettale</w:t>
            </w:r>
          </w:p>
        </w:tc>
        <w:tc>
          <w:tcPr/>
          <w:p>
            <w:pPr>
              <w:pStyle w:val="Compact"/>
            </w:pPr>
            <w:r>
              <w:t xml:space="preserve">Ginecologo, competenza endometriosi</w:t>
            </w:r>
          </w:p>
        </w:tc>
        <w:tc>
          <w:tcPr/>
          <w:p>
            <w:pPr>
              <w:pStyle w:val="Compact"/>
            </w:pPr>
            <w:r>
              <w:t xml:space="preserve">Invio</w:t>
            </w:r>
          </w:p>
        </w:tc>
        <w:tc>
          <w:tcPr/>
          <w:p>
            <w:pPr>
              <w:pStyle w:val="Compact"/>
            </w:pPr>
            <w:r>
              <w:t xml:space="preserve">GIALLO PRIORITARIO</w:t>
            </w:r>
          </w:p>
        </w:tc>
      </w:tr>
      <w:tr>
        <w:tc>
          <w:tcPr/>
          <w:p>
            <w:pPr>
              <w:pStyle w:val="Compact"/>
            </w:pPr>
            <w:r>
              <w:t xml:space="preserve">Infertilità o gravidanza cercata e non ottenuta</w:t>
            </w:r>
          </w:p>
        </w:tc>
        <w:tc>
          <w:tcPr/>
          <w:p>
            <w:pPr>
              <w:pStyle w:val="Compact"/>
            </w:pPr>
            <w:r>
              <w:t xml:space="preserve">Ginecologo, competenza endometriosi</w:t>
            </w:r>
          </w:p>
        </w:tc>
        <w:tc>
          <w:tcPr/>
          <w:p>
            <w:pPr>
              <w:pStyle w:val="Compact"/>
            </w:pPr>
            <w:r>
              <w:t xml:space="preserve">Invio</w:t>
            </w:r>
          </w:p>
        </w:tc>
        <w:tc>
          <w:tcPr/>
          <w:p>
            <w:pPr>
              <w:pStyle w:val="Compact"/>
            </w:pPr>
            <w:r>
              <w:t xml:space="preserve">GIALLO PRIORITARIO</w:t>
            </w:r>
          </w:p>
        </w:tc>
      </w:tr>
      <w:tr>
        <w:tc>
          <w:tcPr/>
          <w:p>
            <w:pPr>
              <w:pStyle w:val="Compact"/>
            </w:pPr>
            <w:r>
              <w:t xml:space="preserve">Dolore severo ingravescente entro un anno dal menarca</w:t>
            </w:r>
          </w:p>
        </w:tc>
        <w:tc>
          <w:tcPr/>
          <w:p>
            <w:pPr>
              <w:pStyle w:val="Compact"/>
            </w:pPr>
            <w:r>
              <w:t xml:space="preserve">Ginecologo</w:t>
            </w:r>
          </w:p>
        </w:tc>
        <w:tc>
          <w:tcPr/>
          <w:p>
            <w:pPr>
              <w:pStyle w:val="Compact"/>
            </w:pPr>
            <w:r>
              <w:t xml:space="preserve">Invio, non attendere</w:t>
            </w:r>
          </w:p>
        </w:tc>
        <w:tc>
          <w:tcPr/>
          <w:p>
            <w:pPr>
              <w:pStyle w:val="Compact"/>
            </w:pPr>
            <w:r>
              <w:t xml:space="preserve">GIALLO PRIORITARIO</w:t>
            </w:r>
          </w:p>
        </w:tc>
      </w:tr>
      <w:tr>
        <w:tc>
          <w:tcPr/>
          <w:p>
            <w:pPr>
              <w:pStyle w:val="Compact"/>
            </w:pPr>
            <w:r>
              <w:t xml:space="preserve">Reperto profondo inatteso, che lei non riconosce</w:t>
            </w:r>
          </w:p>
        </w:tc>
        <w:tc>
          <w:tcPr/>
          <w:p>
            <w:pPr>
              <w:pStyle w:val="Compact"/>
            </w:pPr>
            <w:r>
              <w:t xml:space="preserve">Medico curante</w:t>
            </w:r>
          </w:p>
        </w:tc>
        <w:tc>
          <w:tcPr/>
          <w:p>
            <w:pPr>
              <w:pStyle w:val="Compact"/>
            </w:pPr>
            <w:r>
              <w:t xml:space="preserve">Entro 7 giorni</w:t>
            </w:r>
          </w:p>
        </w:tc>
        <w:tc>
          <w:tcPr/>
          <w:p>
            <w:pPr>
              <w:pStyle w:val="Compact"/>
            </w:pPr>
            <w:r>
              <w:t xml:space="preserve">GIALLO PRIORITARIO</w:t>
            </w:r>
          </w:p>
        </w:tc>
      </w:tr>
    </w:tbl>
    <w:p>
      <w:pPr>
        <w:pStyle w:val="BodyText"/>
      </w:pPr>
      <w:r>
        <w:rPr>
          <w:b/>
          <w:bCs/>
        </w:rPr>
        <w:t xml:space="preserve">Quattro righe da leggere per esteso.</w:t>
      </w:r>
      <w:r>
        <w:t xml:space="preserve"> </w:t>
      </w:r>
      <w:r>
        <w:t xml:space="preserve">In cella c’è l’etichetta che serve a scorrere; il criterio intero è qui. E una quinta va chiesta con il suo numero: non</w:t>
      </w:r>
      <w:r>
        <w:t xml:space="preserve"> </w:t>
      </w:r>
      <w:r>
        <w:t xml:space="preserve">“hai provato la pillola”</w:t>
      </w:r>
      <w:r>
        <w:t xml:space="preserve">, ma</w:t>
      </w:r>
      <w:r>
        <w:t xml:space="preserve"> </w:t>
      </w:r>
      <w:r>
        <w:rPr>
          <w:i/>
          <w:iCs/>
        </w:rPr>
        <w:t xml:space="preserve">“per quanti mesi, e insieme all’antinfiammatorio?”</w:t>
      </w:r>
      <w:r>
        <w:t xml:space="preserve">.</w:t>
      </w:r>
    </w:p>
    <w:p>
      <w:pPr>
        <w:pStyle w:val="BodyText"/>
      </w:pPr>
      <w:r>
        <w:rPr>
          <w:b/>
          <w:bCs/>
        </w:rPr>
        <w:t xml:space="preserve">Ritardo mestruale o possibilità di gravidanza, con dolore pelvico.</w:t>
      </w:r>
      <w:r>
        <w:t xml:space="preserve"> </w:t>
      </w:r>
      <w:r>
        <w:t xml:space="preserve">Non serve che il test sia già stato fatto: a rischio è la donna che non l’ha fatto, perché legge quel dolore come</w:t>
      </w:r>
      <w:r>
        <w:t xml:space="preserve"> </w:t>
      </w:r>
      <w:r>
        <w:rPr>
          <w:i/>
          <w:iCs/>
        </w:rPr>
        <w:t xml:space="preserve">“il solito ciclo che sta arrivando”</w:t>
      </w:r>
      <w:r>
        <w:t xml:space="preserve">. Il test viene prima di qualunque contatto; se non è disponibile, si esce lo stesso. In questo elenco è la riga della cosa che uccide.</w:t>
      </w:r>
    </w:p>
    <w:p>
      <w:pPr>
        <w:pStyle w:val="BodyText"/>
      </w:pPr>
      <w:r>
        <w:rPr>
          <w:b/>
          <w:bCs/>
        </w:rPr>
        <w:t xml:space="preserve">Reperto profondo inatteso.</w:t>
      </w:r>
      <w:r>
        <w:t xml:space="preserve"> </w:t>
      </w:r>
      <w:r>
        <w:t xml:space="preserve">Se palpi l’addome basso di ogni donna che arriva per dolore mestruale, prima o poi trovi qualcosa che non è parete e che lei non riconosce come il suo dolore. Come si scrive, sta in «Il confine di atto» qui sotto.</w:t>
      </w:r>
    </w:p>
    <w:p>
      <w:pPr>
        <w:pStyle w:val="BodyText"/>
      </w:pPr>
      <w:r>
        <w:rPr>
          <w:b/>
          <w:bCs/>
        </w:rPr>
        <w:t xml:space="preserve">Dolore acuto violentissimo, diverso dal solito.</w:t>
      </w:r>
      <w:r>
        <w:t xml:space="preserve"> </w:t>
      </w:r>
      <w:r>
        <w:t xml:space="preserve">Non</w:t>
      </w:r>
      <w:r>
        <w:t xml:space="preserve"> </w:t>
      </w:r>
      <w:r>
        <w:t xml:space="preserve">“più forte del solito”</w:t>
      </w:r>
      <w:r>
        <w:t xml:space="preserve">:</w:t>
      </w:r>
      <w:r>
        <w:t xml:space="preserve"> </w:t>
      </w:r>
      <w:r>
        <w:rPr>
          <w:i/>
          <w:iCs/>
        </w:rPr>
        <w:t xml:space="preserve">diverso</w:t>
      </w:r>
      <w:r>
        <w:t xml:space="preserve">. Esordio in minuti anziché in ore, unilaterale quando di solito è centrale, che non risponde a niente. È il dolore che non aspetta la fine della seduta.</w:t>
      </w:r>
    </w:p>
    <w:p>
      <w:pPr>
        <w:pStyle w:val="BodyText"/>
      </w:pPr>
      <w:r>
        <w:rPr>
          <w:b/>
          <w:bCs/>
        </w:rPr>
        <w:t xml:space="preserve">Peggioramento progressivo ciclo dopo ciclo, anno dopo anno.</w:t>
      </w:r>
      <w:r>
        <w:t xml:space="preserve"> </w:t>
      </w:r>
      <w:r>
        <w:t xml:space="preserve">È il criterio più utile della tabella e il più facile da mancare, perché non è un evento: è una</w:t>
      </w:r>
      <w:r>
        <w:t xml:space="preserve"> </w:t>
      </w:r>
      <w:r>
        <w:rPr>
          <w:b/>
          <w:bCs/>
        </w:rPr>
        <w:t xml:space="preserve">pendenza</w:t>
      </w:r>
      <w:r>
        <w:t xml:space="preserve">. La domanda che lo cerca sta nella Paziente D di «Come ragiono davanti a questa paziente».</w:t>
      </w:r>
    </w:p>
    <w:bookmarkEnd w:id="57"/>
    <w:bookmarkStart w:id="58" w:name="il-cancello-dingresso"/>
    <w:p>
      <w:pPr>
        <w:pStyle w:val="Heading3"/>
      </w:pPr>
      <w:r>
        <w:t xml:space="preserve">Il cancello d’ingresso</w:t>
      </w:r>
    </w:p>
    <w:p>
      <w:pPr>
        <w:pStyle w:val="FirstParagraph"/>
      </w:pPr>
      <w:r>
        <w:t xml:space="preserve">Il cancello non stabilisce se la paziente ha diritto al trattamento. Stabilisce</w:t>
      </w:r>
      <w:r>
        <w:t xml:space="preserve"> </w:t>
      </w:r>
      <w:r>
        <w:rPr>
          <w:b/>
          <w:bCs/>
        </w:rPr>
        <w:t xml:space="preserve">quale delle tre situazioni hai davanti</w:t>
      </w:r>
      <w:r>
        <w:t xml:space="preserve">, e in ciascuna il tuo comportamento è diverso.</w:t>
      </w:r>
    </w:p>
    <w:p>
      <w:pPr>
        <w:pStyle w:val="BodyText"/>
      </w:pPr>
      <w:r>
        <w:rPr>
          <w:b/>
          <w:bCs/>
        </w:rPr>
        <w:t xml:space="preserve">Il mandato, su due piani.</w:t>
      </w:r>
      <w:r>
        <w:t xml:space="preserve"> </w:t>
      </w:r>
      <w:r>
        <w:t xml:space="preserve">Il mandato</w:t>
      </w:r>
      <w:r>
        <w:t xml:space="preserve"> </w:t>
      </w:r>
      <w:r>
        <w:rPr>
          <w:b/>
          <w:bCs/>
        </w:rPr>
        <w:t xml:space="preserve">clinico</w:t>
      </w:r>
      <w:r>
        <w:t xml:space="preserve"> </w:t>
      </w:r>
      <w:r>
        <w:t xml:space="preserve">— avere qualcosa da trattare oggi — nasce da un reperto disfunzionale documentato e da un marker che si muove:</w:t>
      </w:r>
      <w:r>
        <w:t xml:space="preserve"> </w:t>
      </w:r>
      <w:r>
        <w:rPr>
          <w:b/>
          <w:bCs/>
        </w:rPr>
        <w:t xml:space="preserve">senza quelli non hai un motivo per lavorare nemmeno con la diagnosi in mano.</w:t>
      </w:r>
      <w:r>
        <w:t xml:space="preserve"> </w:t>
      </w:r>
      <w:r>
        <w:t xml:space="preserve">La</w:t>
      </w:r>
      <w:r>
        <w:t xml:space="preserve"> </w:t>
      </w:r>
      <w:r>
        <w:rPr>
          <w:b/>
          <w:bCs/>
        </w:rPr>
        <w:t xml:space="preserve">cornice professionale</w:t>
      </w:r>
      <w:r>
        <w:t xml:space="preserve"> </w:t>
      </w:r>
      <w:r>
        <w:t xml:space="preserve">resta quella del profilo, e quando l’inquadramento manca il canale medico si attiva</w:t>
      </w:r>
      <w:r>
        <w:t xml:space="preserve"> </w:t>
      </w:r>
      <w:r>
        <w:rPr>
          <w:b/>
          <w:bCs/>
        </w:rPr>
        <w:t xml:space="preserve">contestualmente</w:t>
      </w:r>
      <w:r>
        <w:t xml:space="preserve"> </w:t>
      </w:r>
      <w:r>
        <w:t xml:space="preserve">al tuo lavoro, non dopo.</w:t>
      </w:r>
    </w:p>
    <w:p>
      <w:pPr>
        <w:pStyle w:val="BodyText"/>
      </w:pPr>
      <w:r>
        <w:rPr>
          <w:b/>
          <w:bCs/>
        </w:rPr>
        <w:t xml:space="preserve">E il contrappeso, attaccato al principio.</w:t>
      </w:r>
      <w:r>
        <w:t xml:space="preserve"> </w:t>
      </w:r>
      <w:r>
        <w:t xml:space="preserve">Un reperto positivo giustifica il tuo lavoro,</w:t>
      </w:r>
      <w:r>
        <w:t xml:space="preserve"> </w:t>
      </w:r>
      <w:r>
        <w:rPr>
          <w:b/>
          <w:bCs/>
        </w:rPr>
        <w:t xml:space="preserve">non sostituisce l’inquadramento medico</w:t>
      </w:r>
      <w:r>
        <w:t xml:space="preserve">: trovare una parete iperalgesica significa che hai</w:t>
      </w:r>
      <w:r>
        <w:t xml:space="preserve"> </w:t>
      </w:r>
      <w:r>
        <w:rPr>
          <w:b/>
          <w:bCs/>
        </w:rPr>
        <w:t xml:space="preserve">qualcosa da trattare</w:t>
      </w:r>
      <w:r>
        <w:t xml:space="preserve">, non che</w:t>
      </w:r>
      <w:r>
        <w:t xml:space="preserve"> </w:t>
      </w:r>
      <w:r>
        <w:rPr>
          <w:b/>
          <w:bCs/>
        </w:rPr>
        <w:t xml:space="preserve">sai cosa ha la paziente</w:t>
      </w:r>
      <w:r>
        <w:t xml:space="preserve">. Le due cose convivono, e vanno dette alla paziente come conviventi.</w:t>
      </w:r>
    </w:p>
    <w:p>
      <w:pPr>
        <w:pStyle w:val="BodyText"/>
      </w:pPr>
      <w:r>
        <w:rPr>
          <w:b/>
          <w:bCs/>
        </w:rPr>
        <w:t xml:space="preserve">🔴 ROSSO — Stop.</w:t>
      </w:r>
      <w:r>
        <w:t xml:space="preserve"> </w:t>
      </w:r>
      <w:r>
        <w:t xml:space="preserve">Basta una sola bandiera rossa delle prime quattro righe.</w:t>
      </w:r>
      <w:r>
        <w:t xml:space="preserve"> </w:t>
      </w:r>
      <w:r>
        <w:rPr>
          <w:b/>
          <w:bCs/>
        </w:rPr>
        <w:t xml:space="preserve">In quella seduta non si tratta</w:t>
      </w:r>
      <w:r>
        <w:t xml:space="preserve">, e non si appoggiano le mani su niente: la paziente esce con un’indicazione medica</w:t>
      </w:r>
      <w:r>
        <w:t xml:space="preserve"> </w:t>
      </w:r>
      <w:r>
        <w:rPr>
          <w:b/>
          <w:bCs/>
        </w:rPr>
        <w:t xml:space="preserve">esplicita e scritta</w:t>
      </w:r>
      <w:r>
        <w:t xml:space="preserve"> </w:t>
      </w:r>
      <w:r>
        <w:t xml:space="preserve">e con i tempi dichiarati. Il permesso di trattare una disfunzione muscolo-scheletrica autonoma, dichiarando in cartella che il dolore mestruale</w:t>
      </w:r>
      <w:r>
        <w:t xml:space="preserve"> </w:t>
      </w:r>
      <w:r>
        <w:rPr>
          <w:b/>
          <w:bCs/>
        </w:rPr>
        <w:t xml:space="preserve">non è il bersaglio</w:t>
      </w:r>
      <w:r>
        <w:t xml:space="preserve">, vale nel GIALLO PRIORITARIO, non qui. Nessuna eccezione, e nessun reperto positivo scavalca questa uscita.</w:t>
      </w:r>
    </w:p>
    <w:p>
      <w:pPr>
        <w:pStyle w:val="BodyText"/>
      </w:pPr>
      <w:r>
        <w:rPr>
          <w:b/>
          <w:bCs/>
        </w:rPr>
        <w:t xml:space="preserve">🟡 GIALLO — Si lavora, in parallelo.</w:t>
      </w:r>
      <w:r>
        <w:t xml:space="preserve"> </w:t>
      </w:r>
      <w:r>
        <w:t xml:space="preserve">Nessuna bandiera rossa, inquadramento assente o incompleto.</w:t>
      </w:r>
      <w:r>
        <w:t xml:space="preserve"> </w:t>
      </w:r>
      <w:r>
        <w:rPr>
          <w:b/>
          <w:bCs/>
        </w:rPr>
        <w:t xml:space="preserve">È la situazione più frequente, e non è un motivo per rimandare fuori la paziente.</w:t>
      </w:r>
      <w:r>
        <w:t xml:space="preserve"> </w:t>
      </w:r>
      <w:r>
        <w:t xml:space="preserve">Quattro condizioni, tutte verificabili:</w:t>
      </w:r>
    </w:p>
    <w:p>
      <w:pPr>
        <w:pStyle w:val="Compact"/>
        <w:numPr>
          <w:ilvl w:val="0"/>
          <w:numId w:val="1019"/>
        </w:numPr>
      </w:pPr>
      <w:r>
        <w:rPr>
          <w:b/>
          <w:bCs/>
        </w:rPr>
        <w:t xml:space="preserve">Un reperto tuo, positivo e scritto in cartella</w:t>
      </w:r>
      <w:r>
        <w:t xml:space="preserve"> </w:t>
      </w:r>
      <w:r>
        <w:t xml:space="preserve">— non</w:t>
      </w:r>
      <w:r>
        <w:t xml:space="preserve"> </w:t>
      </w:r>
      <w:r>
        <w:t xml:space="preserve">“ha la dismenorrea”</w:t>
      </w:r>
      <w:r>
        <w:t xml:space="preserve">, ma la grandezza che hai prodotto: soglia algometrica, escursione lombare regionale, numero di test di provocazione positivi.</w:t>
      </w:r>
    </w:p>
    <w:p>
      <w:pPr>
        <w:pStyle w:val="Compact"/>
        <w:numPr>
          <w:ilvl w:val="0"/>
          <w:numId w:val="1019"/>
        </w:numPr>
      </w:pPr>
      <w:r>
        <w:rPr>
          <w:b/>
          <w:bCs/>
        </w:rPr>
        <w:t xml:space="preserve">La paziente sa cosa tratti e cosa no.</w:t>
      </w:r>
      <w:r>
        <w:t xml:space="preserve"> </w:t>
      </w:r>
      <w:r>
        <w:t xml:space="preserve">Frase da usare:</w:t>
      </w:r>
      <w:r>
        <w:t xml:space="preserve"> </w:t>
      </w:r>
      <w:r>
        <w:rPr>
          <w:i/>
          <w:iCs/>
        </w:rPr>
        <w:t xml:space="preserve">«io lavoro sulla parete addominale e sulla zona lombo-sacrale, che è la parte che ho trovato alterata. Il dolore mestruale va comunque inquadrato dal tuo ginecologo, e nel frattempo io non aspetto.»</w:t>
      </w:r>
    </w:p>
    <w:p>
      <w:pPr>
        <w:pStyle w:val="Compact"/>
        <w:numPr>
          <w:ilvl w:val="0"/>
          <w:numId w:val="1019"/>
        </w:numPr>
      </w:pPr>
      <w:r>
        <w:rPr>
          <w:b/>
          <w:bCs/>
        </w:rPr>
        <w:t xml:space="preserve">Canale medico attivato senza interrompere il lavoro</w:t>
      </w:r>
      <w:r>
        <w:t xml:space="preserve"> </w:t>
      </w:r>
      <w:r>
        <w:t xml:space="preserve">— una comunicazione scritta al curante o al ginecologo, non un rinvio affidato alla paziente.</w:t>
      </w:r>
    </w:p>
    <w:p>
      <w:pPr>
        <w:pStyle w:val="Compact"/>
        <w:numPr>
          <w:ilvl w:val="0"/>
          <w:numId w:val="1019"/>
        </w:numPr>
      </w:pPr>
      <w:r>
        <w:rPr>
          <w:b/>
          <w:bCs/>
        </w:rPr>
        <w:t xml:space="preserve">Tempo definito, contato in calendario e non in sedute.</w:t>
      </w:r>
      <w:r>
        <w:t xml:space="preserve"> </w:t>
      </w:r>
      <w:r>
        <w:t xml:space="preserve">La data della revisione si scrive in cartella il giorno in cui si apre il GIALLO, e cade</w:t>
      </w:r>
      <w:r>
        <w:t xml:space="preserve"> </w:t>
      </w:r>
      <w:r>
        <w:rPr>
          <w:b/>
          <w:bCs/>
        </w:rPr>
        <w:t xml:space="preserve">entro otto settimane</w:t>
      </w:r>
      <w:r>
        <w:t xml:space="preserve"> </w:t>
      </w:r>
      <w:r>
        <w:t xml:space="preserve">dalla prima seduta, cioè due cicli. Nel</w:t>
      </w:r>
      <w:r>
        <w:t xml:space="preserve"> </w:t>
      </w:r>
      <w:r>
        <w:rPr>
          <w:b/>
          <w:bCs/>
        </w:rPr>
        <w:t xml:space="preserve">GIALLO PRIORITARIO</w:t>
      </w:r>
      <w:r>
        <w:t xml:space="preserve"> </w:t>
      </w:r>
      <w:r>
        <w:t xml:space="preserve">— tutte le righe non rosse della tabella — il tetto si dimezza a</w:t>
      </w:r>
      <w:r>
        <w:t xml:space="preserve"> </w:t>
      </w:r>
      <w:r>
        <w:rPr>
          <w:b/>
          <w:bCs/>
        </w:rPr>
        <w:t xml:space="preserve">quattro settimane</w:t>
      </w:r>
      <w:r>
        <w:t xml:space="preserve">, ed è il tempo che dai al canale medico, non alla tua leva.</w:t>
      </w:r>
    </w:p>
    <w:p>
      <w:pPr>
        <w:pStyle w:val="FirstParagraph"/>
      </w:pPr>
      <w:r>
        <w:rPr>
          <w:b/>
          <w:bCs/>
        </w:rPr>
        <w:t xml:space="preserve">Se il tempo scade e il marker non si è mosso</w:t>
      </w:r>
      <w:r>
        <w:t xml:space="preserve">, non è una rinuncia: è un’informazione. Il tuo reperto non era il driver, e la spinta sul canale medico da parallela diventa prioritaria.</w:t>
      </w:r>
    </w:p>
    <w:p>
      <w:pPr>
        <w:pStyle w:val="BodyText"/>
      </w:pPr>
      <w:r>
        <w:rPr>
          <w:b/>
          <w:bCs/>
        </w:rPr>
        <w:t xml:space="preserve">E se il marker si è mosso, il GIALLO non si rinnova per questo.</w:t>
      </w:r>
      <w:r>
        <w:t xml:space="preserve"> </w:t>
      </w:r>
      <w:r>
        <w:t xml:space="preserve">Senza un riscontro dal canale medico si rinnova solo con una seconda comunicazione scritta e una nuova data in cartella. Un marker che risponde è un’informazione sul tuo lavoro, non un sostituto dell’inquadramento che manca.</w:t>
      </w:r>
    </w:p>
    <w:p>
      <w:pPr>
        <w:pStyle w:val="BodyText"/>
      </w:pPr>
      <w:r>
        <w:rPr>
          <w:b/>
          <w:bCs/>
        </w:rPr>
        <w:t xml:space="preserve">🟢 VERDE — Si procede.</w:t>
      </w:r>
      <w:r>
        <w:t xml:space="preserve"> </w:t>
      </w:r>
      <w:r>
        <w:t xml:space="preserve">Nessuna bandiera rossa. E qui questa condizione ha una particolarità che altrove non vale.</w:t>
      </w:r>
    </w:p>
    <w:p>
      <w:pPr>
        <w:pStyle w:val="BodyText"/>
      </w:pPr>
      <w:r>
        <w:rPr>
          <w:b/>
          <w:bCs/>
        </w:rPr>
        <w:t xml:space="preserve">Un accertamento negativo non apre il verde.</w:t>
      </w:r>
      <w:r>
        <w:t xml:space="preserve"> </w:t>
      </w:r>
      <w:r>
        <w:t xml:space="preserve">L’ecografia pelvica non ha la sensibilità per la causa secondaria principale: le linee guida europee raccomandano in modo forte di sapere che un’immagine negativa</w:t>
      </w:r>
      <w:r>
        <w:t xml:space="preserve"> </w:t>
      </w:r>
      <w:r>
        <w:rPr>
          <w:b/>
          <w:bCs/>
        </w:rPr>
        <w:t xml:space="preserve">non esclude</w:t>
      </w:r>
      <w:r>
        <w:t xml:space="preserve"> </w:t>
      </w:r>
      <w:r>
        <w:t xml:space="preserve">l’endometriosi, in particolare quella peritoneale superficiale (Becker, 2022 — PMID 35350465).</w:t>
      </w:r>
      <w:r>
        <w:t xml:space="preserve"> </w:t>
      </w:r>
      <w:r>
        <w:rPr>
          <w:i/>
          <w:iCs/>
        </w:rPr>
        <w:t xml:space="preserve">“L’ecografia era a posto”</w:t>
      </w:r>
      <w:r>
        <w:t xml:space="preserve"> </w:t>
      </w:r>
      <w:r>
        <w:t xml:space="preserve">è un GIALLO, non un VERDE.</w:t>
      </w:r>
    </w:p>
    <w:p>
      <w:pPr>
        <w:pStyle w:val="BodyText"/>
      </w:pPr>
      <w:r>
        <w:t xml:space="preserve">Il VERDE si apre su una fra tre cose.</w:t>
      </w:r>
      <w:r>
        <w:t xml:space="preserve"> </w:t>
      </w:r>
      <w:r>
        <w:rPr>
          <w:b/>
          <w:bCs/>
        </w:rPr>
        <w:t xml:space="preserve">Una valutazione ginecologica documentata in cui la dismenorrea primaria è stata formulata come diagnosi</w:t>
      </w:r>
      <w:r>
        <w:t xml:space="preserve">, non dedotta da un referto normale.</w:t>
      </w:r>
      <w:r>
        <w:t xml:space="preserve"> </w:t>
      </w:r>
      <w:r>
        <w:rPr>
          <w:b/>
          <w:bCs/>
        </w:rPr>
        <w:t xml:space="preserve">Un ciclo di terapia empirica completato con esito documentato</w:t>
      </w:r>
      <w:r>
        <w:t xml:space="preserve">, cioè farmaco più ormone verificati nei tre-sei mesi previsti.</w:t>
      </w:r>
      <w:r>
        <w:t xml:space="preserve"> </w:t>
      </w:r>
      <w:r>
        <w:rPr>
          <w:b/>
          <w:bCs/>
        </w:rPr>
        <w:t xml:space="preserve">Un percorso specialistico per endometriosi già in corso.</w:t>
      </w:r>
    </w:p>
    <w:p>
      <w:pPr>
        <w:pStyle w:val="BodyText"/>
      </w:pPr>
      <w:r>
        <w:rPr>
          <w:b/>
          <w:bCs/>
        </w:rPr>
        <w:t xml:space="preserve">Perché tre uscite proteggono più di due.</w:t>
      </w:r>
      <w:r>
        <w:t xml:space="preserve"> </w:t>
      </w:r>
      <w:r>
        <w:t xml:space="preserve">Il cancello binario si accontentava del referto di qualcun altro, e su questa condizione quel referto è proprio quello che non esclude. Chi lo legge come una chiusura non ha un controllo: ha l’impressione di averlo.</w:t>
      </w:r>
      <w:r>
        <w:t xml:space="preserve"> </w:t>
      </w:r>
      <w:r>
        <w:rPr>
          <w:b/>
          <w:bCs/>
        </w:rPr>
        <w:t xml:space="preserve">Una regola scritta e disattesa vale meno di nessuna regola, perché fa credere che un controllo esista.</w:t>
      </w:r>
      <w:r>
        <w:t xml:space="preserve"> </w:t>
      </w:r>
      <w:r>
        <w:t xml:space="preserve">Le tre uscite non allentano lo standard: dove il cancello a due uscite non metteva nessuna condizione verificabile, il GIALLO ne mette quattro, con una data scritta in cartella.</w:t>
      </w:r>
    </w:p>
    <w:p>
      <w:pPr>
        <w:pStyle w:val="BodyText"/>
      </w:pPr>
      <w:r>
        <w:rPr>
          <w:b/>
          <w:bCs/>
        </w:rPr>
        <w:t xml:space="preserve">La scadenza.</w:t>
      </w:r>
      <w:r>
        <w:t xml:space="preserve"> </w:t>
      </w:r>
      <w:r>
        <w:t xml:space="preserve">Qualunque sia l’uscita, l’inquadramento</w:t>
      </w:r>
      <w:r>
        <w:t xml:space="preserve"> </w:t>
      </w:r>
      <w:r>
        <w:rPr>
          <w:b/>
          <w:bCs/>
        </w:rPr>
        <w:t xml:space="preserve">decade</w:t>
      </w:r>
      <w:r>
        <w:t xml:space="preserve"> </w:t>
      </w:r>
      <w:r>
        <w:t xml:space="preserve">se il dolore cambia carattere, sede o intensità rispetto all’ultima valutazione medica. E un quadro che cambia forma</w:t>
      </w:r>
      <w:r>
        <w:t xml:space="preserve"> </w:t>
      </w:r>
      <w:r>
        <w:rPr>
          <w:b/>
          <w:bCs/>
        </w:rPr>
        <w:t xml:space="preserve">torna al triage dall’inizio</w:t>
      </w:r>
      <w:r>
        <w:t xml:space="preserve">. Qui la forma più frequente del cambiamento non è un evento acuto: è una</w:t>
      </w:r>
      <w:r>
        <w:t xml:space="preserve"> </w:t>
      </w:r>
      <w:r>
        <w:rPr>
          <w:b/>
          <w:bCs/>
        </w:rPr>
        <w:t xml:space="preserve">pendenza</w:t>
      </w:r>
      <w:r>
        <w:t xml:space="preserve">, e va chiesta a ogni revisione.</w:t>
      </w:r>
    </w:p>
    <w:p>
      <w:pPr>
        <w:pStyle w:val="BodyText"/>
      </w:pPr>
      <w:r>
        <w:rPr>
          <w:b/>
          <w:bCs/>
        </w:rPr>
        <w:t xml:space="preserve">Il vincolo che non si negozia.</w:t>
      </w:r>
      <w:r>
        <w:t xml:space="preserve"> </w:t>
      </w:r>
      <w:r>
        <w:t xml:space="preserve">Qui si scrivono quattro cose: il reperto in cartella nella sua unità, la data della revisione, la comunicazione al curante e — nel VERDE —</w:t>
      </w:r>
      <w:r>
        <w:t xml:space="preserve"> </w:t>
      </w:r>
      <w:r>
        <w:rPr>
          <w:b/>
          <w:bCs/>
        </w:rPr>
        <w:t xml:space="preserve">quale delle tre condizioni l’ha aperto</w:t>
      </w:r>
      <w:r>
        <w:t xml:space="preserve">, per esteso. Il VERDE è l’uscita più facile da rivendicare a posteriori. Quello che non è scritto non esiste.</w:t>
      </w:r>
    </w:p>
    <w:bookmarkEnd w:id="58"/>
    <w:bookmarkStart w:id="59" w:name="X5ac40c5b49b381f25386d880c1ce462e8995bb5"/>
    <w:p>
      <w:pPr>
        <w:pStyle w:val="Heading3"/>
      </w:pPr>
      <w:r>
        <w:t xml:space="preserve">Cosa fanno i farmaci che prende, e perché non li commenti</w:t>
      </w:r>
    </w:p>
    <w:p>
      <w:pPr>
        <w:pStyle w:val="FirstParagraph"/>
      </w:pPr>
      <w:r>
        <w:t xml:space="preserve">I</w:t>
      </w:r>
      <w:r>
        <w:t xml:space="preserve"> </w:t>
      </w:r>
      <w:r>
        <w:rPr>
          <w:b/>
          <w:bCs/>
        </w:rPr>
        <w:t xml:space="preserve">FANS</w:t>
      </w:r>
      <w:r>
        <w:t xml:space="preserve"> </w:t>
      </w:r>
      <w:r>
        <w:t xml:space="preserve">bloccano la sintesi delle prostaglandine: agiscono a monte del meccanismo, non sul dolore. La</w:t>
      </w:r>
      <w:r>
        <w:t xml:space="preserve"> </w:t>
      </w:r>
      <w:r>
        <w:rPr>
          <w:b/>
          <w:bCs/>
        </w:rPr>
        <w:t xml:space="preserve">pillola e i progestinici</w:t>
      </w:r>
      <w:r>
        <w:t xml:space="preserve"> </w:t>
      </w:r>
      <w:r>
        <w:t xml:space="preserve">riducono la proliferazione endometriale, e quindi le prostaglandine rilasciate. Il</w:t>
      </w:r>
      <w:r>
        <w:t xml:space="preserve"> </w:t>
      </w:r>
      <w:r>
        <w:rPr>
          <w:b/>
          <w:bCs/>
        </w:rPr>
        <w:t xml:space="preserve">paracetamolo</w:t>
      </w:r>
      <w:r>
        <w:t xml:space="preserve"> </w:t>
      </w:r>
      <w:r>
        <w:t xml:space="preserve">agisce a valle ed è meno efficace su questo dolore. Gli</w:t>
      </w:r>
      <w:r>
        <w:t xml:space="preserve"> </w:t>
      </w:r>
      <w:r>
        <w:rPr>
          <w:b/>
          <w:bCs/>
        </w:rPr>
        <w:t xml:space="preserve">antispastici</w:t>
      </w:r>
      <w:r>
        <w:t xml:space="preserve"> </w:t>
      </w:r>
      <w:r>
        <w:t xml:space="preserve">agiscono sulla muscolatura liscia.</w:t>
      </w:r>
    </w:p>
    <w:p>
      <w:pPr>
        <w:pStyle w:val="BodyText"/>
      </w:pPr>
      <w:r>
        <w:t xml:space="preserve">Sapere questo serve a una cosa sola: capire quale parte del quadro il farmaco sta già coprendo, e dove resta lo spazio.</w:t>
      </w:r>
      <w:r>
        <w:t xml:space="preserve"> </w:t>
      </w:r>
      <w:r>
        <w:rPr>
          <w:b/>
          <w:bCs/>
        </w:rPr>
        <w:t xml:space="preserve">Nessuna valutazione, nessun suggerimento di modifica, nessuna frase sulla dose o sulla durata, nemmeno in forma dubitativa.</w:t>
      </w:r>
      <w:r>
        <w:t xml:space="preserve"> </w:t>
      </w:r>
      <w:r>
        <w:t xml:space="preserve">Decide il prescrittore.</w:t>
      </w:r>
    </w:p>
    <w:bookmarkEnd w:id="59"/>
    <w:bookmarkStart w:id="60" w:name="X1ac5a1b3cdf7e22e51df529af64ae60c55cc369"/>
    <w:p>
      <w:pPr>
        <w:pStyle w:val="Heading3"/>
      </w:pPr>
      <w:r>
        <w:t xml:space="preserve">Cosa dichiari nel consenso, su questa condizione</w:t>
      </w:r>
    </w:p>
    <w:p>
      <w:pPr>
        <w:pStyle w:val="FirstParagraph"/>
      </w:pPr>
      <w:r>
        <w:t xml:space="preserve">Righe che qui aggiungi e in un’altra Bibbia non scriveresti:</w:t>
      </w:r>
    </w:p>
    <w:p>
      <w:pPr>
        <w:pStyle w:val="Compact"/>
        <w:numPr>
          <w:ilvl w:val="0"/>
          <w:numId w:val="1020"/>
        </w:numPr>
      </w:pPr>
      <w:r>
        <w:rPr>
          <w:b/>
          <w:bCs/>
        </w:rPr>
        <w:t xml:space="preserve">L’oggetto del trattamento è la componente muscolo-scheletrica che ho trovato — parete addominale e regione lombo-sacrale — non il dolore mestruale in quanto tale.</w:t>
      </w:r>
    </w:p>
    <w:p>
      <w:pPr>
        <w:pStyle w:val="Compact"/>
        <w:numPr>
          <w:ilvl w:val="0"/>
          <w:numId w:val="1020"/>
        </w:numPr>
      </w:pPr>
      <w:r>
        <w:rPr>
          <w:b/>
          <w:bCs/>
        </w:rPr>
        <w:t xml:space="preserve">La valutazione osteopatica non stabilisce se esista una causa ginecologica, e un esame normale non l’ha esclusa.</w:t>
      </w:r>
    </w:p>
    <w:p>
      <w:pPr>
        <w:pStyle w:val="Compact"/>
        <w:numPr>
          <w:ilvl w:val="0"/>
          <w:numId w:val="1020"/>
        </w:numPr>
      </w:pPr>
      <w:r>
        <w:rPr>
          <w:b/>
          <w:bCs/>
        </w:rPr>
        <w:t xml:space="preserve">Il trattamento si affianca alla terapia prescritta e non la sostituisce; non si dà nessuna indicazione sui farmaci.</w:t>
      </w:r>
    </w:p>
    <w:p>
      <w:pPr>
        <w:pStyle w:val="Compact"/>
        <w:numPr>
          <w:ilvl w:val="0"/>
          <w:numId w:val="1020"/>
        </w:numPr>
      </w:pPr>
      <w:r>
        <w:rPr>
          <w:b/>
          <w:bCs/>
        </w:rPr>
        <w:t xml:space="preserve">Se la paziente è minorenne</w:t>
      </w:r>
      <w:r>
        <w:t xml:space="preserve">, il consenso lo dà chi ha la responsabilità genitoriale, e il contatto sull’addome basso avviene con un accompagnatore presente.</w:t>
      </w:r>
    </w:p>
    <w:bookmarkEnd w:id="60"/>
    <w:bookmarkStart w:id="61" w:name="X981d4ada8bad081246fe7079d0331a602675b7a"/>
    <w:p>
      <w:pPr>
        <w:pStyle w:val="Heading3"/>
      </w:pPr>
      <w:r>
        <w:t xml:space="preserve">Il confine di atto, dove questa condizione lo mette alla prova</w:t>
      </w:r>
    </w:p>
    <w:p>
      <w:pPr>
        <w:pStyle w:val="FirstParagraph"/>
      </w:pPr>
      <w:r>
        <w:t xml:space="preserve">Il perimetro non si definisce sul gesto, ma sull’</w:t>
      </w:r>
      <w:r>
        <w:rPr>
          <w:b/>
          <w:bCs/>
        </w:rPr>
        <w:t xml:space="preserve">unità in cui scrivi l’esito</w:t>
      </w:r>
      <w:r>
        <w:t xml:space="preserve">.</w:t>
      </w:r>
    </w:p>
    <w:p>
      <w:pPr>
        <w:pStyle w:val="BodyText"/>
      </w:pPr>
      <w:r>
        <w:rPr>
          <w:i/>
          <w:iCs/>
        </w:rPr>
        <w:t xml:space="preserve">Produrre una misura ginecologica</w:t>
      </w:r>
      <w:r>
        <w:t xml:space="preserve"> </w:t>
      </w:r>
      <w:r>
        <w:t xml:space="preserve">è fuori: nessuna valutazione interna, nessun giudizio sulla posizione o sulla mobilità dell’utero espresso come dato, nessuna affermazione su cisti, aderenze o endometriosi. Il DPR 131/2021 definisce l’atto osteopatico come costituito da tecniche esclusivamente manuali, non invasive ed</w:t>
      </w:r>
      <w:r>
        <w:t xml:space="preserve"> </w:t>
      </w:r>
      <w:r>
        <w:rPr>
          <w:b/>
          <w:bCs/>
        </w:rPr>
        <w:t xml:space="preserve">esterne</w:t>
      </w:r>
      <w:r>
        <w:t xml:space="preserve">. Riserva la diagnosi al medico. E colloca il nostro oggetto nelle</w:t>
      </w:r>
      <w:r>
        <w:t xml:space="preserve"> </w:t>
      </w:r>
      <w:r>
        <w:rPr>
          <w:b/>
          <w:bCs/>
        </w:rPr>
        <w:t xml:space="preserve">disfunzioni somatiche non riconducibili a patologie, nell’ambito dell’apparato muscolo-scheletrico</w:t>
      </w:r>
      <w:r>
        <w:t xml:space="preserve"> </w:t>
      </w:r>
      <w:r>
        <w:t xml:space="preserve">— è la clausola per cui, in GIALLO, il bersaglio che dichiari è la parete e la regione lombo-sacrale, non il dolore mestruale.</w:t>
      </w:r>
      <w:r>
        <w:t xml:space="preserve"> </w:t>
      </w:r>
      <w:r>
        <w:rPr>
          <w:b/>
          <w:bCs/>
        </w:rPr>
        <w:t xml:space="preserve">Nessuna manovra interna, vaginale o rettale. Non è materia di consenso: è fuori dal profilo.</w:t>
      </w:r>
    </w:p>
    <w:p>
      <w:pPr>
        <w:pStyle w:val="BodyText"/>
      </w:pPr>
      <w:r>
        <w:rPr>
          <w:i/>
          <w:iCs/>
        </w:rPr>
        <w:t xml:space="preserve">Provocare una risposta</w:t>
      </w:r>
      <w:r>
        <w:t xml:space="preserve"> </w:t>
      </w:r>
      <w:r>
        <w:t xml:space="preserve">è nostro: palpare la parete dall’esterno per vedere se riproduce il sintomo è un test. Il suo esito si scrive nell’unità del marker — soglia, numero di test positivi, riconoscimento sì o no.</w:t>
      </w:r>
      <w:r>
        <w:t xml:space="preserve"> </w:t>
      </w:r>
      <w:r>
        <w:rPr>
          <w:b/>
          <w:bCs/>
        </w:rPr>
        <w:t xml:space="preserve">Mai in unità ginecologiche.</w:t>
      </w:r>
    </w:p>
    <w:p>
      <w:pPr>
        <w:pStyle w:val="BodyText"/>
      </w:pPr>
      <w:r>
        <w:t xml:space="preserve">E due frasi che sconfinerebbero.</w:t>
      </w:r>
      <w:r>
        <w:t xml:space="preserve"> </w:t>
      </w:r>
      <w:r>
        <w:rPr>
          <w:i/>
          <w:iCs/>
        </w:rPr>
        <w:t xml:space="preserve">“La tua ecografia è normale quindi non hai niente di organico”</w:t>
      </w:r>
      <w:r>
        <w:t xml:space="preserve"> </w:t>
      </w:r>
      <w:r>
        <w:t xml:space="preserve">è una lettura di referto.</w:t>
      </w:r>
      <w:r>
        <w:t xml:space="preserve"> </w:t>
      </w:r>
      <w:r>
        <w:rPr>
          <w:i/>
          <w:iCs/>
        </w:rPr>
        <w:t xml:space="preserve">“Secondo me hai l’endometriosi”</w:t>
      </w:r>
      <w:r>
        <w:t xml:space="preserve"> </w:t>
      </w:r>
      <w:r>
        <w:t xml:space="preserve">è una diagnosi. Entrambe fuori, e la seconda fa più danno perché sembra un favore.</w:t>
      </w:r>
    </w:p>
    <w:bookmarkEnd w:id="61"/>
    <w:bookmarkStart w:id="62" w:name="il-rapporto-con-il-prescrittore"/>
    <w:p>
      <w:pPr>
        <w:pStyle w:val="Heading3"/>
      </w:pPr>
      <w:r>
        <w:t xml:space="preserve">Il rapporto con il prescrittore</w:t>
      </w:r>
    </w:p>
    <w:p>
      <w:pPr>
        <w:pStyle w:val="FirstParagraph"/>
      </w:pPr>
      <w:r>
        <w:t xml:space="preserve">Su questa condizione il canale medico non è un adempimento: è</w:t>
      </w:r>
      <w:r>
        <w:t xml:space="preserve"> </w:t>
      </w:r>
      <w:r>
        <w:rPr>
          <w:b/>
          <w:bCs/>
        </w:rPr>
        <w:t xml:space="preserve">la parte del tuo lavoro con il valore più alto per la paziente</w:t>
      </w:r>
      <w:r>
        <w:t xml:space="preserve">, perché la causa secondaria principale ha un ritardo diagnostico che si conta in anni. La comunicazione scritta contiene tre cose: cosa hai trovato, in quale unità l’hai misurato, e quale elemento del racconto ti ha fatto scrivere. Nessuna ipotesi diagnostica.</w:t>
      </w:r>
    </w:p>
    <w:bookmarkEnd w:id="62"/>
    <w:bookmarkStart w:id="63" w:name="se-sbagli-campo"/>
    <w:p>
      <w:pPr>
        <w:pStyle w:val="Heading3"/>
      </w:pPr>
      <w:r>
        <w:t xml:space="preserve">Se sbagli campo</w:t>
      </w:r>
    </w:p>
    <w:p>
      <w:pPr>
        <w:pStyle w:val="FirstParagraph"/>
      </w:pPr>
      <w:r>
        <w:t xml:space="preserve">Se tratti come primaria una dismenorrea secondaria, il danno non è il tuo trattamento: è il tempo. La paziente sta meglio quel tanto che basta a non tornare dal ginecologo.</w:t>
      </w:r>
    </w:p>
    <w:p>
      <w:pPr>
        <w:pStyle w:val="BodyText"/>
      </w:pPr>
      <w:r>
        <w:rPr>
          <w:b/>
          <w:bCs/>
        </w:rPr>
        <w:t xml:space="preserve">Le tre cose da ricordare, più una</w:t>
      </w:r>
    </w:p>
    <w:p>
      <w:pPr>
        <w:pStyle w:val="Compact"/>
        <w:numPr>
          <w:ilvl w:val="0"/>
          <w:numId w:val="1021"/>
        </w:numPr>
      </w:pPr>
      <w:r>
        <w:t xml:space="preserve">Su questa condizione il VERDE non si apre su un esame negativo: si apre su una diagnosi formulata o su una terapia empirica completata con esito.</w:t>
      </w:r>
    </w:p>
    <w:p>
      <w:pPr>
        <w:pStyle w:val="Compact"/>
        <w:numPr>
          <w:ilvl w:val="0"/>
          <w:numId w:val="1021"/>
        </w:numPr>
      </w:pPr>
      <w:r>
        <w:t xml:space="preserve">Il GIALLO si conta in calendario — otto settimane, quattro se prioritario — perché una paziente che dirada gli appuntamenti non fa scadere niente.</w:t>
      </w:r>
    </w:p>
    <w:p>
      <w:pPr>
        <w:pStyle w:val="Compact"/>
        <w:numPr>
          <w:ilvl w:val="0"/>
          <w:numId w:val="1021"/>
        </w:numPr>
      </w:pPr>
      <w:r>
        <w:t xml:space="preserve">Nessuna manovra interna: qui il confine non è una cautela, è il profilo professionale.</w:t>
      </w:r>
    </w:p>
    <w:p>
      <w:pPr>
        <w:pStyle w:val="Compact"/>
        <w:numPr>
          <w:ilvl w:val="0"/>
          <w:numId w:val="1021"/>
        </w:numPr>
      </w:pPr>
      <w:r>
        <w:rPr>
          <w:b/>
          <w:bCs/>
        </w:rPr>
        <w:t xml:space="preserve">Perché ci sei tu.</w:t>
      </w:r>
      <w:r>
        <w:t xml:space="preserve"> </w:t>
      </w:r>
      <w:r>
        <w:t xml:space="preserve">Le linee guida europee raccomandano in modo forte di sapere che un’immagine negativa non esclude l’endometriosi, in particolare quella peritoneale superficiale (Becker, 2022 — PMID 35350465). Questo ti autorizza a non chiudere il cancello su un’ecografia normale, e a spingere il canale medico anche quando la paziente pensa di aver già fatto tutto. Non ti autorizza a dirle che ha l’endometriosi: la frase che puoi dire è che quell’esame non l’ha esclusa, non che l’ha trovata.</w:t>
      </w:r>
    </w:p>
    <w:p>
      <w:r>
        <w:pict>
          <v:rect style="width:0;height:1.5pt" o:hralign="center" o:hrstd="t" o:hr="t"/>
        </w:pict>
      </w:r>
    </w:p>
    <w:bookmarkEnd w:id="63"/>
    <w:bookmarkEnd w:id="64"/>
    <w:bookmarkStart w:id="70" w:name="capitolo-10-cosa-dice-la-scienza"/>
    <w:p>
      <w:pPr>
        <w:pStyle w:val="Heading2"/>
      </w:pPr>
      <w:r>
        <w:t xml:space="preserve">Capitolo 10 — Cosa dice la scienza</w:t>
      </w:r>
    </w:p>
    <w:p>
      <w:pPr>
        <w:pStyle w:val="BlockText"/>
      </w:pPr>
      <w:r>
        <w:rPr>
          <w:b/>
          <w:bCs/>
        </w:rPr>
        <w:t xml:space="preserve">In una riga:</w:t>
      </w:r>
      <w:r>
        <w:t xml:space="preserve"> </w:t>
      </w:r>
      <w:r>
        <w:t xml:space="preserve">sul dolore mestruale la fisiologia è forte, la leva attiva è discreta e la terapia manuale contro finto trattamento non ha ancora mostrato una differenza — e questo va saputo prima di entrare in stanza, non dopo.</w:t>
      </w:r>
    </w:p>
    <w:bookmarkStart w:id="65" w:name="le-due-ancore"/>
    <w:p>
      <w:pPr>
        <w:pStyle w:val="Heading3"/>
      </w:pPr>
      <w:r>
        <w:t xml:space="preserve">Le due ancore</w:t>
      </w:r>
    </w:p>
    <w:p>
      <w:pPr>
        <w:pStyle w:val="FirstParagraph"/>
      </w:pPr>
      <w:r>
        <w:t xml:space="preserve">Il razionale fisiologico e le prove cliniche hanno qui due paternità distinte. Fonderle in un nome solo perderebbe metà del documento. Per questo le ancore sono due, ciascuna con il proprio mandato e il proprio limite.</w:t>
      </w:r>
    </w:p>
    <w:p>
      <w:pPr>
        <w:pStyle w:val="BodyText"/>
      </w:pPr>
      <w:r>
        <w:rPr>
          <w:b/>
          <w:bCs/>
        </w:rPr>
        <w:t xml:space="preserve">Ancora clinica: Mike Armour</w:t>
      </w:r>
      <w:r>
        <w:t xml:space="preserve">, NICM Health Research Institute, Western Sydney University. Il suo mandato: cosa funziona sul dolore mestruale fuori dal farmaco — esercizio, autogestione, impatto (PMID 31538328; 30654775; 31170024).</w:t>
      </w:r>
      <w:r>
        <w:t xml:space="preserve"> </w:t>
      </w:r>
      <w:r>
        <w:rPr>
          <w:b/>
          <w:bCs/>
        </w:rPr>
        <w:t xml:space="preserve">Il suo limite, dichiarato:</w:t>
      </w:r>
      <w:r>
        <w:t xml:space="preserve"> </w:t>
      </w:r>
      <w:r>
        <w:t xml:space="preserve">il suo lavoro controllato non riguarda la terapia manuale. Sulla nostra leva non ha niente da dirci, e anche questo è un’informazione.</w:t>
      </w:r>
    </w:p>
    <w:p>
      <w:pPr>
        <w:pStyle w:val="BodyText"/>
      </w:pPr>
      <w:r>
        <w:rPr>
          <w:b/>
          <w:bCs/>
        </w:rPr>
        <w:t xml:space="preserve">Ancora fisiologica: Maria Adele Giamberardino</w:t>
      </w:r>
      <w:r>
        <w:t xml:space="preserve">, Università</w:t>
      </w:r>
      <w:r>
        <w:t xml:space="preserve"> </w:t>
      </w:r>
      <w:r>
        <w:t xml:space="preserve">“G. d’Annunzio”</w:t>
      </w:r>
      <w:r>
        <w:t xml:space="preserve"> </w:t>
      </w:r>
      <w:r>
        <w:t xml:space="preserve">di Chieti. Il suo mandato: l’iperalgesia che il dolore mestruale installa nella parete addominale, e cosa succede a spegnerla (PMID 9211480; 20638177; 32034979). I risultati stanno nella tabella qui sotto e nei box di «Cosa si rompe» e «Perché le mani possono cambiare qualcosa».</w:t>
      </w:r>
      <w:r>
        <w:t xml:space="preserve"> </w:t>
      </w:r>
      <w:r>
        <w:rPr>
          <w:b/>
          <w:bCs/>
        </w:rPr>
        <w:t xml:space="preserve">È lei che rende anatomicamente sensato il nostro lavoro.</w:t>
      </w:r>
      <w:r>
        <w:t xml:space="preserve"> </w:t>
      </w:r>
      <w:r>
        <w:t xml:space="preserve">Il suo limite: il suo intervento è un ago, non una mano.</w:t>
      </w:r>
    </w:p>
    <w:bookmarkEnd w:id="65"/>
    <w:bookmarkStart w:id="66"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Giamberardino 1997 (9211480)</w:t>
            </w:r>
          </w:p>
        </w:tc>
        <w:tc>
          <w:tcPr/>
          <w:p>
            <w:pPr>
              <w:pStyle w:val="Compact"/>
            </w:pPr>
            <w:r>
              <w:t xml:space="preserve">Soglie nella parete, 4 sedi</w:t>
            </w:r>
          </w:p>
        </w:tc>
        <w:tc>
          <w:tcPr/>
          <w:p>
            <w:pPr>
              <w:pStyle w:val="Compact"/>
            </w:pPr>
            <w:r>
              <w:t xml:space="preserve">Misurare la parete: lì la soglia scende</w:t>
            </w:r>
          </w:p>
        </w:tc>
      </w:tr>
      <w:tr>
        <w:tc>
          <w:tcPr/>
          <w:p>
            <w:pPr>
              <w:pStyle w:val="Compact"/>
            </w:pPr>
            <w:r>
              <w:t xml:space="preserve">Costantini/Giamberardino 2020 (32034979)</w:t>
            </w:r>
          </w:p>
        </w:tc>
        <w:tc>
          <w:tcPr/>
          <w:p>
            <w:pPr>
              <w:pStyle w:val="Compact"/>
            </w:pPr>
            <w:r>
              <w:t xml:space="preserve">Trigger lombari trattati con ago, 16 contro 12</w:t>
            </w:r>
          </w:p>
        </w:tc>
        <w:tc>
          <w:tcPr/>
          <w:p>
            <w:pPr>
              <w:pStyle w:val="Compact"/>
            </w:pPr>
            <w:r>
              <w:t xml:space="preserve">Trattare la parete: razionale misurato su un ago</w:t>
            </w:r>
          </w:p>
        </w:tc>
      </w:tr>
      <w:tr>
        <w:tc>
          <w:tcPr/>
          <w:p>
            <w:pPr>
              <w:pStyle w:val="Compact"/>
            </w:pPr>
            <w:r>
              <w:t xml:space="preserve">Li 2024 (38736680)</w:t>
            </w:r>
          </w:p>
        </w:tc>
        <w:tc>
          <w:tcPr/>
          <w:p>
            <w:pPr>
              <w:pStyle w:val="Compact"/>
            </w:pPr>
            <w:r>
              <w:t xml:space="preserve">32 RCT, terapia manuale, 2.566 donne</w:t>
            </w:r>
          </w:p>
        </w:tc>
        <w:tc>
          <w:tcPr/>
          <w:p>
            <w:pPr>
              <w:pStyle w:val="Compact"/>
            </w:pPr>
            <w:r>
              <w:t xml:space="preserve">Non promettere un effetto contro finto trattamento</w:t>
            </w:r>
          </w:p>
        </w:tc>
      </w:tr>
      <w:tr>
        <w:tc>
          <w:tcPr/>
          <w:p>
            <w:pPr>
              <w:pStyle w:val="Compact"/>
            </w:pPr>
            <w:r>
              <w:t xml:space="preserve">González-Mena 2024 (38366860)</w:t>
            </w:r>
          </w:p>
        </w:tc>
        <w:tc>
          <w:tcPr/>
          <w:p>
            <w:pPr>
              <w:pStyle w:val="Compact"/>
            </w:pPr>
            <w:r>
              <w:t xml:space="preserve">12 RCT, 7 di terapia manuale</w:t>
            </w:r>
          </w:p>
        </w:tc>
        <w:tc>
          <w:tcPr/>
          <w:p>
            <w:pPr>
              <w:pStyle w:val="Compact"/>
            </w:pPr>
            <w:r>
              <w:t xml:space="preserve">Sapere che esiste una revisione favorevole</w:t>
            </w:r>
          </w:p>
        </w:tc>
      </w:tr>
      <w:tr>
        <w:tc>
          <w:tcPr/>
          <w:p>
            <w:pPr>
              <w:pStyle w:val="Compact"/>
            </w:pPr>
            <w:r>
              <w:t xml:space="preserve">Proctor 2006 (16855988)</w:t>
            </w:r>
          </w:p>
        </w:tc>
        <w:tc>
          <w:tcPr/>
          <w:p>
            <w:pPr>
              <w:pStyle w:val="Compact"/>
            </w:pPr>
            <w:r>
              <w:t xml:space="preserve">Manipolazione vertebrale contro finta</w:t>
            </w:r>
          </w:p>
        </w:tc>
        <w:tc>
          <w:tcPr/>
          <w:p>
            <w:pPr>
              <w:pStyle w:val="Compact"/>
            </w:pPr>
            <w:r>
              <w:t xml:space="preserve">Togliere la manipolazione dalle promesse</w:t>
            </w:r>
          </w:p>
        </w:tc>
      </w:tr>
      <w:tr>
        <w:tc>
          <w:tcPr/>
          <w:p>
            <w:pPr>
              <w:pStyle w:val="Compact"/>
            </w:pPr>
            <w:r>
              <w:t xml:space="preserve">Molins-Cubero 2014 (24666560)</w:t>
            </w:r>
          </w:p>
        </w:tc>
        <w:tc>
          <w:tcPr/>
          <w:p>
            <w:pPr>
              <w:pStyle w:val="Compact"/>
            </w:pPr>
            <w:r>
              <w:t xml:space="preserve">Manipolazione pelvica contro finta, 40 donne</w:t>
            </w:r>
          </w:p>
        </w:tc>
        <w:tc>
          <w:tcPr/>
          <w:p>
            <w:pPr>
              <w:pStyle w:val="Compact"/>
            </w:pPr>
            <w:r>
              <w:t xml:space="preserve">Rivendicare la componente lombo-pelvica</w:t>
            </w:r>
          </w:p>
        </w:tc>
      </w:tr>
      <w:tr>
        <w:tc>
          <w:tcPr/>
          <w:p>
            <w:pPr>
              <w:pStyle w:val="Compact"/>
            </w:pPr>
            <w:r>
              <w:t xml:space="preserve">Özgül 2023 (35556238)</w:t>
            </w:r>
          </w:p>
        </w:tc>
        <w:tc>
          <w:tcPr/>
          <w:p>
            <w:pPr>
              <w:pStyle w:val="Compact"/>
            </w:pPr>
            <w:r>
              <w:t xml:space="preserve">Tessuto connettivo contro placebo, 38 donne</w:t>
            </w:r>
          </w:p>
        </w:tc>
        <w:tc>
          <w:tcPr/>
          <w:p>
            <w:pPr>
              <w:pStyle w:val="Compact"/>
            </w:pPr>
            <w:r>
              <w:t xml:space="preserve">Non promettere che l’effetto si mantenga da solo</w:t>
            </w:r>
          </w:p>
        </w:tc>
      </w:tr>
      <w:tr>
        <w:tc>
          <w:tcPr/>
          <w:p>
            <w:pPr>
              <w:pStyle w:val="Compact"/>
            </w:pPr>
            <w:r>
              <w:t xml:space="preserve">Jin 2025 (41155721)</w:t>
            </w:r>
          </w:p>
        </w:tc>
        <w:tc>
          <w:tcPr/>
          <w:p>
            <w:pPr>
              <w:pStyle w:val="Compact"/>
            </w:pPr>
            <w:r>
              <w:t xml:space="preserve">Rilascio miofasciale contro placebo, 34 donne</w:t>
            </w:r>
          </w:p>
        </w:tc>
        <w:tc>
          <w:tcPr/>
          <w:p>
            <w:pPr>
              <w:pStyle w:val="Compact"/>
            </w:pPr>
            <w:r>
              <w:t xml:space="preserve">Non leggere una soglia che sale come tua</w:t>
            </w:r>
          </w:p>
        </w:tc>
      </w:tr>
      <w:tr>
        <w:tc>
          <w:tcPr/>
          <w:p>
            <w:pPr>
              <w:pStyle w:val="Compact"/>
            </w:pPr>
            <w:r>
              <w:t xml:space="preserve">Han 2024 (39037764)</w:t>
            </w:r>
          </w:p>
        </w:tc>
        <w:tc>
          <w:tcPr/>
          <w:p>
            <w:pPr>
              <w:pStyle w:val="Compact"/>
            </w:pPr>
            <w:r>
              <w:t xml:space="preserve">TENS, 20 RCT, 585 donne</w:t>
            </w:r>
          </w:p>
        </w:tc>
        <w:tc>
          <w:tcPr/>
          <w:p>
            <w:pPr>
              <w:pStyle w:val="Compact"/>
            </w:pPr>
            <w:r>
              <w:t xml:space="preserve">Nominare la TENS senza distinguere le frequenze</w:t>
            </w:r>
          </w:p>
        </w:tc>
      </w:tr>
      <w:tr>
        <w:tc>
          <w:tcPr/>
          <w:p>
            <w:pPr>
              <w:pStyle w:val="Compact"/>
            </w:pPr>
            <w:r>
              <w:t xml:space="preserve">Erol 2025 (40868570)</w:t>
            </w:r>
          </w:p>
        </w:tc>
        <w:tc>
          <w:tcPr/>
          <w:p>
            <w:pPr>
              <w:pStyle w:val="Compact"/>
            </w:pPr>
            <w:r>
              <w:t xml:space="preserve">Due educazioni a confronto, 38 donne</w:t>
            </w:r>
          </w:p>
        </w:tc>
        <w:tc>
          <w:tcPr/>
          <w:p>
            <w:pPr>
              <w:pStyle w:val="Compact"/>
            </w:pPr>
            <w:r>
              <w:t xml:space="preserve">Curare la spiegazione come parte del lavoro</w:t>
            </w:r>
          </w:p>
        </w:tc>
      </w:tr>
      <w:tr>
        <w:tc>
          <w:tcPr/>
          <w:p>
            <w:pPr>
              <w:pStyle w:val="Compact"/>
            </w:pPr>
            <w:r>
              <w:t xml:space="preserve">Weissman 2004 (15008771)</w:t>
            </w:r>
          </w:p>
        </w:tc>
        <w:tc>
          <w:tcPr/>
          <w:p>
            <w:pPr>
              <w:pStyle w:val="Compact"/>
            </w:pPr>
            <w:r>
              <w:t xml:space="preserve">Decorso a 6 anni, 404 donne</w:t>
            </w:r>
          </w:p>
        </w:tc>
        <w:tc>
          <w:tcPr/>
          <w:p>
            <w:pPr>
              <w:pStyle w:val="Compact"/>
            </w:pPr>
            <w:r>
              <w:t xml:space="preserve">Non intestarsi l’oscillazione spontanea</w:t>
            </w:r>
          </w:p>
        </w:tc>
      </w:tr>
      <w:tr>
        <w:tc>
          <w:tcPr/>
          <w:p>
            <w:pPr>
              <w:pStyle w:val="Compact"/>
            </w:pPr>
            <w:r>
              <w:t xml:space="preserve">Armour 2019 (31538328)</w:t>
            </w:r>
          </w:p>
        </w:tc>
        <w:tc>
          <w:tcPr/>
          <w:p>
            <w:pPr>
              <w:pStyle w:val="Compact"/>
            </w:pPr>
            <w:r>
              <w:t xml:space="preserve">Esercizio, 12 RCT, 854 donne</w:t>
            </w:r>
          </w:p>
        </w:tc>
        <w:tc>
          <w:tcPr/>
          <w:p>
            <w:pPr>
              <w:pStyle w:val="Compact"/>
            </w:pPr>
            <w:r>
              <w:t xml:space="preserve">Insegnare l’esercizio come leva principale</w:t>
            </w:r>
          </w:p>
        </w:tc>
      </w:tr>
    </w:tbl>
    <w:bookmarkEnd w:id="66"/>
    <w:bookmarkStart w:id="67" w:name="i-tre-cerchi"/>
    <w:p>
      <w:pPr>
        <w:pStyle w:val="Heading3"/>
      </w:pPr>
      <w:r>
        <w:t xml:space="preserve">I tre cerchi</w:t>
      </w:r>
    </w:p>
    <w:p>
      <w:pPr>
        <w:pStyle w:val="FirstParagraph"/>
      </w:pPr>
      <w:r>
        <w:rPr>
          <w:b/>
          <w:bCs/>
        </w:rPr>
        <w:t xml:space="preserve">Cerchio 1 — le prove specifiche.</w:t>
      </w:r>
      <w:r>
        <w:t xml:space="preserve"> </w:t>
      </w:r>
      <w:r>
        <w:t xml:space="preserve">Non è vuoto: gli studi ci sono, e in buona parte sono negativi sul punto che ci interessa di più.</w:t>
      </w:r>
    </w:p>
    <w:p>
      <w:pPr>
        <w:pStyle w:val="BodyText"/>
      </w:pPr>
      <w:r>
        <w:t xml:space="preserve">Il quadro complessivo è questo. Trentadue studi randomizzati e 2.566 donne in tutto, e tre confronti diversi, ciascuno con il proprio campione. Contro il</w:t>
      </w:r>
      <w:r>
        <w:t xml:space="preserve"> </w:t>
      </w:r>
      <w:r>
        <w:rPr>
          <w:b/>
          <w:bCs/>
        </w:rPr>
        <w:t xml:space="preserve">non fare niente</w:t>
      </w:r>
      <w:r>
        <w:t xml:space="preserve">, la terapia manuale riduce il dolore a breve termine di 1,30 punti su una scala di dieci (191 donne). Contro il</w:t>
      </w:r>
      <w:r>
        <w:t xml:space="preserve"> </w:t>
      </w:r>
      <w:r>
        <w:rPr>
          <w:b/>
          <w:bCs/>
        </w:rPr>
        <w:t xml:space="preserve">placebo</w:t>
      </w:r>
      <w:r>
        <w:t xml:space="preserve"> </w:t>
      </w:r>
      <w:r>
        <w:t xml:space="preserve">la differenza è di 0,10 punti, con l’intervallo da −0,37 a 0,58, cioè non distinguibile da zero (255 donne). Contro i</w:t>
      </w:r>
      <w:r>
        <w:t xml:space="preserve"> </w:t>
      </w:r>
      <w:r>
        <w:rPr>
          <w:b/>
          <w:bCs/>
        </w:rPr>
        <w:t xml:space="preserve">FANS</w:t>
      </w:r>
      <w:r>
        <w:t xml:space="preserve"> </w:t>
      </w:r>
      <w:r>
        <w:t xml:space="preserve">la terapia manuale risulta superiore di 3,01 punti (507 donne). Ma la qualità complessiva delle prove è classificata bassa o molto bassa, e il difetto principale è di cecità: le partecipanti sapevano cosa stavano ricevendo (Li,</w:t>
      </w:r>
      <w:r>
        <w:t xml:space="preserve"> </w:t>
      </w:r>
      <w:r>
        <w:rPr>
          <w:i/>
          <w:iCs/>
        </w:rPr>
        <w:t xml:space="preserve">J Pain Res</w:t>
      </w:r>
      <w:r>
        <w:t xml:space="preserve"> </w:t>
      </w:r>
      <w:r>
        <w:t xml:space="preserve">2024 — PMID 38736680).</w:t>
      </w:r>
    </w:p>
    <w:p>
      <w:pPr>
        <w:pStyle w:val="BodyText"/>
      </w:pPr>
      <w:r>
        <w:rPr>
          <w:b/>
          <w:bCs/>
        </w:rPr>
        <w:t xml:space="preserve">E una seconda revisione sistematica, che va nominata perché il lettore la trova in trenta secondi.</w:t>
      </w:r>
      <w:r>
        <w:t xml:space="preserve"> </w:t>
      </w:r>
      <w:r>
        <w:t xml:space="preserve">Su</w:t>
      </w:r>
      <w:r>
        <w:t xml:space="preserve"> </w:t>
      </w:r>
      <w:r>
        <w:rPr>
          <w:i/>
          <w:iCs/>
        </w:rPr>
        <w:t xml:space="preserve">Physical Therapy</w:t>
      </w:r>
      <w:r>
        <w:t xml:space="preserve">, dodici studi randomizzati — cinque di elettroterapia e sette di terapia manuale, tutti su donne con sola dismenorrea primaria. Tutti riportano un miglioramento del dolore, e la meta-analisi conclude che terapia manuale ed elettroterapia sono efficaci su questa condizione (González-Mena,</w:t>
      </w:r>
      <w:r>
        <w:t xml:space="preserve"> </w:t>
      </w:r>
      <w:r>
        <w:rPr>
          <w:i/>
          <w:iCs/>
        </w:rPr>
        <w:t xml:space="preserve">Phys Ther</w:t>
      </w:r>
      <w:r>
        <w:t xml:space="preserve"> </w:t>
      </w:r>
      <w:r>
        <w:t xml:space="preserve">2024 — PMID 38366860).</w:t>
      </w:r>
      <w:r>
        <w:t xml:space="preserve"> </w:t>
      </w:r>
      <w:r>
        <w:rPr>
          <w:b/>
          <w:bCs/>
        </w:rPr>
        <w:t xml:space="preserve">Le due revisioni non dicono cose diverse: dicono la stessa cosa su due domande diverse.</w:t>
      </w:r>
      <w:r>
        <w:t xml:space="preserve"> </w:t>
      </w:r>
      <w:r>
        <w:t xml:space="preserve">González-Mena chiede se la terapia manuale migliori il dolore rispetto a ciò con cui è stata confrontata. Li chiede se lo migliori più di un finto trattamento.</w:t>
      </w:r>
      <w:r>
        <w:t xml:space="preserve"> </w:t>
      </w:r>
      <w:r>
        <w:rPr>
          <w:b/>
          <w:bCs/>
        </w:rPr>
        <w:t xml:space="preserve">Dodici studi contro trentadue, e il confronto contro il finto trattamento non è isolato: la seconda domanda è la nostra.</w:t>
      </w:r>
    </w:p>
    <w:p>
      <w:pPr>
        <w:pStyle w:val="BodyText"/>
      </w:pPr>
      <w:r>
        <w:rPr>
          <w:b/>
          <w:bCs/>
        </w:rPr>
        <w:t xml:space="preserve">Per te:</w:t>
      </w:r>
      <w:r>
        <w:t xml:space="preserve"> </w:t>
      </w:r>
      <w:r>
        <w:t xml:space="preserve">i primi due numeri vanno tenuti insieme. Il primo dice che le tue pazienti staranno meglio; il secondo dice che una parte importante di quel miglioramento non appartiene alla tecnica. Il terzo è il numero da</w:t>
      </w:r>
      <w:r>
        <w:t xml:space="preserve"> </w:t>
      </w:r>
      <w:r>
        <w:rPr>
          <w:b/>
          <w:bCs/>
        </w:rPr>
        <w:t xml:space="preserve">non</w:t>
      </w:r>
      <w:r>
        <w:t xml:space="preserve"> </w:t>
      </w:r>
      <w:r>
        <w:t xml:space="preserve">usare: riguarda i farmaci, che non sono materia tua.</w:t>
      </w:r>
    </w:p>
    <w:p>
      <w:pPr>
        <w:pStyle w:val="BodyText"/>
      </w:pPr>
      <w:r>
        <w:t xml:space="preserve">Sul singolo distretto gli studi sono già raccontati dove servono, ciascuno nel suo box</w:t>
      </w:r>
      <w:r>
        <w:t xml:space="preserve"> </w:t>
      </w:r>
      <w:r>
        <w:rPr>
          <w:rStyle w:val="VerbatimChar"/>
        </w:rPr>
        <w:t xml:space="preserve">Quanto è solido</w:t>
      </w:r>
      <w:r>
        <w:t xml:space="preserve">. Proctor e Molins-Cubero in «Cosa si rompe» (meccanismo 4) e in «Perché le mani possono cambiare qualcosa» (Leva 2). Özgül nella «Lettura osteopatica» (Biomeccanico-Strutturale). Plathner nel marker 4 di «Come ragiono davanti a questa paziente», con l’intervallo che attraversa lo zero e i 1,7 punti. I PMID stanno nella tabella qui sopra e negli elenchi qui sotto.</w:t>
      </w:r>
    </w:p>
    <w:p>
      <w:pPr>
        <w:pStyle w:val="BodyText"/>
      </w:pPr>
      <w:r>
        <w:t xml:space="preserve">E l’emodinamica uterina dopo un trattamento manuale è stata misurata contro placebo, una volta. A tre ore gli indici di pulsatilità e di resistenza dell’</w:t>
      </w:r>
      <w:r>
        <w:rPr>
          <w:b/>
          <w:bCs/>
        </w:rPr>
        <w:t xml:space="preserve">arteria uterina destra</w:t>
      </w:r>
      <w:r>
        <w:t xml:space="preserve"> </w:t>
      </w:r>
      <w:r>
        <w:t xml:space="preserve">scendono più che nel gruppo finto. Dolore e sintomi mestruali calano invece in entrambi i gruppi, senza differenza fra i due, e le soglie della parete bassa fanno lo stesso (Jin,</w:t>
      </w:r>
      <w:r>
        <w:t xml:space="preserve"> </w:t>
      </w:r>
      <w:r>
        <w:rPr>
          <w:i/>
          <w:iCs/>
        </w:rPr>
        <w:t xml:space="preserve">Medicina</w:t>
      </w:r>
      <w:r>
        <w:t xml:space="preserve"> </w:t>
      </w:r>
      <w:r>
        <w:t xml:space="preserve">2025, 34 donne — PMID 41155721).</w:t>
      </w:r>
      <w:r>
        <w:t xml:space="preserve"> </w:t>
      </w:r>
      <w:r>
        <w:rPr>
          <w:b/>
          <w:bCs/>
        </w:rPr>
        <w:t xml:space="preserve">Misurato su 34 donne in un solo studio, su una sola delle due arterie uterine e a tre ore: dice che qualcuno l’ha misurato, non che la tua mano sposta il flusso.</w:t>
      </w:r>
    </w:p>
    <w:p>
      <w:pPr>
        <w:pStyle w:val="BodyText"/>
      </w:pPr>
      <w:r>
        <w:rPr>
          <w:b/>
          <w:bCs/>
        </w:rPr>
        <w:t xml:space="preserve">Cerchio 2 — il meccanismo, misurato altrove.</w:t>
      </w:r>
      <w:r>
        <w:t xml:space="preserve"> </w:t>
      </w:r>
      <w:r>
        <w:t xml:space="preserve">L’iperalgesia riferita nella parete (Giamberardino 1997) e la sua reversibilità (Costantini 2020) — quest’ultima</w:t>
      </w:r>
      <w:r>
        <w:t xml:space="preserve"> </w:t>
      </w:r>
      <w:r>
        <w:rPr>
          <w:b/>
          <w:bCs/>
        </w:rPr>
        <w:t xml:space="preserve">con un ago, su punti trigger lombari, in donne che avevano anche avuto calcoli urinari: i salti sono di intervento, di bersaglio e di popolazione.</w:t>
      </w:r>
      <w:r>
        <w:t xml:space="preserve"> </w:t>
      </w:r>
      <w:r>
        <w:t xml:space="preserve">L’amplificazione reciproca fra due organi dello stesso territorio (Giamberardino,</w:t>
      </w:r>
      <w:r>
        <w:t xml:space="preserve"> </w:t>
      </w:r>
      <w:r>
        <w:rPr>
          <w:i/>
          <w:iCs/>
        </w:rPr>
        <w:t xml:space="preserve">Pain</w:t>
      </w:r>
      <w:r>
        <w:t xml:space="preserve"> </w:t>
      </w:r>
      <w:r>
        <w:t xml:space="preserve">2010 — PMID 20638177) — misurata in donne con dismenorrea più calcolosi o più colon irritabile, cioè su queste stesse pazienti con un’altra leva. La quota non specifica del trattamento manuale (Ezzatvar,</w:t>
      </w:r>
      <w:r>
        <w:t xml:space="preserve"> </w:t>
      </w:r>
      <w:r>
        <w:rPr>
          <w:i/>
          <w:iCs/>
        </w:rPr>
        <w:t xml:space="preserve">JOSPT</w:t>
      </w:r>
      <w:r>
        <w:t xml:space="preserve"> </w:t>
      </w:r>
      <w:r>
        <w:t xml:space="preserve">2024 — PMID 38602164) —</w:t>
      </w:r>
      <w:r>
        <w:t xml:space="preserve"> </w:t>
      </w:r>
      <w:r>
        <w:rPr>
          <w:b/>
          <w:bCs/>
        </w:rPr>
        <w:t xml:space="preserve">misurata su dolore muscolo-scheletrico in generale, non su donne con dolore mestruale: il salto è di popolazione.</w:t>
      </w:r>
    </w:p>
    <w:p>
      <w:pPr>
        <w:pStyle w:val="BodyText"/>
      </w:pPr>
      <w:r>
        <w:t xml:space="preserve">Sulla direzione dell’effetto del contatto sull’attivazione il quadro va riportato per intero, risultati favorevoli compresi. La meta-analisi più ampia sugli effetti psicofisiologici del trattamento osteopatico conta venti studi randomizzati. Non trova effetto su ansia e stress. Trova la</w:t>
      </w:r>
      <w:r>
        <w:t xml:space="preserve"> </w:t>
      </w:r>
      <w:r>
        <w:rPr>
          <w:b/>
          <w:bCs/>
        </w:rPr>
        <w:t xml:space="preserve">conduttanza cutanea aumentata</w:t>
      </w:r>
      <w:r>
        <w:t xml:space="preserve">, e trova una</w:t>
      </w:r>
      <w:r>
        <w:t xml:space="preserve"> </w:t>
      </w:r>
      <w:r>
        <w:rPr>
          <w:b/>
          <w:bCs/>
        </w:rPr>
        <w:t xml:space="preserve">riduzione della depressione</w:t>
      </w:r>
      <w:r>
        <w:t xml:space="preserve">, maggiore nelle popolazioni con dolore (Gordon,</w:t>
      </w:r>
      <w:r>
        <w:t xml:space="preserve"> </w:t>
      </w:r>
      <w:r>
        <w:rPr>
          <w:i/>
          <w:iCs/>
        </w:rPr>
        <w:t xml:space="preserve">BMJ Open</w:t>
      </w:r>
      <w:r>
        <w:t xml:space="preserve"> </w:t>
      </w:r>
      <w:r>
        <w:t xml:space="preserve">2025 — PMID 39920074). La conduttanza va letta per quello che è: misura la spinta simpatica sudomotoria della pelle, e il suo</w:t>
      </w:r>
      <w:r>
        <w:t xml:space="preserve"> </w:t>
      </w:r>
      <w:r>
        <w:rPr>
          <w:b/>
          <w:bCs/>
        </w:rPr>
        <w:t xml:space="preserve">livello</w:t>
      </w:r>
      <w:r>
        <w:t xml:space="preserve"> </w:t>
      </w:r>
      <w:r>
        <w:t xml:space="preserve">è l’indice canonico di quella attivazione. Non chiude la questione, per un’altra ragione: nella terapia manuale il simpatico che sale e il dolore che scende compaiono</w:t>
      </w:r>
      <w:r>
        <w:t xml:space="preserve"> </w:t>
      </w:r>
      <w:r>
        <w:rPr>
          <w:b/>
          <w:bCs/>
        </w:rPr>
        <w:t xml:space="preserve">insieme</w:t>
      </w:r>
      <w:r>
        <w:t xml:space="preserve"> </w:t>
      </w:r>
      <w:r>
        <w:t xml:space="preserve">(Vicenzino,</w:t>
      </w:r>
      <w:r>
        <w:t xml:space="preserve"> </w:t>
      </w:r>
      <w:r>
        <w:rPr>
          <w:i/>
          <w:iCs/>
        </w:rPr>
        <w:t xml:space="preserve">JMPT</w:t>
      </w:r>
      <w:r>
        <w:t xml:space="preserve"> </w:t>
      </w:r>
      <w:r>
        <w:t xml:space="preserve">1998 — PMID 9777544) —</w:t>
      </w:r>
      <w:r>
        <w:t xml:space="preserve"> </w:t>
      </w:r>
      <w:r>
        <w:rPr>
          <w:b/>
          <w:bCs/>
        </w:rPr>
        <w:t xml:space="preserve">misurato in 24 pazienti con epicondilalgia e una tecnica cervicale: i salti sono di popolazione, distretto e tecnica.</w:t>
      </w:r>
      <w:r>
        <w:t xml:space="preserve"> </w:t>
      </w:r>
      <w:r>
        <w:t xml:space="preserve">Resta che la conduttanza non misura la grandezza che questa leva dichiara di spostare, cioè la soglia. E sull’unico indice misurato in queste pazienti dopo manipolazione contro finto trattamento, le catecolamine non si muovono e la serotonina sì (Molins-Cubero, 2014 — PMID 24666560).</w:t>
      </w:r>
    </w:p>
    <w:p>
      <w:pPr>
        <w:pStyle w:val="BodyText"/>
      </w:pPr>
      <w:r>
        <w:rPr>
          <w:b/>
          <w:bCs/>
        </w:rPr>
        <w:t xml:space="preserve">Cerchio 3 — la fisiologia.</w:t>
      </w:r>
      <w:r>
        <w:t xml:space="preserve"> </w:t>
      </w:r>
      <w:r>
        <w:t xml:space="preserve">La mappa segmentaria T10-L1 e S2-S4 sta per esteso in «Le strutture in gioco» (StatPearls — PMID 29262069). La sequenza prostaglandine-ipercontrattilità-ischemia sta in «Come funziona quando funziona» e nel meccanismo 1 di «Cosa si rompe» (Dawood — PMID 16880317; Böttcher — PMID 25164021).</w:t>
      </w:r>
    </w:p>
    <w:bookmarkEnd w:id="67"/>
    <w:bookmarkStart w:id="68" w:name="cosa-possiamo-dire-e-cosa-no"/>
    <w:p>
      <w:pPr>
        <w:pStyle w:val="Heading3"/>
      </w:pPr>
      <w:r>
        <w:t xml:space="preserve">Cosa possiamo dire e cosa no</w:t>
      </w:r>
    </w:p>
    <w:p>
      <w:pPr>
        <w:pStyle w:val="FirstParagraph"/>
      </w:pPr>
      <w:r>
        <w:rPr>
          <w:b/>
          <w:bCs/>
        </w:rPr>
        <w:t xml:space="preserve">Possiamo dire:</w:t>
      </w:r>
      <w:r>
        <w:t xml:space="preserve"> </w:t>
      </w:r>
      <w:r>
        <w:t xml:space="preserve">- Che il dolore mestruale lascia nella parete addominale un’alterazione misurabile e muscolare, che correla con quanto fa male il ciclo.</w:t>
      </w:r>
      <w:r>
        <w:t xml:space="preserve"> </w:t>
      </w:r>
      <w:r>
        <w:t xml:space="preserve">- Che spegnere con un anestetico i punti dolorosi dell’</w:t>
      </w:r>
      <w:r>
        <w:rPr>
          <w:b/>
          <w:bCs/>
        </w:rPr>
        <w:t xml:space="preserve">area lombare</w:t>
      </w:r>
      <w:r>
        <w:t xml:space="preserve"> </w:t>
      </w:r>
      <w:r>
        <w:t xml:space="preserve">di riferimento, in donne con dismenorrea e pregressa calcolosi urinaria, riduce i cicli dolorosi dell’anno dopo e alza le soglie della parete.</w:t>
      </w:r>
      <w:r>
        <w:t xml:space="preserve"> </w:t>
      </w:r>
      <w:r>
        <w:t xml:space="preserve">- Che una manipolazione pelvica contro finto trattamento riduce il dolore lombo-pelvico riferito e alza la soglia sulle sacroiliache.</w:t>
      </w:r>
      <w:r>
        <w:t xml:space="preserve"> </w:t>
      </w:r>
      <w:r>
        <w:t xml:space="preserve">- Che le donne con dismenorrea hanno soglie più basse anche fuori dai giorni del ciclo e fuori dal territorio uterino.</w:t>
      </w:r>
      <w:r>
        <w:t xml:space="preserve"> </w:t>
      </w:r>
      <w:r>
        <w:t xml:space="preserve">- Che l’esercizio regolare riduce il dolore mestruale in modo clinicamente rilevante</w:t>
      </w:r>
      <w:r>
        <w:t xml:space="preserve"> </w:t>
      </w:r>
      <w:r>
        <w:rPr>
          <w:b/>
          <w:bCs/>
        </w:rPr>
        <w:t xml:space="preserve">nelle donne sotto i venticinque anni</w:t>
      </w:r>
      <w:r>
        <w:t xml:space="preserve">, su prove di bassa qualità e molto disomogenee: sopra quell’età la Cochrane dichiara di non sapere.</w:t>
      </w:r>
      <w:r>
        <w:t xml:space="preserve"> </w:t>
      </w:r>
      <w:r>
        <w:t xml:space="preserve">- Che il calore locale è almeno pari al paracetamolo su questo dolore, sulla base di un solo studio randomizzato.</w:t>
      </w:r>
      <w:r>
        <w:t xml:space="preserve"> </w:t>
      </w:r>
      <w:r>
        <w:t xml:space="preserve">- Che una spiegazione centrata sulla sensibilizzazione batte una spiegazione biomedica, a parità di esercizio, su un campione piccolo.</w:t>
      </w:r>
    </w:p>
    <w:p>
      <w:pPr>
        <w:pStyle w:val="BodyText"/>
      </w:pPr>
      <w:r>
        <w:rPr>
          <w:b/>
          <w:bCs/>
        </w:rPr>
        <w:t xml:space="preserve">Non possiamo dire:</w:t>
      </w:r>
      <w:r>
        <w:t xml:space="preserve"> </w:t>
      </w:r>
      <w:r>
        <w:t xml:space="preserve">- Che la terapia manuale riduca il dolore mestruale più di un finto trattamento:</w:t>
      </w:r>
      <w:r>
        <w:t xml:space="preserve"> </w:t>
      </w:r>
      <w:r>
        <w:rPr>
          <w:b/>
          <w:bCs/>
        </w:rPr>
        <w:t xml:space="preserve">la sintesi più ampia</w:t>
      </w:r>
      <w:r>
        <w:t xml:space="preserve">, che mette insieme i confronti contro finto trattamento, non lo trova. Un singolo studio positivo contro placebo esiste (Özgül) e non ribalta una sintesi, per la stessa ragione per cui González-Mena non ribalta Li.</w:t>
      </w:r>
      <w:r>
        <w:t xml:space="preserve"> </w:t>
      </w:r>
      <w:r>
        <w:t xml:space="preserve">- Che la manipolazione vertebrale funzioni su questa condizione: la revisione dedicata dice il contrario.</w:t>
      </w:r>
      <w:r>
        <w:t xml:space="preserve"> </w:t>
      </w:r>
      <w:r>
        <w:t xml:space="preserve">- Che una mano modifichi la pressione dentro l’utero o le prostaglandine: nessuno l’ha misurato. Sul flusso uterino la misura esiste, e il dolore non l’ha seguita.</w:t>
      </w:r>
      <w:r>
        <w:t xml:space="preserve"> </w:t>
      </w:r>
      <w:r>
        <w:t xml:space="preserve">- Che una salita della soglia di pressione dopo il nostro lavoro sia un effetto nostro: nella letteratura trasversale quella salita non si separa dal finto trattamento.</w:t>
      </w:r>
      <w:r>
        <w:t xml:space="preserve"> </w:t>
      </w:r>
      <w:r>
        <w:t xml:space="preserve">- Che il rilascio miofasciale riduca il dolore mestruale più di un placebo: il solo studio che li ha confrontati non trova differenza sull’esito soggettivo.</w:t>
      </w:r>
      <w:r>
        <w:t xml:space="preserve"> </w:t>
      </w:r>
      <w:r>
        <w:t xml:space="preserve">- Che il meccanismo ischemico valga per tutte: nella forma lieve gli indici Doppler non differiscono dai controlli.</w:t>
      </w:r>
      <w:r>
        <w:t xml:space="preserve"> </w:t>
      </w:r>
      <w:r>
        <w:t xml:space="preserve">- Che la seconda revisione sistematica smentisca la prima: risponde a un’altra domanda, e la nostra è quella di Li.</w:t>
      </w:r>
      <w:r>
        <w:t xml:space="preserve"> </w:t>
      </w:r>
      <w:r>
        <w:t xml:space="preserve">- Che l’effetto di un ciclo di trattamento si mantenga da solo: gli autori del solo studio che ha controllato a tre mesi concludono che, interrotta l’applicazione, il vantaggio tende a svanire.</w:t>
      </w:r>
      <w:r>
        <w:t xml:space="preserve"> </w:t>
      </w:r>
      <w:r>
        <w:t xml:space="preserve">- Che la stimolazione elettrica ad alta frequenza sia migliore di quella a bassa frequenza: la revisione aggiornata non lo stabilisce.</w:t>
      </w:r>
      <w:r>
        <w:t xml:space="preserve"> </w:t>
      </w:r>
      <w:r>
        <w:t xml:space="preserve">- Che una valutazione osteopatica dica qualcosa su una causa ginecologica.</w:t>
      </w:r>
      <w:r>
        <w:t xml:space="preserve"> </w:t>
      </w:r>
      <w:r>
        <w:t xml:space="preserve">- Che l’esercizio o il calore siano trattamenti osteopatici: sono leve nostre da insegnare, non nostre da rivendicare.</w:t>
      </w:r>
    </w:p>
    <w:bookmarkEnd w:id="68"/>
    <w:bookmarkStart w:id="69" w:name="quando-la-scienza-tace"/>
    <w:p>
      <w:pPr>
        <w:pStyle w:val="Heading3"/>
      </w:pPr>
      <w:r>
        <w:t xml:space="preserve">Quando la scienza tace</w:t>
      </w:r>
    </w:p>
    <w:p>
      <w:pPr>
        <w:pStyle w:val="FirstParagraph"/>
      </w:pPr>
      <w:r>
        <w:t xml:space="preserve">Su questa condizione la scienza non tace del tutto. Tace su un punto preciso, e vale la pena isolarlo.</w:t>
      </w:r>
    </w:p>
    <w:p>
      <w:pPr>
        <w:pStyle w:val="BodyText"/>
      </w:pPr>
      <w:r>
        <w:rPr>
          <w:b/>
          <w:bCs/>
        </w:rPr>
        <w:t xml:space="preserve">1. Assenza di prove non è prova di assenza.</w:t>
      </w:r>
      <w:r>
        <w:t xml:space="preserve"> </w:t>
      </w:r>
      <w:r>
        <w:t xml:space="preserve">Che uno studio non abbia trovato una differenza contro il finto trattamento non dice che l’intervento non faccia niente. Dice che la parte che eccede il finto trattamento non è stata dimostrata. Sono due affermazioni diverse, e la seconda è più stretta.</w:t>
      </w:r>
    </w:p>
    <w:p>
      <w:pPr>
        <w:pStyle w:val="BodyText"/>
      </w:pPr>
      <w:r>
        <w:rPr>
          <w:b/>
          <w:bCs/>
        </w:rPr>
        <w:t xml:space="preserve">2. Perché la letteratura è come è — e qui non è vera l’assenza contingente.</w:t>
      </w:r>
      <w:r>
        <w:t xml:space="preserve"> </w:t>
      </w:r>
      <w:r>
        <w:t xml:space="preserve">Su moltissime condizioni gli studi mancano perché nessuno li ha fatti. Qui no: sono trentadue, e una parte è negativa proprio sul confronto che ci riguarda.</w:t>
      </w:r>
    </w:p>
    <w:p>
      <w:pPr>
        <w:pStyle w:val="BodyText"/>
      </w:pPr>
      <w:r>
        <w:t xml:space="preserve">Quello che manca è più stretto, e sono due cose. La prima:</w:t>
      </w:r>
      <w:r>
        <w:t xml:space="preserve"> </w:t>
      </w:r>
      <w:r>
        <w:rPr>
          <w:b/>
          <w:bCs/>
        </w:rPr>
        <w:t xml:space="preserve">nessuno ha misurato il nostro pacchetto</w:t>
      </w:r>
      <w:r>
        <w:t xml:space="preserve">, cioè un trattamento individualizzato contro un finto trattamento credibile, con l’esito sui giorni di dolore. Lo studio con l’esito che interessa alla paziente non ha il gruppo finto; quelli con il gruppo finto misurano soglie e dolore acuto.</w:t>
      </w:r>
      <w:r>
        <w:t xml:space="preserve"> </w:t>
      </w:r>
      <w:r>
        <w:rPr>
          <w:b/>
          <w:bCs/>
        </w:rPr>
        <w:t xml:space="preserve">Il comparatore e l’esito esistono, e non nello stesso studio.</w:t>
      </w:r>
    </w:p>
    <w:p>
      <w:pPr>
        <w:pStyle w:val="BodyText"/>
      </w:pPr>
      <w:r>
        <w:t xml:space="preserve">La seconda:</w:t>
      </w:r>
      <w:r>
        <w:t xml:space="preserve"> </w:t>
      </w:r>
      <w:r>
        <w:rPr>
          <w:b/>
          <w:bCs/>
        </w:rPr>
        <w:t xml:space="preserve">il comparatore e la misura sul nostro bersaglio esistono, e nemmeno loro stanno nello stesso studio con un risultato.</w:t>
      </w:r>
      <w:r>
        <w:t xml:space="preserve"> </w:t>
      </w:r>
      <w:r>
        <w:t xml:space="preserve">Contro finto trattamento le soglie della parete non separano i gruppi — è lo studio già visto nei tre cerchi (Jin, 2025). Dove sono salite di più, lo studio era</w:t>
      </w:r>
      <w:r>
        <w:t xml:space="preserve"> </w:t>
      </w:r>
      <w:r>
        <w:rPr>
          <w:b/>
          <w:bCs/>
        </w:rPr>
        <w:t xml:space="preserve">osservazionale, senza gruppo di controllo</w:t>
      </w:r>
      <w:r>
        <w:t xml:space="preserve"> </w:t>
      </w:r>
      <w:r>
        <w:t xml:space="preserve">(Deodato,</w:t>
      </w:r>
      <w:r>
        <w:t xml:space="preserve"> </w:t>
      </w:r>
      <w:r>
        <w:rPr>
          <w:i/>
          <w:iCs/>
        </w:rPr>
        <w:t xml:space="preserve">J Bodyw Mov Ther</w:t>
      </w:r>
      <w:r>
        <w:t xml:space="preserve"> </w:t>
      </w:r>
      <w:r>
        <w:t xml:space="preserve">2023, 30 donne, otto sedute — PMID 37949558). E una mano sulla parete è stata provata. Nel secondo ciclo il massaggio addominale ha ridotto il dolore addomino-lombare e la stanchezza. Sulla scala analogica visiva e sulla perdita ematica, invece, i gruppi non si sono separati (Ozturk,</w:t>
      </w:r>
      <w:r>
        <w:t xml:space="preserve"> </w:t>
      </w:r>
      <w:r>
        <w:rPr>
          <w:i/>
          <w:iCs/>
        </w:rPr>
        <w:t xml:space="preserve">Health Care Women Int</w:t>
      </w:r>
      <w:r>
        <w:t xml:space="preserve"> </w:t>
      </w:r>
      <w:r>
        <w:t xml:space="preserve">2023 — PMID 35980872).</w:t>
      </w:r>
    </w:p>
    <w:p>
      <w:pPr>
        <w:pStyle w:val="BodyText"/>
      </w:pPr>
      <w:r>
        <w:rPr>
          <w:b/>
          <w:bCs/>
        </w:rPr>
        <w:t xml:space="preserve">Due assenze, e sono entrambe di accoppiamento.</w:t>
      </w:r>
      <w:r>
        <w:t xml:space="preserve"> </w:t>
      </w:r>
      <w:r>
        <w:t xml:space="preserve">Nella prima mancano nello stesso studio il comparatore e l’esito che interessa alla paziente. Nella seconda mancano il comparatore e un risultato sul bersaglio che rivendichiamo. È una diagnosi della letteratura, non un lamento, ed è verificabile. Le ragioni sono le solite: nessun finto trattamento credibile per il tocco, nessun finanziamento, campioni piccoli. E una specifica:</w:t>
      </w:r>
      <w:r>
        <w:t xml:space="preserve"> </w:t>
      </w:r>
      <w:r>
        <w:rPr>
          <w:b/>
          <w:bCs/>
        </w:rPr>
        <w:t xml:space="preserve">il dolore mestruale per decenni non ha avuto lo statuto di problema di ricerca</w:t>
      </w:r>
      <w:r>
        <w:t xml:space="preserve">, ed è la stessa ragione culturale per cui la tua paziente ha aspettato vent’anni.</w:t>
      </w:r>
    </w:p>
    <w:p>
      <w:pPr>
        <w:pStyle w:val="BodyText"/>
      </w:pPr>
      <w:r>
        <w:rPr>
          <w:b/>
          <w:bCs/>
        </w:rPr>
        <w:t xml:space="preserve">3. Su cosa ti basi allora.</w:t>
      </w:r>
      <w:r>
        <w:t xml:space="preserve"> </w:t>
      </w:r>
      <w:r>
        <w:t xml:space="preserve">In quest’ordine. Sul</w:t>
      </w:r>
      <w:r>
        <w:t xml:space="preserve"> </w:t>
      </w:r>
      <w:r>
        <w:rPr>
          <w:b/>
          <w:bCs/>
        </w:rPr>
        <w:t xml:space="preserve">meccanismo fisiologico documentato</w:t>
      </w:r>
      <w:r>
        <w:t xml:space="preserve">: la convergenza T10-L1 e l’iperalgesia muscolare della parete sono misurate, non ipotizzate. Sul</w:t>
      </w:r>
      <w:r>
        <w:t xml:space="preserve"> </w:t>
      </w:r>
      <w:r>
        <w:rPr>
          <w:b/>
          <w:bCs/>
        </w:rPr>
        <w:t xml:space="preserve">ragionamento clinico</w:t>
      </w:r>
      <w:r>
        <w:t xml:space="preserve">, dichiarato come tale, che decide quale piano trattare per primo in questa paziente. E sulla</w:t>
      </w:r>
      <w:r>
        <w:t xml:space="preserve"> </w:t>
      </w:r>
      <w:r>
        <w:rPr>
          <w:b/>
          <w:bCs/>
        </w:rPr>
        <w:t xml:space="preserve">verifica sulla singola paziente</w:t>
      </w:r>
      <w:r>
        <w:t xml:space="preserve">: un marker scelto</w:t>
      </w:r>
      <w:r>
        <w:t xml:space="preserve"> </w:t>
      </w:r>
      <w:r>
        <w:rPr>
          <w:b/>
          <w:bCs/>
        </w:rPr>
        <w:t xml:space="preserve">prima</w:t>
      </w:r>
      <w:r>
        <w:t xml:space="preserve">, misurato prima e dopo, con la soglia dichiarata e la provenienza della soglia scritta accanto.</w:t>
      </w:r>
    </w:p>
    <w:p>
      <w:pPr>
        <w:pStyle w:val="BodyText"/>
      </w:pPr>
      <w:r>
        <w:rPr>
          <w:b/>
          <w:bCs/>
        </w:rPr>
        <w:t xml:space="preserve">4. Cosa separa questo dal pensiero magico.</w:t>
      </w:r>
      <w:r>
        <w:t xml:space="preserve"> </w:t>
      </w:r>
      <w:r>
        <w:t xml:space="preserve">La verifica, e nient’altro. Scegliere la soglia sul deltoide</w:t>
      </w:r>
      <w:r>
        <w:t xml:space="preserve"> </w:t>
      </w:r>
      <w:r>
        <w:rPr>
          <w:b/>
          <w:bCs/>
        </w:rPr>
        <w:t xml:space="preserve">prima</w:t>
      </w:r>
      <w:r>
        <w:t xml:space="preserve"> </w:t>
      </w:r>
      <w:r>
        <w:t xml:space="preserve">di toccare e accettarne il verdetto due cicli dopo è scienza applicata a un caso singolo. Sceglierla dopo aver visto la paziente migliorare, no. È la distinzione che in ricerca separa un protocollo registrato da un’analisi fatta a posteriori.</w:t>
      </w:r>
    </w:p>
    <w:p>
      <w:pPr>
        <w:pStyle w:val="BodyText"/>
      </w:pPr>
      <w:r>
        <w:rPr>
          <w:b/>
          <w:bCs/>
        </w:rPr>
        <w:t xml:space="preserve">5. Cosa questo non autorizza.</w:t>
      </w:r>
      <w:r>
        <w:t xml:space="preserve"> </w:t>
      </w:r>
      <w:r>
        <w:t xml:space="preserve">Non a promettere un esito. Non a scrivere DIMOSTRATO dove c’è IPOTESI. Non a dire che</w:t>
      </w:r>
      <w:r>
        <w:t xml:space="preserve"> </w:t>
      </w:r>
      <w:r>
        <w:t xml:space="preserve">“gli studi lo confermano”</w:t>
      </w:r>
      <w:r>
        <w:t xml:space="preserve">: sulla nostra leva non lo confermano. La libertà che questo ragionamento dà è quella di</w:t>
      </w:r>
      <w:r>
        <w:t xml:space="preserve"> </w:t>
      </w:r>
      <w:r>
        <w:rPr>
          <w:b/>
          <w:bCs/>
        </w:rPr>
        <w:t xml:space="preserve">trattare e verificare</w:t>
      </w:r>
      <w:r>
        <w:t xml:space="preserve">, non quella di affermare.</w:t>
      </w:r>
    </w:p>
    <w:p>
      <w:pPr>
        <w:pStyle w:val="BodyText"/>
      </w:pPr>
      <w:r>
        <w:rPr>
          <w:b/>
          <w:bCs/>
        </w:rPr>
        <w:t xml:space="preserve">Le tre cose da ricordare, più una</w:t>
      </w:r>
    </w:p>
    <w:p>
      <w:pPr>
        <w:pStyle w:val="Compact"/>
        <w:numPr>
          <w:ilvl w:val="0"/>
          <w:numId w:val="1022"/>
        </w:numPr>
      </w:pPr>
      <w:r>
        <w:t xml:space="preserve">Il cerchio 1 non è vuoto: è pieno e in buona parte negativo sul confronto con il finto trattamento, e questo cambia cosa prometti.</w:t>
      </w:r>
    </w:p>
    <w:p>
      <w:pPr>
        <w:pStyle w:val="Compact"/>
        <w:numPr>
          <w:ilvl w:val="0"/>
          <w:numId w:val="1022"/>
        </w:numPr>
      </w:pPr>
      <w:r>
        <w:t xml:space="preserve">Le due ancore hanno mandati diversi: una ti dice cosa insegnare, l’altra ti dice dove mettere le mani.</w:t>
      </w:r>
    </w:p>
    <w:p>
      <w:pPr>
        <w:pStyle w:val="Compact"/>
        <w:numPr>
          <w:ilvl w:val="0"/>
          <w:numId w:val="1022"/>
        </w:numPr>
      </w:pPr>
      <w:r>
        <w:t xml:space="preserve">Quello che manca sono due accoppiamenti, non due misure: gli studi con il finto trattamento misurano soglie e non i giorni di dolore, e sul nostro bersaglio il finto trattamento c’è ma il risultato non si separa.</w:t>
      </w:r>
    </w:p>
    <w:p>
      <w:pPr>
        <w:pStyle w:val="Compact"/>
        <w:numPr>
          <w:ilvl w:val="0"/>
          <w:numId w:val="1022"/>
        </w:numPr>
      </w:pPr>
      <w:r>
        <w:rPr>
          <w:b/>
          <w:bCs/>
        </w:rPr>
        <w:t xml:space="preserve">Perché ci sei tu.</w:t>
      </w:r>
      <w:r>
        <w:t xml:space="preserve"> </w:t>
      </w:r>
      <w:r>
        <w:t xml:space="preserve">Fra le donne con dismenorrea che prendono un antinfiammatorio, fra il 45% e il 53% ottiene un sollievo da moderato a eccellente; con il placebo ci arriva il 18% (Marjoribanks,</w:t>
      </w:r>
      <w:r>
        <w:t xml:space="preserve"> </w:t>
      </w:r>
      <w:r>
        <w:rPr>
          <w:i/>
          <w:iCs/>
        </w:rPr>
        <w:t xml:space="preserve">Cochrane</w:t>
      </w:r>
      <w:r>
        <w:t xml:space="preserve"> </w:t>
      </w:r>
      <w:r>
        <w:t xml:space="preserve">2015, 35 studi randomizzati — PMID 26224322). Questo ti autorizza a dire che per circa metà delle donne in terapia resta un margine di sintomo che il farmaco non copre. Non ti autorizza a chiamarlo tuo: sulla nostra leva la sintesi più ampia non trova differenza contro il finto trattamento. E non ti autorizza a dire una sola parola sul farmaco: né sulla dose, né sulla durata, né sull’opportunità di ridurlo.</w:t>
      </w:r>
    </w:p>
    <w:p>
      <w:r>
        <w:pict>
          <v:rect style="width:0;height:1.5pt" o:hralign="center" o:hrstd="t" o:hr="t"/>
        </w:pict>
      </w:r>
    </w:p>
    <w:bookmarkEnd w:id="69"/>
    <w:bookmarkEnd w:id="70"/>
    <w:bookmarkStart w:id="77"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su cinque meccanismi le mani ne toccano tre, e il primo — quello che genera il crampo — non è fra questi: sapere quale è quale è ciò che ti impedisce di promettere la cosa sbagliata.</w:t>
      </w:r>
    </w:p>
    <w:p>
      <w:pPr>
        <w:pStyle w:val="FirstParagraph"/>
      </w:pPr>
      <w:r>
        <w:rPr>
          <w:b/>
          <w:bCs/>
        </w:rPr>
        <w:t xml:space="preserve">Quali meccanismi tocchi.</w:t>
      </w:r>
      <w:r>
        <w:t xml:space="preserve"> </w:t>
      </w:r>
      <w:r>
        <w:t xml:space="preserve">Le mani arrivano al 3 (la parete), al 4 (il contenitore) e al 5 (l’attivazione). Non arrivano all’1, che è chimico, né al 2, che è sistemico e ha leve attive e non manuali. Le leve sono quattro e i meccanismi tre perché sul meccanismo 5 ne insistono due: quella del contatto e quella della spiegazione.</w:t>
      </w:r>
    </w:p>
    <w:bookmarkStart w:id="71" w:name="X7b24e6ae9a1bd1d2ae9eefaef88af03186ef945"/>
    <w:p>
      <w:pPr>
        <w:pStyle w:val="Heading3"/>
      </w:pPr>
      <w:r>
        <w:t xml:space="preserve">Cosa non possono fare le mani, detto per primo</w:t>
      </w:r>
    </w:p>
    <w:p>
      <w:pPr>
        <w:pStyle w:val="FirstParagraph"/>
      </w:pPr>
      <w:r>
        <w:rPr>
          <w:b/>
          <w:bCs/>
        </w:rPr>
        <w:t xml:space="preserve">Nessuna mano raggiunge la pressione dentro l’utero.</w:t>
      </w:r>
      <w:r>
        <w:t xml:space="preserve"> </w:t>
      </w:r>
      <w:r>
        <w:t xml:space="preserve">Pressione intrauterina e prostaglandine non sono mai state misurate prima e dopo un trattamento manuale. Il flusso uterino sì, una volta e contro placebo, e il risultato non aiuta chi vuole promettere. A tre ore gli indici Doppler di una delle due arterie si muovono, e il dolore non li segue (Jin, 2025 — PMID 41155721). Il generatore principale del crampo resta chimico e interno.</w:t>
      </w:r>
    </w:p>
    <w:p>
      <w:pPr>
        <w:pStyle w:val="BodyText"/>
      </w:pPr>
      <w:r>
        <w:t xml:space="preserve">Non è un vicolo cieco, è un’indicazione:</w:t>
      </w:r>
      <w:r>
        <w:t xml:space="preserve"> </w:t>
      </w:r>
      <w:r>
        <w:rPr>
          <w:b/>
          <w:bCs/>
        </w:rPr>
        <w:t xml:space="preserve">su quel meccanismo la leva che tiene non è manuale.</w:t>
      </w:r>
      <w:r>
        <w:t xml:space="preserve"> </w:t>
      </w:r>
      <w:r>
        <w:t xml:space="preserve">È l’antinfiammatorio, che è del prescrittore. Ed è la leva alimentare che agisce sulla stessa via delle prostaglandine (Mohammadi, 2022 — PMID 35059756): si nomina e si rinvia al medico. E nemmeno il calore ci arriva: penetra circa un centimetro, quindi agisce sul cancello segmentario T10-L1, non sul miometrio.</w:t>
      </w:r>
    </w:p>
    <w:bookmarkEnd w:id="71"/>
    <w:bookmarkStart w:id="72" w:name="X3930573bc42078186a4fbb8d59308140ecddc35"/>
    <w:p>
      <w:pPr>
        <w:pStyle w:val="Heading3"/>
      </w:pPr>
      <w:r>
        <w:t xml:space="preserve">Leva 1 — sulla parete addominale iperalgesica</w:t>
      </w:r>
    </w:p>
    <w:p>
      <w:pPr>
        <w:pStyle w:val="FirstParagraph"/>
      </w:pPr>
      <w:r>
        <w:rPr>
          <w:b/>
          <w:bCs/>
        </w:rPr>
        <w:t xml:space="preserve">Su cosa può agire una mano.</w:t>
      </w:r>
      <w:r>
        <w:t xml:space="preserve"> </w:t>
      </w:r>
      <w:r>
        <w:t xml:space="preserve">Sul retto dell’addome e sulla parete sotto l’ombelico — il tessuto in cui l’iperalgesia riferita dall’utero è misurabilmente massima — e sul territorio T10-L1 in generale.</w:t>
      </w:r>
    </w:p>
    <w:p>
      <w:pPr>
        <w:pStyle w:val="BodyText"/>
      </w:pPr>
      <w:r>
        <w:rPr>
          <w:b/>
          <w:bCs/>
        </w:rPr>
        <w:t xml:space="preserve">Che effetto ci si aspetta.</w:t>
      </w:r>
      <w:r>
        <w:t xml:space="preserve"> </w:t>
      </w:r>
      <w:r>
        <w:t xml:space="preserve">Non</w:t>
      </w:r>
      <w:r>
        <w:t xml:space="preserve"> </w:t>
      </w:r>
      <w:r>
        <w:t xml:space="preserve">“sciogliere la tensione”</w:t>
      </w:r>
      <w:r>
        <w:t xml:space="preserve">: la riduzione di un ingresso nocicettivo somatico che si somma a quello viscerale sullo stesso neurone di convergenza. Meno segnale in ingresso, a parità di segnale uterino. È la stanza con due finestre sulla strada: ne chiudi una, ed entra meno rumore.</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il bersaglio esista e sia misurabile: soglie più basse nel muscolo della parete, correlate col dolore spontaneo (Giamberardino, 1997 — PMID 9211480).</w:t>
      </w:r>
      <w:r>
        <w:t xml:space="preserve"> </w:t>
      </w:r>
      <w:r>
        <w:rPr>
          <w:b/>
          <w:bCs/>
        </w:rPr>
        <w:t xml:space="preserve">PROBABILE</w:t>
      </w:r>
      <w:r>
        <w:t xml:space="preserve"> </w:t>
      </w:r>
      <w:r>
        <w:rPr>
          <w:i/>
          <w:iCs/>
        </w:rPr>
        <w:t xml:space="preserve">(razionale forte, prove parziali)</w:t>
      </w:r>
      <w:r>
        <w:t xml:space="preserve"> </w:t>
      </w:r>
      <w:r>
        <w:t xml:space="preserve">che spegnerlo riduca il dolore mestruale. Prendi donne con dismenorrea</w:t>
      </w:r>
      <w:r>
        <w:t xml:space="preserve"> </w:t>
      </w:r>
      <w:r>
        <w:rPr>
          <w:b/>
          <w:bCs/>
        </w:rPr>
        <w:t xml:space="preserve">più pregressa calcolosi urinaria</w:t>
      </w:r>
      <w:r>
        <w:t xml:space="preserve">, e disattiva con anestetico i punti trigger dell’</w:t>
      </w:r>
      <w:r>
        <w:rPr>
          <w:b/>
          <w:bCs/>
        </w:rPr>
        <w:t xml:space="preserve">area lombare</w:t>
      </w:r>
      <w:r>
        <w:t xml:space="preserve"> </w:t>
      </w:r>
      <w:r>
        <w:t xml:space="preserve">di riferimento. I cicli dolorosi dell’anno successivo si riducono e le soglie della parete salgono: 16 trattate contro 12 non trattate (Costantini e Giamberardino, 2020 — PMID 32034979).</w:t>
      </w:r>
      <w:r>
        <w:t xml:space="preserve"> </w:t>
      </w:r>
      <w:r>
        <w:rPr>
          <w:b/>
          <w:bCs/>
        </w:rPr>
        <w:t xml:space="preserve">I salti sono tre: di intervento (un ago, non una mano), di bersaglio (l’area lombare, non la parete) e di popolazione. È per questo che l’etichetta non sale, e con i tre salti scritti sta in piedi.</w:t>
      </w:r>
    </w:p>
    <w:p>
      <w:pPr>
        <w:pStyle w:val="FirstParagraph"/>
      </w:pPr>
      <w:r>
        <w:rPr>
          <w:b/>
          <w:bCs/>
        </w:rPr>
        <w:t xml:space="preserve">In quanto tempo si vedrebbe.</w:t>
      </w:r>
      <w:r>
        <w:t xml:space="preserve"> </w:t>
      </w:r>
      <w:r>
        <w:t xml:space="preserve">La soglia locale, dentro la seduta. I giorni di dolore, al ciclo successivo: si guarda a due cicli, non a due sedute. E la ripetizione è parte del meccanismo — nello studio di riferimento la disattivazione è stata ripetuta e l’esito letto su un anno.</w:t>
      </w:r>
    </w:p>
    <w:p>
      <w:pPr>
        <w:pStyle w:val="BodyText"/>
      </w:pPr>
      <w:r>
        <w:t xml:space="preserve">Lo stesso vale per la metà sacrale del territorio, con due vincoli. La via di accesso resta</w:t>
      </w:r>
      <w:r>
        <w:t xml:space="preserve"> </w:t>
      </w:r>
      <w:r>
        <w:rPr>
          <w:b/>
          <w:bCs/>
        </w:rPr>
        <w:t xml:space="preserve">esterna</w:t>
      </w:r>
      <w:r>
        <w:t xml:space="preserve">. E che una mano esterna cambi quei reperti non l’ha misurato nessuno (</w:t>
      </w:r>
      <w:r>
        <w:rPr>
          <w:b/>
          <w:bCs/>
        </w:rPr>
        <w:t xml:space="preserve">IPOTESI</w:t>
      </w:r>
      <w:r>
        <w:t xml:space="preserve"> </w:t>
      </w:r>
      <w:r>
        <w:rPr>
          <w:i/>
          <w:iCs/>
        </w:rPr>
        <w:t xml:space="preserve">(meccanismo coerente, nessuno studio)</w:t>
      </w:r>
      <w:r>
        <w:t xml:space="preserve">).</w:t>
      </w:r>
    </w:p>
    <w:p>
      <w:pPr>
        <w:pStyle w:val="BlockText"/>
      </w:pPr>
      <w:r>
        <w:rPr>
          <w:b/>
          <w:bCs/>
        </w:rPr>
        <w:t xml:space="preserve">Attenzione.</w:t>
      </w:r>
      <w:r>
        <w:t xml:space="preserve"> </w:t>
      </w:r>
      <w:r>
        <w:t xml:space="preserve">L’addome basso porta con sé un profilo di rischio, e va saputo prima di appoggiare le mani. Quattro domande vengono prima del gesto, e ognuna esclude qualcosa di preciso.</w:t>
      </w:r>
      <w:r>
        <w:t xml:space="preserve"> </w:t>
      </w:r>
      <w:r>
        <w:rPr>
          <w:b/>
          <w:bCs/>
        </w:rPr>
        <w:t xml:space="preserve">Gravidanza possibile o ritardo mestruale</w:t>
      </w:r>
      <w:r>
        <w:t xml:space="preserve"> </w:t>
      </w:r>
      <w:r>
        <w:t xml:space="preserve">— ectopica: uscita ROSSO, e il test viene prima del contatto.</w:t>
      </w:r>
      <w:r>
        <w:t xml:space="preserve"> </w:t>
      </w:r>
      <w:r>
        <w:rPr>
          <w:b/>
          <w:bCs/>
        </w:rPr>
        <w:t xml:space="preserve">Dispositivo intrauterino</w:t>
      </w:r>
      <w:r>
        <w:t xml:space="preserve"> </w:t>
      </w:r>
      <w:r>
        <w:t xml:space="preserve">— se il sintomo è comparso dopo l’inserimento, si segnala al prescrittore e il sintomo mestruale non è più il tuo bersaglio.</w:t>
      </w:r>
      <w:r>
        <w:t xml:space="preserve"> </w:t>
      </w:r>
      <w:r>
        <w:rPr>
          <w:b/>
          <w:bCs/>
        </w:rPr>
        <w:t xml:space="preserve">Dolore acuto in corso</w:t>
      </w:r>
      <w:r>
        <w:t xml:space="preserve"> </w:t>
      </w:r>
      <w:r>
        <w:t xml:space="preserve">— torsione annessiale, malattia infiammatoria pelvica: uscita ROSSO.</w:t>
      </w:r>
      <w:r>
        <w:t xml:space="preserve"> </w:t>
      </w:r>
      <w:r>
        <w:rPr>
          <w:b/>
          <w:bCs/>
        </w:rPr>
        <w:t xml:space="preserve">Massa nota o non nota</w:t>
      </w:r>
      <w:r>
        <w:t xml:space="preserve">, e con essa la</w:t>
      </w:r>
      <w:r>
        <w:t xml:space="preserve"> </w:t>
      </w:r>
      <w:r>
        <w:rPr>
          <w:b/>
          <w:bCs/>
        </w:rPr>
        <w:t xml:space="preserve">terapia anticoagulante</w:t>
      </w:r>
      <w:r>
        <w:t xml:space="preserve">. Oltre il 70% degli ematomi della guaina del retto avviene in anticoagulati dopo una forza sull’area (StatPearls — PMID 30085575), ed è lì che questo documento ti manda a premere con un algometro.</w:t>
      </w:r>
    </w:p>
    <w:bookmarkEnd w:id="72"/>
    <w:bookmarkStart w:id="73" w:name="leva-2-sul-contenitore-lombo-pelvico"/>
    <w:p>
      <w:pPr>
        <w:pStyle w:val="Heading3"/>
      </w:pPr>
      <w:r>
        <w:t xml:space="preserve">Leva 2 — sul contenitore lombo-pelvico</w:t>
      </w:r>
    </w:p>
    <w:p>
      <w:pPr>
        <w:pStyle w:val="FirstParagraph"/>
      </w:pPr>
      <w:r>
        <w:rPr>
          <w:b/>
          <w:bCs/>
        </w:rPr>
        <w:t xml:space="preserve">Su cosa può agire una mano.</w:t>
      </w:r>
      <w:r>
        <w:t xml:space="preserve"> </w:t>
      </w:r>
      <w:r>
        <w:t xml:space="preserve">Sul complesso lombare basso, sacro e sacroiliache — territorio S2-S4. Sulla</w:t>
      </w:r>
      <w:r>
        <w:t xml:space="preserve"> </w:t>
      </w:r>
      <w:r>
        <w:rPr>
          <w:b/>
          <w:bCs/>
        </w:rPr>
        <w:t xml:space="preserve">cerniera dorso-lombare T10-L1</w:t>
      </w:r>
      <w:r>
        <w:t xml:space="preserve">, che è il partner somatico posteriore del corpo dell’utero e che di solito nessuno guarda. E sull’assetto del diaframma come tetto del contenitore.</w:t>
      </w:r>
    </w:p>
    <w:p>
      <w:pPr>
        <w:pStyle w:val="BodyText"/>
      </w:pPr>
      <w:r>
        <w:rPr>
          <w:b/>
          <w:bCs/>
        </w:rPr>
        <w:t xml:space="preserve">Che effetto ci si aspetta.</w:t>
      </w:r>
      <w:r>
        <w:t xml:space="preserve"> </w:t>
      </w:r>
      <w:r>
        <w:t xml:space="preserve">Soglia meccanica più alta nella regione sacroiliaca, e riduzione della componente lombo-pelvica — la metà del quadro che lei chiama</w:t>
      </w:r>
      <w:r>
        <w:t xml:space="preserve"> </w:t>
      </w:r>
      <w:r>
        <w:rPr>
          <w:i/>
          <w:iCs/>
        </w:rPr>
        <w:t xml:space="preserve">“la schiena che si spacca”</w:t>
      </w:r>
      <w:r>
        <w:t xml:space="preserve">. Non del crampo.</w:t>
      </w:r>
    </w:p>
    <w:p>
      <w:pPr>
        <w:pStyle w:val="BlockText"/>
      </w:pPr>
      <w:r>
        <w:rPr>
          <w:b/>
          <w:bCs/>
        </w:rPr>
        <w:t xml:space="preserve">Quanto è solido:</w:t>
      </w:r>
      <w:r>
        <w:t xml:space="preserve"> </w:t>
      </w:r>
      <w:r>
        <w:t xml:space="preserve">l’etichetta si spezza.</w:t>
      </w:r>
      <w:r>
        <w:t xml:space="preserve"> </w:t>
      </w:r>
      <w:r>
        <w:rPr>
          <w:b/>
          <w:bCs/>
        </w:rPr>
        <w:t xml:space="preserve">PROBABILE</w:t>
      </w:r>
      <w:r>
        <w:t xml:space="preserve"> </w:t>
      </w:r>
      <w:r>
        <w:rPr>
          <w:i/>
          <w:iCs/>
        </w:rPr>
        <w:t xml:space="preserve">(razionale forte, prove parziali)</w:t>
      </w:r>
      <w:r>
        <w:t xml:space="preserve"> </w:t>
      </w:r>
      <w:r>
        <w:t xml:space="preserve">sull’effetto immediato sulla componente lombo-pelvica: studio randomizzato in doppio cieco contro finto trattamento, 40 donne (Molins-Cubero, 2014 — PMID 24666560).</w:t>
      </w:r>
      <w:r>
        <w:t xml:space="preserve"> </w:t>
      </w:r>
      <w:r>
        <w:rPr>
          <w:b/>
          <w:bCs/>
        </w:rPr>
        <w:t xml:space="preserve">IPOTESI</w:t>
      </w:r>
      <w:r>
        <w:t xml:space="preserve"> </w:t>
      </w:r>
      <w:r>
        <w:rPr>
          <w:i/>
          <w:iCs/>
        </w:rPr>
        <w:t xml:space="preserve">(meccanismo coerente, nessuno studio)</w:t>
      </w:r>
      <w:r>
        <w:t xml:space="preserve"> </w:t>
      </w:r>
      <w:r>
        <w:t xml:space="preserve">sull’effetto sul dolore mestruale in quanto tale, e qui con prove contrarie: quattro studi di manipolazione ad alta velocità non mostrano differenza contro la finta manipolazione (Proctor,</w:t>
      </w:r>
      <w:r>
        <w:t xml:space="preserve"> </w:t>
      </w:r>
      <w:r>
        <w:rPr>
          <w:i/>
          <w:iCs/>
        </w:rPr>
        <w:t xml:space="preserve">Cochrane</w:t>
      </w:r>
      <w:r>
        <w:t xml:space="preserve"> </w:t>
      </w:r>
      <w:r>
        <w:t xml:space="preserve">2006 — PMID 16855988).</w:t>
      </w:r>
      <w:r>
        <w:t xml:space="preserve"> </w:t>
      </w:r>
      <w:r>
        <w:rPr>
          <w:b/>
          <w:bCs/>
        </w:rPr>
        <w:t xml:space="preserve">IPOTESI</w:t>
      </w:r>
      <w:r>
        <w:t xml:space="preserve"> </w:t>
      </w:r>
      <w:r>
        <w:rPr>
          <w:i/>
          <w:iCs/>
        </w:rPr>
        <w:t xml:space="preserve">(meccanismo coerente, nessuno studio)</w:t>
      </w:r>
      <w:r>
        <w:t xml:space="preserve"> </w:t>
      </w:r>
      <w:r>
        <w:t xml:space="preserve">anche sulla cerniera dorso-lombare, dove il razionale segmentario è solido e nessuno ha misurato niente.</w:t>
      </w:r>
    </w:p>
    <w:p>
      <w:pPr>
        <w:pStyle w:val="FirstParagraph"/>
      </w:pPr>
      <w:r>
        <w:rPr>
          <w:b/>
          <w:bCs/>
        </w:rPr>
        <w:t xml:space="preserve">In quanto tempo si vedrebbe.</w:t>
      </w:r>
      <w:r>
        <w:t xml:space="preserve"> </w:t>
      </w:r>
      <w:r>
        <w:t xml:space="preserve">L’escursione lombare e la soglia sacroiliaca, dentro la seduta. La componente lombare del sintomo mestruale, al ciclo successivo.</w:t>
      </w:r>
    </w:p>
    <w:p>
      <w:pPr>
        <w:pStyle w:val="BlockText"/>
      </w:pPr>
      <w:r>
        <w:rPr>
          <w:b/>
          <w:bCs/>
        </w:rPr>
        <w:t xml:space="preserve">Attenzione.</w:t>
      </w:r>
      <w:r>
        <w:t xml:space="preserve"> </w:t>
      </w:r>
      <w:r>
        <w:t xml:space="preserve">Questo è l’unico distretto che il documento spinge a trattare sulla base delle prove, e ha un profilo di rischio proprio. Gli eventi avversi gravi dopo manipolazione lombo-pelvica sono rari — dell’ordine di uno ogni uno-due milioni di trattamenti — e sono per lo più sindrome della cauda equina ed ernia del disco (Hebert,</w:t>
      </w:r>
      <w:r>
        <w:t xml:space="preserve"> </w:t>
      </w:r>
      <w:r>
        <w:rPr>
          <w:i/>
          <w:iCs/>
        </w:rPr>
        <w:t xml:space="preserve">J Manipulative Physiol Ther</w:t>
      </w:r>
      <w:r>
        <w:t xml:space="preserve"> </w:t>
      </w:r>
      <w:r>
        <w:t xml:space="preserve">2015, 77 casi — PMID 23787298). Prima di ogni lavoro sul distretto si cercano: deficit di forza o sensibilità agli arti inferiori, disturbi degli sfinteri, anestesia a sella, dolore lombare che peggiora e sveglia di notte. E la tecnica dello studio che fonda questa leva è un impulso, non una mobilizzazione.</w:t>
      </w:r>
    </w:p>
    <w:bookmarkEnd w:id="73"/>
    <w:bookmarkStart w:id="74" w:name="leva-3-sul-livello-di-attivazione"/>
    <w:p>
      <w:pPr>
        <w:pStyle w:val="Heading3"/>
      </w:pPr>
      <w:r>
        <w:t xml:space="preserve">Leva 3 — sul livello di attivazione</w:t>
      </w:r>
    </w:p>
    <w:p>
      <w:pPr>
        <w:pStyle w:val="FirstParagraph"/>
      </w:pPr>
      <w:r>
        <w:rPr>
          <w:b/>
          <w:bCs/>
        </w:rPr>
        <w:t xml:space="preserve">Su cosa può agire una mano.</w:t>
      </w:r>
      <w:r>
        <w:t xml:space="preserve"> </w:t>
      </w:r>
      <w:r>
        <w:t xml:space="preserve">Sullo stato del sistema, con il contatto lento, il tempo dedicato e il ritmo del respiro.</w:t>
      </w:r>
    </w:p>
    <w:p>
      <w:pPr>
        <w:pStyle w:val="BodyText"/>
      </w:pPr>
      <w:r>
        <w:rPr>
          <w:b/>
          <w:bCs/>
        </w:rPr>
        <w:t xml:space="preserve">Che effetto ci si aspetta.</w:t>
      </w:r>
      <w:r>
        <w:t xml:space="preserve"> </w:t>
      </w:r>
      <w:r>
        <w:t xml:space="preserve">Uno spostamento della soglia a cui un segnale viscerale diventa sintomo: dentro la seduta è un effetto di stato, fuori si sposta in settimane.</w:t>
      </w:r>
    </w:p>
    <w:p>
      <w:pPr>
        <w:pStyle w:val="BodyText"/>
      </w:pPr>
      <w:r>
        <w:rPr>
          <w:b/>
          <w:bCs/>
        </w:rPr>
        <w:t xml:space="preserve">La via.</w:t>
      </w:r>
      <w:r>
        <w:t xml:space="preserve"> </w:t>
      </w:r>
      <w:r>
        <w:t xml:space="preserve">L’unica documentata e osservabile in stanza è quella respiratoria. Un respiro rallentato intorno a sei atti al minuto cade sulla frequenza di risonanza del baroriflesso e aumenta l’attività vagale cardiaca. Rallentare il respiro sotto i dieci atti al minuto aumenta la variabilità della frequenza cardiaca e l’aritmia sinusale respiratoria, ed è</w:t>
      </w:r>
      <w:r>
        <w:t xml:space="preserve"> </w:t>
      </w:r>
      <w:r>
        <w:rPr>
          <w:b/>
          <w:bCs/>
        </w:rPr>
        <w:t xml:space="preserve">DIMOSTRATO</w:t>
      </w:r>
      <w:r>
        <w:t xml:space="preserve"> </w:t>
      </w:r>
      <w:r>
        <w:rPr>
          <w:i/>
          <w:iCs/>
        </w:rPr>
        <w:t xml:space="preserve">(studi sull’uomo, solidi)</w:t>
      </w:r>
      <w:r>
        <w:t xml:space="preserve"> </w:t>
      </w:r>
      <w:r>
        <w:rPr>
          <w:b/>
          <w:bCs/>
        </w:rPr>
        <w:t xml:space="preserve">sul meccanismo</w:t>
      </w:r>
      <w:r>
        <w:t xml:space="preserve"> </w:t>
      </w:r>
      <w:r>
        <w:t xml:space="preserve">(Zaccaro,</w:t>
      </w:r>
      <w:r>
        <w:t xml:space="preserve"> </w:t>
      </w:r>
      <w:r>
        <w:rPr>
          <w:i/>
          <w:iCs/>
        </w:rPr>
        <w:t xml:space="preserve">Front Hum Neurosci</w:t>
      </w:r>
      <w:r>
        <w:t xml:space="preserve"> </w:t>
      </w:r>
      <w:r>
        <w:t xml:space="preserve">2018, 15 studi — PMID 30245619).</w:t>
      </w:r>
      <w:r>
        <w:t xml:space="preserve"> </w:t>
      </w:r>
      <w:r>
        <w:rPr>
          <w:b/>
          <w:bCs/>
        </w:rPr>
        <w:t xml:space="preserve">Misurato su soggetti sani, non su donne con dolore mestruale, e su indici cardiaci, non sulla soglia a cui un segnale uterino diventa sintomo: il ponte fra i due non l’ha attraversato nessuno</w:t>
      </w:r>
      <w:r>
        <w:t xml:space="preserve">, ed è la ragione per cui l’etichetta della leva resta più bassa di quella del meccanismo. Il meccanismo finisce qui. Non si scrive «stimola il vago», e la frequenza respiratoria contata prima e dopo è l’unica misura che questa leva può portare.</w:t>
      </w:r>
    </w:p>
    <w:p>
      <w:pPr>
        <w:pStyle w:val="BlockText"/>
      </w:pPr>
      <w:r>
        <w:rPr>
          <w:b/>
          <w:bCs/>
        </w:rPr>
        <w:t xml:space="preserve">Quanto è solido:</w:t>
      </w:r>
      <w:r>
        <w:t xml:space="preserve"> </w:t>
      </w:r>
      <w:r>
        <w:rPr>
          <w:b/>
          <w:bCs/>
        </w:rPr>
        <w:t xml:space="preserve">IPOTESI</w:t>
      </w:r>
      <w:r>
        <w:t xml:space="preserve"> </w:t>
      </w:r>
      <w:r>
        <w:rPr>
          <w:i/>
          <w:iCs/>
        </w:rPr>
        <w:t xml:space="preserve">(meccanismo coerente, nessuno studio)</w:t>
      </w:r>
      <w:r>
        <w:t xml:space="preserve">, con le prove nominate tutte. La conduttanza cutanea che sale dopo trattamento manuale (Gordon, 2025 — PMID 39920074) misura la spinta simpatica della pelle, non la soglia. E nella terapia manuale il simpatico che sale accompagna la riduzione del dolore invece di escluderla (Vicenzino, 1998 — PMID 9777544 —</w:t>
      </w:r>
      <w:r>
        <w:t xml:space="preserve"> </w:t>
      </w:r>
      <w:r>
        <w:rPr>
          <w:b/>
          <w:bCs/>
        </w:rPr>
        <w:t xml:space="preserve">24 pazienti con epicondilalgia, tecnica cervicale: salto di popolazione, distretto e tecnica</w:t>
      </w:r>
      <w:r>
        <w:t xml:space="preserve">). E il respiro</w:t>
      </w:r>
      <w:r>
        <w:t xml:space="preserve"> </w:t>
      </w:r>
      <w:r>
        <w:rPr>
          <w:b/>
          <w:bCs/>
        </w:rPr>
        <w:t xml:space="preserve">insegnato come esercizio</w:t>
      </w:r>
      <w:r>
        <w:t xml:space="preserve">, qui, non ha dato differenze sul dolore fra i gruppi (Toprak Celenay, 2026 — PMID 42366725): è la ragione per cui sta qui, come via del tuo contatto, e non fra gli strumenti che si insegnano.</w:t>
      </w:r>
    </w:p>
    <w:p>
      <w:pPr>
        <w:pStyle w:val="FirstParagraph"/>
      </w:pPr>
      <w:r>
        <w:rPr>
          <w:b/>
          <w:bCs/>
        </w:rPr>
        <w:t xml:space="preserve">In quanto tempo si vedrebbe.</w:t>
      </w:r>
      <w:r>
        <w:t xml:space="preserve"> </w:t>
      </w:r>
      <w:r>
        <w:t xml:space="preserve">Il respiro e la reattività al contatto, dentro la seduta. Il marker fuori piano — che in questa paziente è quello locale, non il deltoide — su un arco di settimane.</w:t>
      </w:r>
    </w:p>
    <w:bookmarkEnd w:id="74"/>
    <w:bookmarkStart w:id="75" w:name="leva-4-sulla-spiegazione-e-sul-contesto"/>
    <w:p>
      <w:pPr>
        <w:pStyle w:val="Heading3"/>
      </w:pPr>
      <w:r>
        <w:t xml:space="preserve">Leva 4 — sulla spiegazione e sul contesto</w:t>
      </w:r>
    </w:p>
    <w:p>
      <w:pPr>
        <w:pStyle w:val="FirstParagraph"/>
      </w:pPr>
      <w:r>
        <w:rPr>
          <w:b/>
          <w:bCs/>
        </w:rPr>
        <w:t xml:space="preserve">Su cosa può agire una mano.</w:t>
      </w:r>
      <w:r>
        <w:t xml:space="preserve"> </w:t>
      </w:r>
      <w:r>
        <w:t xml:space="preserve">Su ciò che accompagna la mano: nominare il meccanismo a una donna a cui per vent’anni è stata data una frase, dichiarare cosa tratti e cosa no, misurare davanti a lei prima e dopo.</w:t>
      </w:r>
    </w:p>
    <w:p>
      <w:pPr>
        <w:pStyle w:val="BodyText"/>
      </w:pPr>
      <w:r>
        <w:rPr>
          <w:b/>
          <w:bCs/>
        </w:rPr>
        <w:t xml:space="preserve">Che effetto ci si aspetta.</w:t>
      </w:r>
      <w:r>
        <w:t xml:space="preserve"> </w:t>
      </w:r>
      <w:r>
        <w:t xml:space="preserve">Uno spostamento dell’aspettativa e dell’attenzione al corpo nei giorni che precedono il flusso.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rPr>
          <w:b/>
          <w:bCs/>
        </w:rPr>
        <w:t xml:space="preserve">su questa condizione</w:t>
      </w:r>
      <w:r>
        <w:t xml:space="preserve">. Donne con dismenorrea sono state randomizzate a educazione alle neuroscienze del dolore o a educazione biomedica, con lo stesso esercizio in entrambi i gruppi. La differenza fra i gruppi sul dolore mestruale è ampia (Erol,</w:t>
      </w:r>
      <w:r>
        <w:t xml:space="preserve"> </w:t>
      </w:r>
      <w:r>
        <w:rPr>
          <w:i/>
          <w:iCs/>
        </w:rPr>
        <w:t xml:space="preserve">Healthcare</w:t>
      </w:r>
      <w:r>
        <w:t xml:space="preserve"> </w:t>
      </w:r>
      <w:r>
        <w:t xml:space="preserve">2025, 38 donne — PMID 40868570), su campione piccolo e centro unico.</w:t>
      </w:r>
      <w:r>
        <w:t xml:space="preserve"> </w:t>
      </w:r>
      <w:r>
        <w:rPr>
          <w:b/>
          <w:bCs/>
        </w:rPr>
        <w:t xml:space="preserve">E la spiegazione che vince è quella centrata sulla sensibilizzazione, cioè la metafora del campanello incastrato.</w:t>
      </w:r>
      <w:r>
        <w:t xml:space="preserve"> </w:t>
      </w:r>
      <w:r>
        <w:t xml:space="preserve">Sulla quota non specifica: l’88% dell’effetto immediato della mobilizzazione non è attribuibile all’effetto specifico, con intervallo dal 57% al 120% (Ezzatvar,</w:t>
      </w:r>
      <w:r>
        <w:t xml:space="preserve"> </w:t>
      </w:r>
      <w:r>
        <w:rPr>
          <w:i/>
          <w:iCs/>
        </w:rPr>
        <w:t xml:space="preserve">JOSPT</w:t>
      </w:r>
      <w:r>
        <w:t xml:space="preserve"> </w:t>
      </w:r>
      <w:r>
        <w:t xml:space="preserve">2024 — PMID 38602164) —</w:t>
      </w:r>
      <w:r>
        <w:t xml:space="preserve"> </w:t>
      </w:r>
      <w:r>
        <w:rPr>
          <w:b/>
          <w:bCs/>
        </w:rPr>
        <w:t xml:space="preserve">misurato su dolore muscolo-scheletrico: il salto è di popolazione.</w:t>
      </w:r>
    </w:p>
    <w:p>
      <w:pPr>
        <w:pStyle w:val="FirstParagraph"/>
      </w:pPr>
      <w:r>
        <w:t xml:space="preserve">Quel 88% non è una truffa da nascondere: descrive</w:t>
      </w:r>
      <w:r>
        <w:t xml:space="preserve"> </w:t>
      </w:r>
      <w:r>
        <w:rPr>
          <w:b/>
          <w:bCs/>
        </w:rPr>
        <w:t xml:space="preserve">cosa consegni davvero</w:t>
      </w:r>
      <w:r>
        <w:t xml:space="preserve">. Tempo, ascolto, contatto e spiegazione sono parte del trattamento, non il suo contorno. Quello che non puoi fare è chiamarli tecnica.</w:t>
      </w:r>
    </w:p>
    <w:bookmarkEnd w:id="75"/>
    <w:bookmarkStart w:id="76" w:name="X313a9305afc17cefd332a43187892ca69ddea55"/>
    <w:p>
      <w:pPr>
        <w:pStyle w:val="Heading3"/>
      </w:pPr>
      <w:r>
        <w:t xml:space="preserve">Cosa fa l’osteopata che il resto del percorso non fa</w:t>
      </w:r>
    </w:p>
    <w:p>
      <w:pPr>
        <w:pStyle w:val="FirstParagraph"/>
      </w:pPr>
      <w:r>
        <w:t xml:space="preserve">Sono i tre punti di «Chi ti trova davanti», visti dal tuo lato invece che dal suo: la parete addominale che nessuno misura, la metà lombo-pelvica del sintomo che non è nel mandato di nessuno, e il tempo. Con una riga in più, che vale per il terzo:</w:t>
      </w:r>
      <w:r>
        <w:t xml:space="preserve"> </w:t>
      </w:r>
      <w:r>
        <w:rPr>
          <w:b/>
          <w:bCs/>
        </w:rPr>
        <w:t xml:space="preserve">la quota non specifica di quello che fai non è un difetto del tuo metodo, è la parte che nel suo percorso non esiste.</w:t>
      </w:r>
    </w:p>
    <w:p>
      <w:pPr>
        <w:pStyle w:val="BodyText"/>
      </w:pPr>
      <w:r>
        <w:rPr>
          <w:i/>
          <w:iCs/>
        </w:rPr>
        <w:t xml:space="preserve">Il come si fa non è qui. Sta nella Procedura del ciclo doloroso: due pagine, tecniche, dosi e piano delle sedute.</w:t>
      </w:r>
    </w:p>
    <w:p>
      <w:pPr>
        <w:pStyle w:val="BodyText"/>
      </w:pPr>
      <w:r>
        <w:rPr>
          <w:b/>
          <w:bCs/>
        </w:rPr>
        <w:t xml:space="preserve">Le tre cose da ricordare, più una</w:t>
      </w:r>
    </w:p>
    <w:p>
      <w:pPr>
        <w:pStyle w:val="Compact"/>
        <w:numPr>
          <w:ilvl w:val="0"/>
          <w:numId w:val="1023"/>
        </w:numPr>
      </w:pPr>
      <w:r>
        <w:t xml:space="preserve">Il crampo non è tuo: dirlo per primo è ciò che rende credibile tutto il resto.</w:t>
      </w:r>
    </w:p>
    <w:p>
      <w:pPr>
        <w:pStyle w:val="Compact"/>
        <w:numPr>
          <w:ilvl w:val="0"/>
          <w:numId w:val="1023"/>
        </w:numPr>
      </w:pPr>
      <w:r>
        <w:t xml:space="preserve">La leva con il bersaglio meglio misurato è la parete addominale, e il suo esito si legge in cicli, non in sedute.</w:t>
      </w:r>
    </w:p>
    <w:p>
      <w:pPr>
        <w:pStyle w:val="Compact"/>
        <w:numPr>
          <w:ilvl w:val="0"/>
          <w:numId w:val="1023"/>
        </w:numPr>
      </w:pPr>
      <w:r>
        <w:t xml:space="preserve">Quattro domande vengono sempre prima del contatto sull’addome basso, e due di loro cambiano l’uscita del triage. Il lombo-sacrale ha un rischio suo, raro e con un nome: cauda equina ed ernia discale.</w:t>
      </w:r>
    </w:p>
    <w:p>
      <w:pPr>
        <w:pStyle w:val="Compact"/>
        <w:numPr>
          <w:ilvl w:val="0"/>
          <w:numId w:val="1023"/>
        </w:numPr>
      </w:pPr>
      <w:r>
        <w:rPr>
          <w:b/>
          <w:bCs/>
        </w:rPr>
        <w:t xml:space="preserve">Perché ci sei tu.</w:t>
      </w:r>
      <w:r>
        <w:t xml:space="preserve"> </w:t>
      </w:r>
      <w:r>
        <w:t xml:space="preserve">Disattivare con un ago i punti dolorosi dell’area lombare di riferimento, in donne con dismenorrea e pregressa calcolosi urinaria, ha ridotto il numero di cicli dolorosi nell’anno successivo e alzato le soglie della parete addominale (Costantini e Giamberardino, 2020 — PMID 32034979). Questo ti autorizza a lavorare sulla parete come bersaglio con un razionale misurato dietro. Non ti autorizza ad attribuire alla tua mano il risultato di un’iniezione di anestetico: quello studio ha misurato un ago.</w:t>
      </w:r>
    </w:p>
    <w:p>
      <w:r>
        <w:pict>
          <v:rect style="width:0;height:1.5pt" o:hralign="center" o:hrstd="t" o:hr="t"/>
        </w:pict>
      </w:r>
    </w:p>
    <w:bookmarkEnd w:id="76"/>
    <w:bookmarkEnd w:id="77"/>
    <w:bookmarkStart w:id="82" w:name="Xab083995fcdfe57d4dc757cc13364eed7866fff"/>
    <w:p>
      <w:pPr>
        <w:pStyle w:val="Heading2"/>
      </w:pPr>
      <w:r>
        <w:t xml:space="preserve">Capitolo 12 — Cosa può fare la paziente da sola</w:t>
      </w:r>
    </w:p>
    <w:p>
      <w:pPr>
        <w:pStyle w:val="BlockText"/>
      </w:pPr>
      <w:r>
        <w:rPr>
          <w:b/>
          <w:bCs/>
        </w:rPr>
        <w:t xml:space="preserve">In una riga:</w:t>
      </w:r>
      <w:r>
        <w:t xml:space="preserve"> </w:t>
      </w:r>
      <w:r>
        <w:t xml:space="preserve">su questa condizione le leve con le prove migliori dell’intero documento non passano dalle tue mani, e sono tue da insegnare.</w:t>
      </w:r>
    </w:p>
    <w:p>
      <w:pPr>
        <w:pStyle w:val="FirstParagraph"/>
      </w:pPr>
      <w:r>
        <w:t xml:space="preserve">Questo capitolo esiste perché quattro strumenti attivi superano la soglia.</w:t>
      </w:r>
    </w:p>
    <w:p>
      <w:pPr>
        <w:pStyle w:val="BodyText"/>
      </w:pPr>
      <w:r>
        <w:rPr>
          <w:b/>
          <w:bCs/>
        </w:rPr>
        <w:t xml:space="preserve">Quando non si insegnano.</w:t>
      </w:r>
      <w:r>
        <w:t xml:space="preserve"> </w:t>
      </w:r>
      <w:r>
        <w:t xml:space="preserve">Le quattro domande che vengono prima del contatto sull’addome basso vengono anche prima di questo capitolo. Con una gravidanza possibile o un dolore acuto in corso non si insegna né il calore addominale né la stimolazione elettrica: si manda, e il capitolo si riprende dopo. Nessuno di questi quattro strumenti è la risposta a un quadro che non è ancora passato dal triage.</w:t>
      </w:r>
    </w:p>
    <w:bookmarkStart w:id="78" w:name="lesercizio-regolare"/>
    <w:p>
      <w:pPr>
        <w:pStyle w:val="Heading3"/>
      </w:pPr>
      <w:r>
        <w:t xml:space="preserve">1. L’esercizio regolare</w:t>
      </w:r>
    </w:p>
    <w:p>
      <w:pPr>
        <w:pStyle w:val="FirstParagraph"/>
      </w:pPr>
      <w:r>
        <w:rPr>
          <w:b/>
          <w:bCs/>
        </w:rPr>
        <w:t xml:space="preserve">Cos’è, e su cosa agisce.</w:t>
      </w:r>
      <w:r>
        <w:t xml:space="preserve"> </w:t>
      </w:r>
      <w:r>
        <w:t xml:space="preserve">Attività fisica svolta con regolarità durante tutto il mese, non nei giorni del dolore. Agisce su «la bilancia tarata male» e sul «calendario nero», e in modo indiretto sul contenitore. Non sul crampo.</w:t>
      </w:r>
    </w:p>
    <w:p>
      <w:pPr>
        <w:pStyle w:val="BodyText"/>
      </w:pPr>
      <w:r>
        <w:rPr>
          <w:b/>
          <w:bCs/>
        </w:rPr>
        <w:t xml:space="preserve">Cosa hanno misurato gli studi.</w:t>
      </w:r>
      <w:r>
        <w:t xml:space="preserve"> </w:t>
      </w:r>
      <w:r>
        <w:t xml:space="preserve">Dodici studi randomizzati e 854 donne. Negli studi il programma è stato svolto per</w:t>
      </w:r>
      <w:r>
        <w:t xml:space="preserve"> </w:t>
      </w:r>
      <w:r>
        <w:rPr>
          <w:b/>
          <w:bCs/>
        </w:rPr>
        <w:t xml:space="preserve">45-60 minuti, tre o più volte a settimana</w:t>
      </w:r>
      <w:r>
        <w:t xml:space="preserve">, a intensità sia bassa sia alta, per tutto il mese. Nei nove studi che confrontano l’esercizio con il non trattamento — 632 donne — il dolore si è ridotto di circa</w:t>
      </w:r>
      <w:r>
        <w:t xml:space="preserve"> </w:t>
      </w:r>
      <w:r>
        <w:rPr>
          <w:b/>
          <w:bCs/>
        </w:rPr>
        <w:t xml:space="preserve">25 mm su una scala di 100</w:t>
      </w:r>
      <w:r>
        <w:t xml:space="preserve"> </w:t>
      </w:r>
      <w:r>
        <w:t xml:space="preserve">(Armour,</w:t>
      </w:r>
      <w:r>
        <w:t xml:space="preserve"> </w:t>
      </w:r>
      <w:r>
        <w:rPr>
          <w:i/>
          <w:iCs/>
        </w:rPr>
        <w:t xml:space="preserve">Cochrane</w:t>
      </w:r>
      <w:r>
        <w:t xml:space="preserve"> </w:t>
      </w:r>
      <w:r>
        <w:t xml:space="preserve">2019 — PMID 31538328). Nella meta-analisi sull’autogestione l’esercizio ha l’effetto più ampio fra le strategie confrontate (Armour,</w:t>
      </w:r>
      <w:r>
        <w:t xml:space="preserve"> </w:t>
      </w:r>
      <w:r>
        <w:rPr>
          <w:i/>
          <w:iCs/>
        </w:rPr>
        <w:t xml:space="preserve">BMC Complement Altern Med</w:t>
      </w:r>
      <w:r>
        <w:t xml:space="preserve"> </w:t>
      </w:r>
      <w:r>
        <w:t xml:space="preserve">2019 — PMID 30654775).</w:t>
      </w:r>
      <w:r>
        <w:t xml:space="preserve"> </w:t>
      </w:r>
      <w:r>
        <w:t xml:space="preserve">&gt;</w:t>
      </w:r>
      <w:r>
        <w:t xml:space="preserve"> </w:t>
      </w:r>
      <w:r>
        <w:rPr>
          <w:b/>
          <w:bCs/>
        </w:rPr>
        <w:t xml:space="preserve">Quanto è solido:</w:t>
      </w:r>
      <w:r>
        <w:t xml:space="preserve"> </w:t>
      </w:r>
      <w:r>
        <w:rPr>
          <w:b/>
          <w:bCs/>
        </w:rPr>
        <w:t xml:space="preserve">PROBABILE</w:t>
      </w:r>
      <w:r>
        <w:t xml:space="preserve"> </w:t>
      </w:r>
      <w:r>
        <w:rPr>
          <w:i/>
          <w:iCs/>
        </w:rPr>
        <w:t xml:space="preserve">(razionale forte, prove parziali)</w:t>
      </w:r>
      <w:r>
        <w:t xml:space="preserve">. L’etichetta non sale a DIMOSTRATO per due ragioni scritte: nessuno degli studi ha usato un gruppo di controllo ad attenzione equivalente, e la Cochrane classifica le prove come di bassa qualità con eterogeneità molto alta. È comunque la leva meglio documentata di tutto il documento.</w:t>
      </w:r>
    </w:p>
    <w:p>
      <w:pPr>
        <w:pStyle w:val="BodyText"/>
      </w:pPr>
      <w:r>
        <w:rPr>
          <w:b/>
          <w:bCs/>
        </w:rPr>
        <w:t xml:space="preserve">Cosa NON fa, e cosa succede quando smette.</w:t>
      </w:r>
      <w:r>
        <w:t xml:space="preserve"> </w:t>
      </w:r>
      <w:r>
        <w:t xml:space="preserve">Non agisce nei giorni del dolore: è una leva di mese, non di crisi. E non è noto se il beneficio persista dopo l’interruzione: la Cochrane lo dichiara come dato mancante. Non è noto nemmeno se valga sopra i venticinque anni, perché quasi tutti gli studi hanno arruolato giovani. La insegni comunque, ma alla tua paziente di trentotto anni non citi i 25 mm come se fossero la sua aspettativa.</w:t>
      </w:r>
    </w:p>
    <w:bookmarkEnd w:id="78"/>
    <w:bookmarkStart w:id="79" w:name="il-calore-locale"/>
    <w:p>
      <w:pPr>
        <w:pStyle w:val="Heading3"/>
      </w:pPr>
      <w:r>
        <w:t xml:space="preserve">2. Il calore locale</w:t>
      </w:r>
    </w:p>
    <w:p>
      <w:pPr>
        <w:pStyle w:val="FirstParagraph"/>
      </w:pPr>
      <w:r>
        <w:rPr>
          <w:b/>
          <w:bCs/>
        </w:rPr>
        <w:t xml:space="preserve">Cos’è, e su cosa agisce.</w:t>
      </w:r>
      <w:r>
        <w:t xml:space="preserve"> </w:t>
      </w:r>
      <w:r>
        <w:t xml:space="preserve">Calore continuo e a bassa intensità sull’addome basso. Non agisce sul miometrio: un calore superficiale non ci arriva. Agisce sul cancello segmentario T10-L1 per via termica, cioè sullo stesso ingresso della Leva 1 — con il vantaggio che se lo somministra lei, nelle ore in cui il crampo c’è.</w:t>
      </w:r>
    </w:p>
    <w:p>
      <w:pPr>
        <w:pStyle w:val="BodyText"/>
      </w:pPr>
      <w:r>
        <w:rPr>
          <w:b/>
          <w:bCs/>
        </w:rPr>
        <w:t xml:space="preserve">Cosa hanno misurato gli studi.</w:t>
      </w:r>
      <w:r>
        <w:t xml:space="preserve"> </w:t>
      </w:r>
      <w:r>
        <w:t xml:space="preserve">Uno studio randomizzato a controllo attivo ha confrontato, su 344 donne valutabili, una fascia riscaldante addominale indossabile e il paracetamolo a mille milligrammi. Nell’arco di otto ore la fascia ha dato più sollievo, con meno sensazione di contrattura addominale e meno stanchezza (Akin,</w:t>
      </w:r>
      <w:r>
        <w:t xml:space="preserve"> </w:t>
      </w:r>
      <w:r>
        <w:rPr>
          <w:i/>
          <w:iCs/>
        </w:rPr>
        <w:t xml:space="preserve">J Reprod Med</w:t>
      </w:r>
      <w:r>
        <w:t xml:space="preserve"> </w:t>
      </w:r>
      <w:r>
        <w:t xml:space="preserve">2004 — PMID 15493566). Nella meta-analisi sull’autogestione il calore mostra un effetto moderato contro il non trattamento e risulta superiore agli analgesici (Armour, 2019 — PMID 30654775).</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che il calore locale allevii il dolore mestruale almeno quanto il paracetamolo. Regge su</w:t>
      </w:r>
      <w:r>
        <w:t xml:space="preserve"> </w:t>
      </w:r>
      <w:r>
        <w:rPr>
          <w:b/>
          <w:bCs/>
        </w:rPr>
        <w:t xml:space="preserve">un solo</w:t>
      </w:r>
      <w:r>
        <w:t xml:space="preserve"> </w:t>
      </w:r>
      <w:r>
        <w:t xml:space="preserve">studio randomizzato a controllo attivo, con la cecità del solo sperimentatore (Akin 2004 — PMID 15493566), e la revisione dedicata definisce le prove</w:t>
      </w:r>
      <w:r>
        <w:t xml:space="preserve"> </w:t>
      </w:r>
      <w:r>
        <w:rPr>
          <w:i/>
          <w:iCs/>
        </w:rPr>
        <w:t xml:space="preserve">suggestive</w:t>
      </w:r>
      <w:r>
        <w:t xml:space="preserve"> </w:t>
      </w:r>
      <w:r>
        <w:t xml:space="preserve">(Jo e Lee,</w:t>
      </w:r>
      <w:r>
        <w:t xml:space="preserve"> </w:t>
      </w:r>
      <w:r>
        <w:rPr>
          <w:i/>
          <w:iCs/>
        </w:rPr>
        <w:t xml:space="preserve">Sci Rep</w:t>
      </w:r>
      <w:r>
        <w:t xml:space="preserve"> </w:t>
      </w:r>
      <w:r>
        <w:t xml:space="preserve">2018 — PMID 30389956). Il limite è strutturale:</w:t>
      </w:r>
      <w:r>
        <w:t xml:space="preserve"> </w:t>
      </w:r>
      <w:r>
        <w:rPr>
          <w:b/>
          <w:bCs/>
        </w:rPr>
        <w:t xml:space="preserve">nessuno studio può accecare il calore</w:t>
      </w:r>
      <w:r>
        <w:t xml:space="preserve"> </w:t>
      </w:r>
      <w:r>
        <w:t xml:space="preserve">— cioè fare in modo che la partecipante non sappia se lo sta ricevendo — quindi la quota contestuale non è separabile da quella fisica.</w:t>
      </w:r>
    </w:p>
    <w:p>
      <w:pPr>
        <w:pStyle w:val="FirstParagraph"/>
      </w:pPr>
      <w:r>
        <w:rPr>
          <w:b/>
          <w:bCs/>
        </w:rPr>
        <w:t xml:space="preserve">Cosa NON fa.</w:t>
      </w:r>
      <w:r>
        <w:t xml:space="preserve"> </w:t>
      </w:r>
      <w:r>
        <w:t xml:space="preserve">Non cambia il quadro: agisce mentre è addosso. È l’unica cosa in questo documento di cui la paziente sa già tutto. La sola informazione nuova che le porti è che la sua borsa dell’acqua calda non è un ripiego: è la strategia</w:t>
      </w:r>
      <w:r>
        <w:t xml:space="preserve"> </w:t>
      </w:r>
      <w:r>
        <w:rPr>
          <w:b/>
          <w:bCs/>
        </w:rPr>
        <w:t xml:space="preserve">non farmacologica</w:t>
      </w:r>
      <w:r>
        <w:t xml:space="preserve"> </w:t>
      </w:r>
      <w:r>
        <w:t xml:space="preserve">con le prove migliori sul crampo. L’esposizione cronica lascia un segno benigno, l’</w:t>
      </w:r>
      <w:r>
        <w:rPr>
          <w:b/>
          <w:bCs/>
        </w:rPr>
        <w:t xml:space="preserve">eritema ab igne</w:t>
      </w:r>
      <w:r>
        <w:t xml:space="preserve"> </w:t>
      </w:r>
      <w:r>
        <w:t xml:space="preserve">(Scurtu, 2025 — PMID 41157206), che per te è un reperto: dice quante ore di calore al giorno le servono.</w:t>
      </w:r>
    </w:p>
    <w:bookmarkEnd w:id="79"/>
    <w:bookmarkStart w:id="80" w:name="X66c9059a9a6af3d296b98fd13962fc56d0ac7dc"/>
    <w:p>
      <w:pPr>
        <w:pStyle w:val="Heading3"/>
      </w:pPr>
      <w:r>
        <w:t xml:space="preserve">3. La stimolazione elettrica transcutanea (TENS)</w:t>
      </w:r>
    </w:p>
    <w:p>
      <w:pPr>
        <w:pStyle w:val="FirstParagraph"/>
      </w:pPr>
      <w:r>
        <w:rPr>
          <w:b/>
          <w:bCs/>
        </w:rPr>
        <w:t xml:space="preserve">Cos’è, e su cosa agisce.</w:t>
      </w:r>
      <w:r>
        <w:t xml:space="preserve"> </w:t>
      </w:r>
      <w:r>
        <w:t xml:space="preserve">Un apparecchio che la paziente si applica sull’addome basso o sulla lombare. Agisce sul cancello segmentario: le fibre di grande diametro reclutate dalla corrente inibiscono nel corno dorsale i segnali che arrivano dallo stesso territorio. È il meccanismo del «campanello che resta incastrato», non quello della «bilancia tarata male» — e si vede dal fatto che l’effetto finisce con l’applicazione.</w:t>
      </w:r>
    </w:p>
    <w:p>
      <w:pPr>
        <w:pStyle w:val="BodyText"/>
      </w:pPr>
      <w:r>
        <w:rPr>
          <w:b/>
          <w:bCs/>
        </w:rPr>
        <w:t xml:space="preserve">Cosa hanno misurato gli studi.</w:t>
      </w:r>
      <w:r>
        <w:t xml:space="preserve"> </w:t>
      </w:r>
      <w:r>
        <w:t xml:space="preserve">La revisione Cochrane aggiornata conta venti studi randomizzati e 585 donne. Contro finta stimolazione o nessun trattamento, l’alta frequenza riduce il dolore di 1,39 punti e la bassa di 2,04, e il confronto diretto fra le due è incerto. Certezza bassa, studi molto disomogenei (Han,</w:t>
      </w:r>
      <w:r>
        <w:t xml:space="preserve"> </w:t>
      </w:r>
      <w:r>
        <w:rPr>
          <w:i/>
          <w:iCs/>
        </w:rPr>
        <w:t xml:space="preserve">Cochrane</w:t>
      </w:r>
      <w:r>
        <w:t xml:space="preserve"> </w:t>
      </w:r>
      <w:r>
        <w:t xml:space="preserve">2024 — PMID 39037764).</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Studi piccoli, ma con confronto contro finta stimolazione — più di quanto abbia la nostra leva manuale.</w:t>
      </w:r>
      <w:r>
        <w:t xml:space="preserve"> </w:t>
      </w:r>
      <w:r>
        <w:rPr>
          <w:b/>
          <w:bCs/>
        </w:rPr>
        <w:t xml:space="preserve">Il salto è di erogatore e di natura: è un dispositivo, non un atto osteopatico.</w:t>
      </w:r>
      <w:r>
        <w:t xml:space="preserve"> </w:t>
      </w:r>
      <w:r>
        <w:t xml:space="preserve">E la distinzione fra alta e bassa frequenza, che fino a ieri si insegnava, oggi non è sostenuta: entrambe riducono il dolore, quale sia migliore non è stabilito.</w:t>
      </w:r>
    </w:p>
    <w:p>
      <w:pPr>
        <w:pStyle w:val="FirstParagraph"/>
      </w:pPr>
      <w:r>
        <w:rPr>
          <w:b/>
          <w:bCs/>
        </w:rPr>
        <w:t xml:space="preserve">Cosa NON fa, e dove non si mette.</w:t>
      </w:r>
      <w:r>
        <w:t xml:space="preserve"> </w:t>
      </w:r>
      <w:r>
        <w:t xml:space="preserve">Non ha effetto fuori dai minuti di applicazione. Non si applica su addome, pelvi o lombare in gravidanza, e non si usa in chi porta un pacemaker, un defibrillatore o un neurostimolatore (Dua e Gillespie, StatPearls — PMID 30725873). La prima di queste due controindicazioni è la stessa prima domanda che ti fai prima di appoggiare una mano su quell’addome.</w:t>
      </w:r>
    </w:p>
    <w:bookmarkEnd w:id="80"/>
    <w:bookmarkStart w:id="81" w:name="X520bc2cdd30ec58cd430a9f3ad56c83dbd23766"/>
    <w:p>
      <w:pPr>
        <w:pStyle w:val="Heading3"/>
      </w:pPr>
      <w:r>
        <w:t xml:space="preserve">4. Il rilassamento e l’automassaggio addominale</w:t>
      </w:r>
    </w:p>
    <w:p>
      <w:pPr>
        <w:pStyle w:val="FirstParagraph"/>
      </w:pPr>
      <w:r>
        <w:rPr>
          <w:b/>
          <w:bCs/>
        </w:rPr>
        <w:t xml:space="preserve">Cos’è, e su cosa agisce.</w:t>
      </w:r>
      <w:r>
        <w:t xml:space="preserve"> </w:t>
      </w:r>
      <w:r>
        <w:t xml:space="preserve">Rilassamento muscolare progressivo, spesso con un massaggio della parete addominale che la paziente esegue da sé. Agisce su «il campanello che resta incastrato» — è la paziente che lavora sulla propria parete, cioè sul solo tessuto che questo documento rivendica come bersaglio misurato — e sul «calendario nero».</w:t>
      </w:r>
    </w:p>
    <w:p>
      <w:pPr>
        <w:pStyle w:val="BodyText"/>
      </w:pPr>
      <w:r>
        <w:rPr>
          <w:b/>
          <w:bCs/>
        </w:rPr>
        <w:t xml:space="preserve">Cosa hanno misurato gli studi.</w:t>
      </w:r>
      <w:r>
        <w:t xml:space="preserve"> </w:t>
      </w:r>
      <w:r>
        <w:t xml:space="preserve">Una rete di 29 studi randomizzati e 1.808 donne confronta sei famiglie di esercizio. Il rilassamento è</w:t>
      </w:r>
      <w:r>
        <w:t xml:space="preserve"> </w:t>
      </w:r>
      <w:r>
        <w:rPr>
          <w:b/>
          <w:bCs/>
        </w:rPr>
        <w:t xml:space="preserve">primo</w:t>
      </w:r>
      <w:r>
        <w:t xml:space="preserve"> </w:t>
      </w:r>
      <w:r>
        <w:t xml:space="preserve">a quattro e a otto settimane, davanti a esercizio misto, rinforzo, Kegel, aerobico e yoga. Ed è l’unica famiglia con un abbandono più basso del gruppo di controllo (Tsai,</w:t>
      </w:r>
      <w:r>
        <w:t xml:space="preserve"> </w:t>
      </w:r>
      <w:r>
        <w:rPr>
          <w:i/>
          <w:iCs/>
        </w:rPr>
        <w:t xml:space="preserve">Sports Med Open</w:t>
      </w:r>
      <w:r>
        <w:t xml:space="preserve"> </w:t>
      </w:r>
      <w:r>
        <w:t xml:space="preserve">2024 — PMID 38816591). Negli studi il lavoro è durato dai dieci ai trenta minuti, nei giorni del flusso oppure tre volte a settimana.</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Il primo posto viene da un confronto di rete, in parte indiretto, e gli studi primari sono piccoli e non accecabili.</w:t>
      </w:r>
    </w:p>
    <w:p>
      <w:pPr>
        <w:pStyle w:val="FirstParagraph"/>
      </w:pPr>
      <w:r>
        <w:rPr>
          <w:b/>
          <w:bCs/>
        </w:rPr>
        <w:t xml:space="preserve">Cosa NON fa.</w:t>
      </w:r>
      <w:r>
        <w:t xml:space="preserve"> </w:t>
      </w:r>
      <w:r>
        <w:t xml:space="preserve">Non è una tecnica osteopatica, e il suo effetto non è separabile dal contatto e dall’attenzione. E agisce sullo stesso tessuto della Leva 1: se lei si automassaggia fra una seduta e l’altra, il guadagno sulla soglia della parete appartiene alla ripetizione, non alla tua mano. È l’acqua data alle piante ogni giorno: chi passa una volta a settimana non si intesta la fioritura.</w:t>
      </w:r>
    </w:p>
    <w:p>
      <w:pPr>
        <w:pStyle w:val="BodyText"/>
      </w:pPr>
      <w:r>
        <w:rPr>
          <w:i/>
          <w:iCs/>
        </w:rPr>
        <w:t xml:space="preserve">Come e quando consegnare questi strumenti alla tua paziente sta nella Procedura.</w:t>
      </w:r>
    </w:p>
    <w:p>
      <w:pPr>
        <w:pStyle w:val="BodyText"/>
      </w:pPr>
      <w:r>
        <w:rPr>
          <w:b/>
          <w:bCs/>
        </w:rPr>
        <w:t xml:space="preserve">Le tre cose da ricordare, più una</w:t>
      </w:r>
    </w:p>
    <w:p>
      <w:pPr>
        <w:pStyle w:val="Compact"/>
        <w:numPr>
          <w:ilvl w:val="0"/>
          <w:numId w:val="1024"/>
        </w:numPr>
      </w:pPr>
      <w:r>
        <w:t xml:space="preserve">L’effetto della singola seduta e quello della ripetizione sono cose diverse: l’esercizio è un guadagno di mese, e attribuirlo a una tecnica porta a concludere che</w:t>
      </w:r>
      <w:r>
        <w:t xml:space="preserve"> </w:t>
      </w:r>
      <w:r>
        <w:t xml:space="preserve">“su questa condizione non funziona niente”</w:t>
      </w:r>
      <w:r>
        <w:t xml:space="preserve">.</w:t>
      </w:r>
    </w:p>
    <w:p>
      <w:pPr>
        <w:pStyle w:val="Compact"/>
        <w:numPr>
          <w:ilvl w:val="0"/>
          <w:numId w:val="1024"/>
        </w:numPr>
      </w:pPr>
      <w:r>
        <w:t xml:space="preserve">Il calore non arriva all’utero: agisce sullo stesso ingresso segmentario della tua mano, nelle ore in cui il crampo c’è. È quello che la paziente già usa, e il tuo contributo è dirle che ha ragione.</w:t>
      </w:r>
    </w:p>
    <w:p>
      <w:pPr>
        <w:pStyle w:val="Compact"/>
        <w:numPr>
          <w:ilvl w:val="0"/>
          <w:numId w:val="1024"/>
        </w:numPr>
      </w:pPr>
      <w:r>
        <w:t xml:space="preserve">Le quattro leve di questo capitolo si insegnano, non si rivendicano.</w:t>
      </w:r>
    </w:p>
    <w:p>
      <w:pPr>
        <w:pStyle w:val="Compact"/>
        <w:numPr>
          <w:ilvl w:val="0"/>
          <w:numId w:val="1024"/>
        </w:numPr>
      </w:pPr>
      <w:r>
        <w:rPr>
          <w:b/>
          <w:bCs/>
        </w:rPr>
        <w:t xml:space="preserve">Perché ci sei tu.</w:t>
      </w:r>
      <w:r>
        <w:t xml:space="preserve"> </w:t>
      </w:r>
      <w:r>
        <w:t xml:space="preserve">L’esercizio regolare riduce il dolore mestruale di circa 25 mm su una scala di 100, nei nove studi randomizzati che lo confrontano con il non trattamento su 632 donne (Armour,</w:t>
      </w:r>
      <w:r>
        <w:t xml:space="preserve"> </w:t>
      </w:r>
      <w:r>
        <w:rPr>
          <w:i/>
          <w:iCs/>
        </w:rPr>
        <w:t xml:space="preserve">Cochrane</w:t>
      </w:r>
      <w:r>
        <w:t xml:space="preserve"> </w:t>
      </w:r>
      <w:r>
        <w:t xml:space="preserve">2019 — PMID 31538328). Questo ti autorizza a insegnare la leva con le prove migliori dell’intero documento a una paziente a cui nessuno l’ha proposta. Non ti autorizza a chiamarla trattamento osteopatico: non lo è, e negli studi non l’ha erogata un osteopata.</w:t>
      </w:r>
    </w:p>
    <w:p>
      <w:r>
        <w:pict>
          <v:rect style="width:0;height:1.5pt" o:hralign="center" o:hrstd="t" o:hr="t"/>
        </w:pict>
      </w:r>
    </w:p>
    <w:bookmarkEnd w:id="81"/>
    <w:bookmarkEnd w:id="82"/>
    <w:bookmarkStart w:id="87" w:name="capitolo-13-cosa-dire-alla-paziente"/>
    <w:p>
      <w:pPr>
        <w:pStyle w:val="Heading2"/>
      </w:pPr>
      <w:r>
        <w:t xml:space="preserve">Capitolo 13 — Cosa dire alla paziente</w:t>
      </w:r>
    </w:p>
    <w:p>
      <w:pPr>
        <w:pStyle w:val="BlockText"/>
      </w:pPr>
      <w:r>
        <w:rPr>
          <w:b/>
          <w:bCs/>
        </w:rPr>
        <w:t xml:space="preserve">In una riga:</w:t>
      </w:r>
      <w:r>
        <w:t xml:space="preserve"> </w:t>
      </w:r>
      <w:r>
        <w:t xml:space="preserve">la frase che le devi dare non promette che il dolore sparisca — dice cosa succede e come si misura.</w:t>
      </w:r>
    </w:p>
    <w:bookmarkStart w:id="83" w:name="lo-script"/>
    <w:p>
      <w:pPr>
        <w:pStyle w:val="Heading3"/>
      </w:pPr>
      <w:r>
        <w:t xml:space="preserve">Lo script</w:t>
      </w:r>
    </w:p>
    <w:p>
      <w:pPr>
        <w:pStyle w:val="FirstParagraph"/>
      </w:pPr>
      <w:r>
        <w:rPr>
          <w:i/>
          <w:iCs/>
        </w:rPr>
        <w:t xml:space="preserve">“Il tuo utero, quando arriva il ciclo, si stringe, ed è normale che si stringa. Quello che non è la norma è che tu ti debba fermare due giorni al mese. Negli anni la parete della pancia e la zona bassa della schiena imparano a far male insieme all’utero, e continuano anche quando l’utero ha finito. È come un campanello che, a furia di suonare, resta incastrato. Io non lavoro sull’utero: lavoro sul campanello. Non ti prometto che il dolore sparisca. Ti prometto che misuriamo prima e dopo, e che se in due cicli non cambia niente te lo dico.”</w:t>
      </w:r>
    </w:p>
    <w:bookmarkEnd w:id="83"/>
    <w:bookmarkStart w:id="84" w:name="le-obiezioni-e-le-risposte-oneste"/>
    <w:p>
      <w:pPr>
        <w:pStyle w:val="Heading3"/>
      </w:pPr>
      <w:r>
        <w:t xml:space="preserve">Le obiezioni, e le risposte oneste</w:t>
      </w:r>
    </w:p>
    <w:p>
      <w:pPr>
        <w:pStyle w:val="FirstParagraph"/>
      </w:pPr>
      <w:r>
        <w:rPr>
          <w:b/>
          <w:bCs/>
        </w:rPr>
        <w:t xml:space="preserve">“È normale, sono fatta così.”</w:t>
      </w:r>
      <w:r>
        <w:t xml:space="preserve"> </w:t>
      </w:r>
      <w:r>
        <w:rPr>
          <w:i/>
          <w:iCs/>
        </w:rPr>
        <w:t xml:space="preserve">“Che il ciclo si senta è comune. Che ti cancelli due giorni al mese non è la norma: il dolore che ferma le attività riguarda una minoranza. Vale la pena capire quanta parte di quello che senti è meccanica, perché quella si può misurare.”</w:t>
      </w:r>
    </w:p>
    <w:p>
      <w:pPr>
        <w:pStyle w:val="BodyText"/>
      </w:pPr>
      <w:r>
        <w:rPr>
          <w:b/>
          <w:bCs/>
        </w:rPr>
        <w:t xml:space="preserve">“Il ginecologo dice che è tutto a posto.”</w:t>
      </w:r>
      <w:r>
        <w:t xml:space="preserve"> </w:t>
      </w:r>
      <w:r>
        <w:rPr>
          <w:i/>
          <w:iCs/>
        </w:rPr>
        <w:t xml:space="preserve">“È un’informazione importante e va tenuta. Ma un’ecografia normale esclude molte cose e non le esclude tutte: le linee guida europee lo scrivono chiaramente. Io lavoro sulla parte meccanica che ho trovato e intanto scrivo al tuo medico quello che ho visto: io ho qualcosa da trattare, e questo non vuol dire che sappiamo cos’hai.”</w:t>
      </w:r>
    </w:p>
    <w:p>
      <w:pPr>
        <w:pStyle w:val="BodyText"/>
      </w:pPr>
      <w:r>
        <w:rPr>
          <w:b/>
          <w:bCs/>
        </w:rPr>
        <w:t xml:space="preserve">“Mi imbarazza la zona.”</w:t>
      </w:r>
      <w:r>
        <w:t xml:space="preserve"> </w:t>
      </w:r>
      <w:r>
        <w:rPr>
          <w:i/>
          <w:iCs/>
        </w:rPr>
        <w:t xml:space="preserve">“Si lavora dall’esterno, vestita comoda, e ti dico cosa faccio prima di farlo. Nessuna manovra interna, né oggi né mai: è fuori da quello che un osteopata può fare. Se vuoi fermarti, ci si ferma.”</w:t>
      </w:r>
    </w:p>
    <w:p>
      <w:pPr>
        <w:pStyle w:val="BodyText"/>
      </w:pPr>
      <w:r>
        <w:rPr>
          <w:b/>
          <w:bCs/>
        </w:rPr>
        <w:t xml:space="preserve">“Prendo già qualcosa nei giorni peggiori.”</w:t>
      </w:r>
      <w:r>
        <w:t xml:space="preserve"> </w:t>
      </w:r>
      <w:r>
        <w:rPr>
          <w:i/>
          <w:iCs/>
        </w:rPr>
        <w:t xml:space="preserve">“E ha senso, secondo le indicazioni del tuo medico. Io non tocco quel capitolo: non è mio. Quello che facciamo qui è lavorare perché quei giorni pesino meno in partenza.”</w:t>
      </w:r>
    </w:p>
    <w:bookmarkEnd w:id="84"/>
    <w:bookmarkStart w:id="85" w:name="X5a8c380f5dc8939b46e8aa6f7d91e6e8ab287f4"/>
    <w:p>
      <w:pPr>
        <w:pStyle w:val="Heading3"/>
      </w:pPr>
      <w:r>
        <w:t xml:space="preserve">La rete di sicurezza, che non è un’obiezione sua ma una cosa che le dici tu</w:t>
      </w:r>
    </w:p>
    <w:p>
      <w:pPr>
        <w:pStyle w:val="FirstParagraph"/>
      </w:pPr>
      <w:r>
        <w:t xml:space="preserve">Il GIALLO dura fino a due cicli —</w:t>
      </w:r>
      <w:r>
        <w:t xml:space="preserve"> </w:t>
      </w:r>
      <w:r>
        <w:rPr>
          <w:b/>
          <w:bCs/>
        </w:rPr>
        <w:t xml:space="preserve">quattro settimane se prioritario</w:t>
      </w:r>
      <w:r>
        <w:t xml:space="preserve"> </w:t>
      </w:r>
      <w:r>
        <w:t xml:space="preserve">— e quello che può succedere succede a casa. Prima che se ne vada:</w:t>
      </w:r>
    </w:p>
    <w:p>
      <w:pPr>
        <w:pStyle w:val="BodyText"/>
      </w:pPr>
      <w:r>
        <w:rPr>
          <w:i/>
          <w:iCs/>
        </w:rPr>
        <w:t xml:space="preserve">“Ci sono quattro situazioni in cui non mi chiami e non aspetti la prossima seduta. Un dolore pelvico violentissimo e diverso da quello che conosci. Un dolore che parte da un lato all’improvviso, con vomito. La febbre con perdite maleodoranti. E un dolore con un test di gravidanza positivo, o con un ritardo. In quei casi vai in pronto soccorso.”</w:t>
      </w:r>
    </w:p>
    <w:p>
      <w:pPr>
        <w:pStyle w:val="BodyText"/>
      </w:pPr>
      <w:r>
        <w:t xml:space="preserve">Sono le prime quattro righe della tabella, tradotte per lei: la stessa conoscenza, con l’altro destinatario.</w:t>
      </w:r>
    </w:p>
    <w:bookmarkEnd w:id="85"/>
    <w:bookmarkStart w:id="86" w:name="cosa-non-promettere-mai"/>
    <w:p>
      <w:pPr>
        <w:pStyle w:val="Heading3"/>
      </w:pPr>
      <w:r>
        <w:t xml:space="preserve">Cosa non promettere mai</w:t>
      </w:r>
    </w:p>
    <w:p>
      <w:pPr>
        <w:pStyle w:val="FirstParagraph"/>
      </w:pPr>
      <w:r>
        <w:t xml:space="preserve">Non promettere che il dolore sparisca, né che le pastiglie diminuiscano: la prima è un esito, la seconda è una decisione di un altro professionista. Non dire che</w:t>
      </w:r>
      <w:r>
        <w:t xml:space="preserve"> </w:t>
      </w:r>
      <w:r>
        <w:t xml:space="preserve">“gli studi confermano”</w:t>
      </w:r>
      <w:r>
        <w:t xml:space="preserve"> </w:t>
      </w:r>
      <w:r>
        <w:t xml:space="preserve">che la terapia manuale funziona sul dolore mestruale: la sintesi più ampia non lo trova. Una paziente che lo scopre da sola smette di credere anche a quello che le hai detto di vero. Non dire mai che l’ecografia normale esclude tutto.</w:t>
      </w:r>
    </w:p>
    <w:p>
      <w:pPr>
        <w:pStyle w:val="BodyText"/>
      </w:pPr>
      <w:r>
        <w:rPr>
          <w:b/>
          <w:bCs/>
        </w:rPr>
        <w:t xml:space="preserve">Le tre cose da ricordare, più una</w:t>
      </w:r>
    </w:p>
    <w:p>
      <w:pPr>
        <w:pStyle w:val="Compact"/>
        <w:numPr>
          <w:ilvl w:val="0"/>
          <w:numId w:val="1025"/>
        </w:numPr>
      </w:pPr>
      <w:r>
        <w:t xml:space="preserve">La metafora del campanello incastrato spiega in una riga perché lavori sulla pancia e non sull’utero.</w:t>
      </w:r>
    </w:p>
    <w:p>
      <w:pPr>
        <w:pStyle w:val="Compact"/>
        <w:numPr>
          <w:ilvl w:val="0"/>
          <w:numId w:val="1025"/>
        </w:numPr>
      </w:pPr>
      <w:r>
        <w:t xml:space="preserve">La convivenza — ho qualcosa da trattare, non so cos’hai — va detta con queste parole, e ricompare identica nel capitolo sui limiti.</w:t>
      </w:r>
    </w:p>
    <w:p>
      <w:pPr>
        <w:pStyle w:val="Compact"/>
        <w:numPr>
          <w:ilvl w:val="0"/>
          <w:numId w:val="1025"/>
        </w:numPr>
      </w:pPr>
      <w:r>
        <w:t xml:space="preserve">Il tema dei farmaci si chiude sempre con la stessa frase: non è mio.</w:t>
      </w:r>
    </w:p>
    <w:p>
      <w:pPr>
        <w:pStyle w:val="Compact"/>
        <w:numPr>
          <w:ilvl w:val="0"/>
          <w:numId w:val="1025"/>
        </w:numPr>
      </w:pPr>
      <w:r>
        <w:rPr>
          <w:b/>
          <w:bCs/>
        </w:rPr>
        <w:t xml:space="preserve">Perché ci sei tu.</w:t>
      </w:r>
      <w:r>
        <w:t xml:space="preserve"> </w:t>
      </w:r>
      <w:r>
        <w:t xml:space="preserve">Nella terapia manuale per il dolore muscolo-scheletrico l’88% dell’effetto immediato della mobilizzazione sull’intensità del dolore non è attribuibile all’effetto specifico dell’intervento (Ezzatvar,</w:t>
      </w:r>
      <w:r>
        <w:t xml:space="preserve"> </w:t>
      </w:r>
      <w:r>
        <w:rPr>
          <w:i/>
          <w:iCs/>
        </w:rPr>
        <w:t xml:space="preserve">JOSPT</w:t>
      </w:r>
      <w:r>
        <w:t xml:space="preserve"> </w:t>
      </w:r>
      <w:r>
        <w:t xml:space="preserve">2024 — PMID 38602164). Questo ti autorizza a curare il tempo, l’ascolto e la spiegazione come parte del lavoro, non come contorno. Non ti autorizza a chiamarli tecnica, né a farne un argomento di vendita.</w:t>
      </w:r>
    </w:p>
    <w:p>
      <w:r>
        <w:pict>
          <v:rect style="width:0;height:1.5pt" o:hralign="center" o:hrstd="t" o:hr="t"/>
        </w:pict>
      </w:r>
    </w:p>
    <w:bookmarkEnd w:id="86"/>
    <w:bookmarkEnd w:id="87"/>
    <w:bookmarkStart w:id="89" w:name="capitolo-14-cosa-fare-adesso"/>
    <w:p>
      <w:pPr>
        <w:pStyle w:val="Heading2"/>
      </w:pPr>
      <w:r>
        <w:t xml:space="preserve">Capitolo 14 — Cosa fare adesso</w:t>
      </w:r>
    </w:p>
    <w:p>
      <w:pPr>
        <w:pStyle w:val="BlockText"/>
      </w:pPr>
      <w:r>
        <w:rPr>
          <w:b/>
          <w:bCs/>
        </w:rPr>
        <w:t xml:space="preserve">In una riga:</w:t>
      </w:r>
      <w:r>
        <w:t xml:space="preserve"> </w:t>
      </w:r>
      <w:r>
        <w:t xml:space="preserve">la donna che hai davanti ha un generatore che non tocchi e una parete che puoi misurare: il lavoro sta tutto nel non confondere i due.</w:t>
      </w:r>
    </w:p>
    <w:p>
      <w:pPr>
        <w:pStyle w:val="FirstParagraph"/>
      </w:pPr>
      <w:r>
        <w:t xml:space="preserve">Ti arriva una donna con vent’anni di dolore e una frase in tasca che le ha impedito di cercare. Il crampo nasce da una chimica che le tue mani non raggiungono. E nel frattempo quel crampo, ripetuto per duecento cicli, ha lasciato nella parete della pancia e nella zona lombosacrale un’alterazione che si misura e che correla con quanto fa male. Quello è il tuo bersaglio, e lo è perché è misurato, non perché è comodo. Sopra c’è un livello di attivazione che decide quanto di quel segnale diventa sintomo. Attorno c’è un percorso che le ha dato una ricetta e un’ecografia, e nessuno che le abbia spiegato perché fa male. Il tuo campo finisce dove comincia una pendenza, e lì il tuo atto clinico più importante non è trattare: è scrivere al ginecologo.</w:t>
      </w:r>
    </w:p>
    <w:bookmarkStart w:id="88" w:name="le-tre-cose-che-cambi-da-lunedì"/>
    <w:p>
      <w:pPr>
        <w:pStyle w:val="Heading3"/>
      </w:pPr>
      <w:r>
        <w:t xml:space="preserve">Le tre cose che cambi da lunedì</w:t>
      </w:r>
    </w:p>
    <w:p>
      <w:pPr>
        <w:pStyle w:val="FirstParagraph"/>
      </w:pPr>
      <w:r>
        <w:rPr>
          <w:b/>
          <w:bCs/>
        </w:rPr>
        <w:t xml:space="preserve">Guarda la parete addominale.</w:t>
      </w:r>
      <w:r>
        <w:t xml:space="preserve"> </w:t>
      </w:r>
      <w:r>
        <w:t xml:space="preserve">Palpa il retto dell’addome sotto l’ombelico, in fase follicolare, in ogni donna che arriva per dolore mestruale, e sempre</w:t>
      </w:r>
      <w:r>
        <w:t xml:space="preserve"> </w:t>
      </w:r>
      <w:r>
        <w:rPr>
          <w:b/>
          <w:bCs/>
        </w:rPr>
        <w:t xml:space="preserve">dopo le quattro domande della Leva 1</w:t>
      </w:r>
      <w:r>
        <w:t xml:space="preserve">. Poi fai la domanda che discrimina:</w:t>
      </w:r>
      <w:r>
        <w:t xml:space="preserve"> </w:t>
      </w:r>
      <w:r>
        <w:rPr>
          <w:i/>
          <w:iCs/>
        </w:rPr>
        <w:t xml:space="preserve">“questo è il suo dolore, o è un dolore nuovo?”</w:t>
      </w:r>
      <w:r>
        <w:t xml:space="preserve">.</w:t>
      </w:r>
    </w:p>
    <w:p>
      <w:pPr>
        <w:pStyle w:val="BodyText"/>
      </w:pPr>
      <w:r>
        <w:rPr>
          <w:b/>
          <w:bCs/>
        </w:rPr>
        <w:t xml:space="preserve">Dì la convivenza.</w:t>
      </w:r>
      <w:r>
        <w:t xml:space="preserve"> </w:t>
      </w:r>
      <w:r>
        <w:rPr>
          <w:i/>
          <w:iCs/>
        </w:rPr>
        <w:t xml:space="preserve">“Io ho qualcosa da trattare, e questo non vuol dire che sappiamo cos’hai. Un’ecografia normale non ha escluso tutto.”</w:t>
      </w:r>
      <w:r>
        <w:t xml:space="preserve"> </w:t>
      </w:r>
      <w:r>
        <w:t xml:space="preserve">Con queste parole, alla prima seduta, prima di toccare.</w:t>
      </w:r>
    </w:p>
    <w:p>
      <w:pPr>
        <w:pStyle w:val="BodyText"/>
      </w:pPr>
      <w:r>
        <w:rPr>
          <w:b/>
          <w:bCs/>
        </w:rPr>
        <w:t xml:space="preserve">Smetti di promettere il crampo.</w:t>
      </w:r>
      <w:r>
        <w:t xml:space="preserve"> </w:t>
      </w:r>
      <w:r>
        <w:t xml:space="preserve">Nasce da una pressione che nessuna tua mano raggiunge: prometti la misura e la revisione a due cicli, e niente altro.</w:t>
      </w:r>
    </w:p>
    <w:p>
      <w:pPr>
        <w:pStyle w:val="BodyText"/>
      </w:pPr>
      <w:r>
        <w:rPr>
          <w:b/>
          <w:bCs/>
        </w:rPr>
        <w:t xml:space="preserve">Quando sei autonomo su questa condizione.</w:t>
      </w:r>
      <w:r>
        <w:t xml:space="preserve"> </w:t>
      </w:r>
      <w:r>
        <w:t xml:space="preserve">La prova del Capitolo 0 è la verifica di lettura; questa è la soglia, e si misura sui casi difficili. Quando distingui senza esitare la parete iperalgesica dalla soglia abbassata diffusa, perché sul secondo quadro il carico locale non paga. Quando sai dire, davanti a un dolore fuori dal ciclo, se è un’uscita o un segnale di piano. Quando sai dire a un medico cosa possiamo e cosa non possiamo affermare, senza tornare a rileggere «Cosa dice la scienza».</w:t>
      </w:r>
    </w:p>
    <w:p>
      <w:pPr>
        <w:pStyle w:val="BodyText"/>
      </w:pPr>
      <w:r>
        <w:rPr>
          <w:i/>
          <w:iCs/>
        </w:rPr>
        <w:t xml:space="preserve">Non arrivi con una tecnica che nessun altro ha. Arrivi con due cose che nel percorso di questa donna non esistono: un tessuto che qualcuno guarda, e il tempo per spiegarle perché fa male. Sono meno di quanto vorresti, e più di tutto quello che le è stato offerto in vent’anni.</w:t>
      </w:r>
    </w:p>
    <w:p>
      <w:pPr>
        <w:pStyle w:val="BodyText"/>
      </w:pPr>
      <w:r>
        <w:rPr>
          <w:b/>
          <w:bCs/>
        </w:rPr>
        <w:t xml:space="preserve">Le tre cose da ricordare, più una</w:t>
      </w:r>
    </w:p>
    <w:p>
      <w:pPr>
        <w:pStyle w:val="Compact"/>
        <w:numPr>
          <w:ilvl w:val="0"/>
          <w:numId w:val="1026"/>
        </w:numPr>
      </w:pPr>
      <w:r>
        <w:t xml:space="preserve">Guarda la parete addominale in ogni donna che arriva per dolore mestruale, dopo le quattro domande della Leva 1.</w:t>
      </w:r>
    </w:p>
    <w:p>
      <w:pPr>
        <w:pStyle w:val="Compact"/>
        <w:numPr>
          <w:ilvl w:val="0"/>
          <w:numId w:val="1026"/>
        </w:numPr>
      </w:pPr>
      <w:r>
        <w:t xml:space="preserve">Dì la convivenza alla prima seduta, con quelle parole, prima di toccare.</w:t>
      </w:r>
    </w:p>
    <w:p>
      <w:pPr>
        <w:pStyle w:val="Compact"/>
        <w:numPr>
          <w:ilvl w:val="0"/>
          <w:numId w:val="1026"/>
        </w:numPr>
      </w:pPr>
      <w:r>
        <w:t xml:space="preserve">Smetti di promettere il crampo: prometti la misura e la revisione a due cicli.</w:t>
      </w:r>
    </w:p>
    <w:p>
      <w:pPr>
        <w:pStyle w:val="Compact"/>
        <w:numPr>
          <w:ilvl w:val="0"/>
          <w:numId w:val="1026"/>
        </w:numPr>
      </w:pPr>
      <w:r>
        <w:rPr>
          <w:b/>
          <w:bCs/>
        </w:rPr>
        <w:t xml:space="preserve">Perché ci sei tu.</w:t>
      </w:r>
      <w:r>
        <w:t xml:space="preserve"> </w:t>
      </w:r>
      <w:r>
        <w:t xml:space="preserve">Un solo studio su questa condizione ha controllato a tre mesi. Dolore, frequenza dei sintomi e distress restano migliori nel gruppo trattato, ma la quota di donne che si sente migliorata non è più diversa fra i gruppi. Gli autori concludono che il vantaggio tende a svanire quando l’applicazione si interrompe (Özgül,</w:t>
      </w:r>
      <w:r>
        <w:t xml:space="preserve"> </w:t>
      </w:r>
      <w:r>
        <w:rPr>
          <w:i/>
          <w:iCs/>
        </w:rPr>
        <w:t xml:space="preserve">Reprod Sci</w:t>
      </w:r>
      <w:r>
        <w:t xml:space="preserve"> </w:t>
      </w:r>
      <w:r>
        <w:t xml:space="preserve">2023, 38 donne — PMID 35556238). Questo ti autorizza a costruire il piano attorno a ciò che la paziente continua a fare da sola. Non ti autorizza a vendere un ciclo di sedute come un risultato che resta.</w:t>
      </w:r>
    </w:p>
    <w:p>
      <w:r>
        <w:pict>
          <v:rect style="width:0;height:1.5pt" o:hralign="center" o:hrstd="t" o:hr="t"/>
        </w:pict>
      </w:r>
    </w:p>
    <w:bookmarkEnd w:id="88"/>
    <w:bookmarkEnd w:id="89"/>
    <w:bookmarkStart w:id="90" w:name="appendice-a-glossario"/>
    <w:p>
      <w:pPr>
        <w:pStyle w:val="Heading2"/>
      </w:pPr>
      <w:r>
        <w:t xml:space="preserve">Appendice A — Glossario</w:t>
      </w:r>
    </w:p>
    <w:p>
      <w:pPr>
        <w:pStyle w:val="FirstParagraph"/>
      </w:pPr>
      <w:r>
        <w:rPr>
          <w:b/>
          <w:bCs/>
        </w:rPr>
        <w:t xml:space="preserve">Adenomiosi</w:t>
      </w:r>
      <w:r>
        <w:t xml:space="preserve"> </w:t>
      </w:r>
      <w:r>
        <w:t xml:space="preserve">— presenza di tessuto endometriale dentro la parete muscolare dell’utero; causa di dismenorrea secondaria.</w:t>
      </w:r>
    </w:p>
    <w:p>
      <w:pPr>
        <w:pStyle w:val="BodyText"/>
      </w:pPr>
      <w:r>
        <w:rPr>
          <w:b/>
          <w:bCs/>
        </w:rPr>
        <w:t xml:space="preserve">Algometro</w:t>
      </w:r>
      <w:r>
        <w:t xml:space="preserve"> </w:t>
      </w:r>
      <w:r>
        <w:t xml:space="preserve">— strumento che applica una pressione crescente e misura a che valore la persona dichiara dolore.</w:t>
      </w:r>
    </w:p>
    <w:p>
      <w:pPr>
        <w:pStyle w:val="BodyText"/>
      </w:pPr>
      <w:r>
        <w:rPr>
          <w:b/>
          <w:bCs/>
        </w:rPr>
        <w:t xml:space="preserve">Anomalia ostruttiva del tratto riproduttivo</w:t>
      </w:r>
      <w:r>
        <w:t xml:space="preserve"> </w:t>
      </w:r>
      <w:r>
        <w:t xml:space="preserve">— malformazione imenale, vaginale o mulleriana che ostacola il deflusso mestruale; causa dismenorrea secondaria severa fin dal menarca ed è un quadro chirurgico.</w:t>
      </w:r>
    </w:p>
    <w:p>
      <w:pPr>
        <w:pStyle w:val="BodyText"/>
      </w:pPr>
      <w:r>
        <w:rPr>
          <w:b/>
          <w:bCs/>
        </w:rPr>
        <w:t xml:space="preserve">Carenza marziale</w:t>
      </w:r>
      <w:r>
        <w:t xml:space="preserve"> </w:t>
      </w:r>
      <w:r>
        <w:t xml:space="preserve">— riduzione delle riserve di ferro, con o senza anemia; conseguenza attesa di un flusso mestruale abbondante.</w:t>
      </w:r>
    </w:p>
    <w:p>
      <w:pPr>
        <w:pStyle w:val="BodyText"/>
      </w:pPr>
      <w:r>
        <w:rPr>
          <w:b/>
          <w:bCs/>
        </w:rPr>
        <w:t xml:space="preserve">Catena</w:t>
      </w:r>
      <w:r>
        <w:t xml:space="preserve"> </w:t>
      </w:r>
      <w:r>
        <w:t xml:space="preserve">—</w:t>
      </w:r>
      <w:r>
        <w:t xml:space="preserve"> </w:t>
      </w:r>
      <w:r>
        <w:rPr>
          <w:i/>
          <w:iCs/>
        </w:rPr>
        <w:t xml:space="preserve">(termine del metodo)</w:t>
      </w:r>
      <w:r>
        <w:t xml:space="preserve"> </w:t>
      </w:r>
      <w:r>
        <w:t xml:space="preserve">un insieme di strutture collegate che si influenzano a distanza, per continuità meccanica o per via nervosa. Spiega perché un problema in un punto può manifestarsi in un altro.</w:t>
      </w:r>
    </w:p>
    <w:p>
      <w:pPr>
        <w:pStyle w:val="BodyText"/>
      </w:pPr>
      <w:r>
        <w:rPr>
          <w:b/>
          <w:bCs/>
        </w:rPr>
        <w:t xml:space="preserve">Cecità (accecare, accecabile)</w:t>
      </w:r>
      <w:r>
        <w:t xml:space="preserve"> </w:t>
      </w:r>
      <w:r>
        <w:t xml:space="preserve">— in uno studio, fare in modo che la partecipante non sappia se sta ricevendo il trattamento vero o quello finto. Alcuni interventi non sono accecabili: il calore, il tocco.</w:t>
      </w:r>
    </w:p>
    <w:p>
      <w:pPr>
        <w:pStyle w:val="BodyText"/>
      </w:pPr>
      <w:r>
        <w:rPr>
          <w:b/>
          <w:bCs/>
        </w:rPr>
        <w:t xml:space="preserve">Chiave di volta</w:t>
      </w:r>
      <w:r>
        <w:t xml:space="preserve"> </w:t>
      </w:r>
      <w:r>
        <w:t xml:space="preserve">—</w:t>
      </w:r>
      <w:r>
        <w:t xml:space="preserve"> </w:t>
      </w:r>
      <w:r>
        <w:rPr>
          <w:i/>
          <w:iCs/>
        </w:rPr>
        <w:t xml:space="preserve">(vocabolario di questo documento)</w:t>
      </w:r>
      <w:r>
        <w:t xml:space="preserve"> </w:t>
      </w:r>
      <w:r>
        <w:t xml:space="preserve">la disfunzione che, trattata, fa cedere anche il resto del quadro.</w:t>
      </w:r>
    </w:p>
    <w:p>
      <w:pPr>
        <w:pStyle w:val="BodyText"/>
      </w:pPr>
      <w:r>
        <w:rPr>
          <w:b/>
          <w:bCs/>
        </w:rPr>
        <w:t xml:space="preserve">Ciclossigenasi (COX)</w:t>
      </w:r>
      <w:r>
        <w:t xml:space="preserve"> </w:t>
      </w:r>
      <w:r>
        <w:t xml:space="preserve">— enzima che trasforma gli acidi grassi in prostaglandine; è il bersaglio dei farmaci antinfiammatori non steroidei.</w:t>
      </w:r>
    </w:p>
    <w:p>
      <w:pPr>
        <w:pStyle w:val="BodyText"/>
      </w:pPr>
      <w:r>
        <w:rPr>
          <w:b/>
          <w:bCs/>
        </w:rPr>
        <w:t xml:space="preserve">Compenso</w:t>
      </w:r>
      <w:r>
        <w:t xml:space="preserve"> </w:t>
      </w:r>
      <w:r>
        <w:t xml:space="preserve">—</w:t>
      </w:r>
      <w:r>
        <w:t xml:space="preserve"> </w:t>
      </w:r>
      <w:r>
        <w:rPr>
          <w:i/>
          <w:iCs/>
        </w:rPr>
        <w:t xml:space="preserve">(termine del metodo)</w:t>
      </w:r>
      <w:r>
        <w:t xml:space="preserve"> </w:t>
      </w:r>
      <w:r>
        <w:t xml:space="preserve">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Conduttanza cutanea</w:t>
      </w:r>
      <w:r>
        <w:t xml:space="preserve"> </w:t>
      </w:r>
      <w:r>
        <w:t xml:space="preserve">— misura di quanto la pelle suda; indice dell’attivazione simpatica sudomotoria, non del tono vagale.</w:t>
      </w:r>
    </w:p>
    <w:p>
      <w:pPr>
        <w:pStyle w:val="BodyText"/>
      </w:pPr>
      <w:r>
        <w:rPr>
          <w:b/>
          <w:bCs/>
        </w:rPr>
        <w:t xml:space="preserve">Controllo ad attenzione equivalente</w:t>
      </w:r>
      <w:r>
        <w:t xml:space="preserve"> </w:t>
      </w:r>
      <w:r>
        <w:t xml:space="preserve">— gruppo di confronto che riceve lo stesso tempo e la stessa attenzione, senza l’ingrediente attivo.</w:t>
      </w:r>
    </w:p>
    <w:p>
      <w:pPr>
        <w:pStyle w:val="BodyText"/>
      </w:pPr>
      <w:r>
        <w:rPr>
          <w:b/>
          <w:bCs/>
        </w:rPr>
        <w:t xml:space="preserve">Convergenza viscero-somatica</w:t>
      </w:r>
      <w:r>
        <w:t xml:space="preserve"> </w:t>
      </w:r>
      <w:r>
        <w:t xml:space="preserve">— il fatto che segnali provenienti da un organo e segnali provenienti da muscoli e pelle dello stesso segmento arrivino allo stesso neurone del midollo.</w:t>
      </w:r>
    </w:p>
    <w:p>
      <w:pPr>
        <w:pStyle w:val="BodyText"/>
      </w:pPr>
      <w:r>
        <w:rPr>
          <w:b/>
          <w:bCs/>
        </w:rPr>
        <w:t xml:space="preserve">DIMOSTRATO</w:t>
      </w:r>
      <w:r>
        <w:t xml:space="preserve"> </w:t>
      </w:r>
      <w:r>
        <w:t xml:space="preserve">— etichetta di solidità:</w:t>
      </w:r>
      <w:r>
        <w:t xml:space="preserve"> </w:t>
      </w:r>
      <w:r>
        <w:rPr>
          <w:i/>
          <w:iCs/>
        </w:rPr>
        <w:t xml:space="preserve">(studi sull’uomo, solidi)</w:t>
      </w:r>
      <w:r>
        <w:t xml:space="preserve">.</w:t>
      </w:r>
    </w:p>
    <w:p>
      <w:pPr>
        <w:pStyle w:val="BodyText"/>
      </w:pPr>
      <w:r>
        <w:rPr>
          <w:b/>
          <w:bCs/>
        </w:rPr>
        <w:t xml:space="preserve">Disfunzione somatica</w:t>
      </w:r>
      <w:r>
        <w:t xml:space="preserve"> </w:t>
      </w:r>
      <w:r>
        <w:t xml:space="preserve">—</w:t>
      </w:r>
      <w:r>
        <w:t xml:space="preserve"> </w:t>
      </w:r>
      <w:r>
        <w:rPr>
          <w:i/>
          <w:iCs/>
        </w:rPr>
        <w:t xml:space="preserve">(termine del metodo)</w:t>
      </w:r>
      <w:r>
        <w:t xml:space="preserve"> </w:t>
      </w:r>
      <w:r>
        <w:t xml:space="preserve">un’alterazione della funzione di una parte del sistema muscolo-scheletrico e delle strutture collegate, riconoscibile all’esame manuale. È una descrizione di funzione, non una diagnosi di malattia.</w:t>
      </w:r>
    </w:p>
    <w:p>
      <w:pPr>
        <w:pStyle w:val="BodyText"/>
      </w:pPr>
      <w:r>
        <w:rPr>
          <w:b/>
          <w:bCs/>
        </w:rPr>
        <w:t xml:space="preserve">Dismenorrea</w:t>
      </w:r>
      <w:r>
        <w:t xml:space="preserve"> </w:t>
      </w:r>
      <w:r>
        <w:t xml:space="preserve">— dolore mestruale crampiforme di origine uterina.</w:t>
      </w:r>
    </w:p>
    <w:p>
      <w:pPr>
        <w:pStyle w:val="BodyText"/>
      </w:pPr>
      <w:r>
        <w:rPr>
          <w:b/>
          <w:bCs/>
        </w:rPr>
        <w:t xml:space="preserve">Dismenorrea primaria</w:t>
      </w:r>
      <w:r>
        <w:t xml:space="preserve"> </w:t>
      </w:r>
      <w:r>
        <w:t xml:space="preserve">— dolore mestruale in assenza di patologia pelvica dimostrabile.</w:t>
      </w:r>
    </w:p>
    <w:p>
      <w:pPr>
        <w:pStyle w:val="BodyText"/>
      </w:pPr>
      <w:r>
        <w:rPr>
          <w:b/>
          <w:bCs/>
        </w:rPr>
        <w:t xml:space="preserve">Dismenorrea secondaria</w:t>
      </w:r>
      <w:r>
        <w:t xml:space="preserve"> </w:t>
      </w:r>
      <w:r>
        <w:t xml:space="preserve">— dolore mestruale dovuto a una patologia pelvica o a una condizione riconosciuta.</w:t>
      </w:r>
    </w:p>
    <w:p>
      <w:pPr>
        <w:pStyle w:val="BodyText"/>
      </w:pPr>
      <w:r>
        <w:rPr>
          <w:b/>
          <w:bCs/>
        </w:rPr>
        <w:t xml:space="preserve">Dolore nocicettivo</w:t>
      </w:r>
      <w:r>
        <w:t xml:space="preserve"> </w:t>
      </w:r>
      <w:r>
        <w:t xml:space="preserve">— dolore generato da un tessuto che manda segnale, e che ne rispetta il territorio.</w:t>
      </w:r>
    </w:p>
    <w:p>
      <w:pPr>
        <w:pStyle w:val="BodyText"/>
      </w:pPr>
      <w:r>
        <w:rPr>
          <w:b/>
          <w:bCs/>
        </w:rPr>
        <w:t xml:space="preserve">Dolore nociplastico</w:t>
      </w:r>
      <w:r>
        <w:t xml:space="preserve"> </w:t>
      </w:r>
      <w:r>
        <w:t xml:space="preserve">— dolore che nasce da un’elaborazione alterata del segnale, senza un danno tissutale che lo giustifichi: distribuzione ampia, ipersensibilità, comorbilità multiple.</w:t>
      </w:r>
    </w:p>
    <w:p>
      <w:pPr>
        <w:pStyle w:val="BodyText"/>
      </w:pPr>
      <w:r>
        <w:rPr>
          <w:b/>
          <w:bCs/>
        </w:rPr>
        <w:t xml:space="preserve">Endometriosi</w:t>
      </w:r>
      <w:r>
        <w:t xml:space="preserve"> </w:t>
      </w:r>
      <w:r>
        <w:t xml:space="preserve">— presenza di tessuto simile all’endometrio fuori dalla cavità uterina; principale causa di dismenorrea secondaria nella giovane donna.</w:t>
      </w:r>
    </w:p>
    <w:p>
      <w:pPr>
        <w:pStyle w:val="BodyText"/>
      </w:pPr>
      <w:r>
        <w:rPr>
          <w:b/>
          <w:bCs/>
        </w:rPr>
        <w:t xml:space="preserve">Eritema ab igne</w:t>
      </w:r>
      <w:r>
        <w:t xml:space="preserve"> </w:t>
      </w:r>
      <w:r>
        <w:t xml:space="preserve">— chiazza reticolata brunastra da esposizione cronica al calore sotto la soglia dell’ustione; benigna.</w:t>
      </w:r>
    </w:p>
    <w:p>
      <w:pPr>
        <w:pStyle w:val="BodyText"/>
      </w:pPr>
      <w:r>
        <w:rPr>
          <w:b/>
          <w:bCs/>
        </w:rPr>
        <w:t xml:space="preserve">Fibre C</w:t>
      </w:r>
      <w:r>
        <w:t xml:space="preserve"> </w:t>
      </w:r>
      <w:r>
        <w:t xml:space="preserve">— fibre nervose sottili e lente che portano il dolore sordo e profondo, compreso quello viscerale.</w:t>
      </w:r>
    </w:p>
    <w:p>
      <w:pPr>
        <w:pStyle w:val="BodyText"/>
      </w:pPr>
      <w:r>
        <w:rPr>
          <w:b/>
          <w:bCs/>
        </w:rPr>
        <w:t xml:space="preserve">Indici Doppler (pulsatilità, resistenza)</w:t>
      </w:r>
      <w:r>
        <w:t xml:space="preserve"> </w:t>
      </w:r>
      <w:r>
        <w:t xml:space="preserve">— misure ecografiche dell’impedenza al flusso dentro un’arteria: più sono alti, più il sangue incontra resistenza.</w:t>
      </w:r>
    </w:p>
    <w:p>
      <w:pPr>
        <w:pStyle w:val="BodyText"/>
      </w:pPr>
      <w:r>
        <w:rPr>
          <w:b/>
          <w:bCs/>
        </w:rPr>
        <w:t xml:space="preserve">Iperalgesia riferita</w:t>
      </w:r>
      <w:r>
        <w:t xml:space="preserve"> </w:t>
      </w:r>
      <w:r>
        <w:t xml:space="preserve">— abbassamento della soglia del dolore in una zona della parete del corpo che condivide il segmento midollare con un organo dolente.</w:t>
      </w:r>
    </w:p>
    <w:p>
      <w:pPr>
        <w:pStyle w:val="BodyText"/>
      </w:pPr>
      <w:r>
        <w:rPr>
          <w:b/>
          <w:bCs/>
        </w:rPr>
        <w:t xml:space="preserve">IPOTESI</w:t>
      </w:r>
      <w:r>
        <w:t xml:space="preserve"> </w:t>
      </w:r>
      <w:r>
        <w:t xml:space="preserve">— etichetta di solidità:</w:t>
      </w:r>
      <w:r>
        <w:t xml:space="preserve"> </w:t>
      </w:r>
      <w:r>
        <w:rPr>
          <w:i/>
          <w:iCs/>
        </w:rPr>
        <w:t xml:space="preserve">(meccanismo coerente, nessuno studio)</w:t>
      </w:r>
      <w:r>
        <w:t xml:space="preserve">.</w:t>
      </w:r>
    </w:p>
    <w:p>
      <w:pPr>
        <w:pStyle w:val="BodyText"/>
      </w:pPr>
      <w:r>
        <w:rPr>
          <w:b/>
          <w:bCs/>
        </w:rPr>
        <w:t xml:space="preserve">Legamenti utero-sacrali</w:t>
      </w:r>
      <w:r>
        <w:t xml:space="preserve"> </w:t>
      </w:r>
      <w:r>
        <w:t xml:space="preserve">— le due lamine fibrose che collegano il collo dell’utero al sacro.</w:t>
      </w:r>
    </w:p>
    <w:p>
      <w:pPr>
        <w:pStyle w:val="BodyText"/>
      </w:pPr>
      <w:r>
        <w:rPr>
          <w:b/>
          <w:bCs/>
        </w:rPr>
        <w:t xml:space="preserve">Lesione primaria</w:t>
      </w:r>
      <w:r>
        <w:t xml:space="preserve"> </w:t>
      </w:r>
      <w:r>
        <w:t xml:space="preserve">—</w:t>
      </w:r>
      <w:r>
        <w:t xml:space="preserve"> </w:t>
      </w:r>
      <w:r>
        <w:rPr>
          <w:i/>
          <w:iCs/>
        </w:rPr>
        <w:t xml:space="preserve">(termine del metodo)</w:t>
      </w:r>
      <w:r>
        <w:t xml:space="preserve"> </w:t>
      </w:r>
      <w:r>
        <w:t xml:space="preserve">la disfunzione che, nella ricostruzione clinica, ha innescato le altre. È una ricostruzione a posteriori e non una prova: si scrive come ipotesi, mai come fatto.</w:t>
      </w:r>
    </w:p>
    <w:p>
      <w:pPr>
        <w:pStyle w:val="BodyText"/>
      </w:pPr>
      <w:r>
        <w:rPr>
          <w:b/>
          <w:bCs/>
        </w:rPr>
        <w:t xml:space="preserve">Marker</w:t>
      </w:r>
      <w:r>
        <w:t xml:space="preserve"> </w:t>
      </w:r>
      <w:r>
        <w:t xml:space="preserve">—</w:t>
      </w:r>
      <w:r>
        <w:t xml:space="preserve"> </w:t>
      </w:r>
      <w:r>
        <w:rPr>
          <w:i/>
          <w:iCs/>
        </w:rPr>
        <w:t xml:space="preserve">(termine del metodo)</w:t>
      </w:r>
      <w:r>
        <w:t xml:space="preserve"> </w:t>
      </w:r>
      <w:r>
        <w:t xml:space="preserve">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Miometrio</w:t>
      </w:r>
      <w:r>
        <w:t xml:space="preserve"> </w:t>
      </w:r>
      <w:r>
        <w:t xml:space="preserve">— lo strato muscolare della parete dell’utero.</w:t>
      </w:r>
    </w:p>
    <w:p>
      <w:pPr>
        <w:pStyle w:val="BodyText"/>
      </w:pPr>
      <w:r>
        <w:rPr>
          <w:b/>
          <w:bCs/>
        </w:rPr>
        <w:t xml:space="preserve">Modulazione condizionata del dolore</w:t>
      </w:r>
      <w:r>
        <w:t xml:space="preserve"> </w:t>
      </w:r>
      <w:r>
        <w:t xml:space="preserve">— la capacità del sistema nervoso di ridurre la percezione di un dolore quando è presente un secondo stimolo doloroso altrove.</w:t>
      </w:r>
    </w:p>
    <w:p>
      <w:pPr>
        <w:pStyle w:val="BodyText"/>
      </w:pPr>
      <w:r>
        <w:rPr>
          <w:b/>
          <w:bCs/>
        </w:rPr>
        <w:t xml:space="preserve">Modulazione discendente</w:t>
      </w:r>
      <w:r>
        <w:t xml:space="preserve"> </w:t>
      </w:r>
      <w:r>
        <w:t xml:space="preserve">— l’insieme delle vie che, dal cervello verso il midollo, abbassano o alzano il guadagno del segnale doloroso.</w:t>
      </w:r>
    </w:p>
    <w:p>
      <w:pPr>
        <w:pStyle w:val="BodyText"/>
      </w:pPr>
      <w:r>
        <w:rPr>
          <w:b/>
          <w:bCs/>
        </w:rPr>
        <w:t xml:space="preserve">Nervi ipogastrici</w:t>
      </w:r>
      <w:r>
        <w:t xml:space="preserve"> </w:t>
      </w:r>
      <w:r>
        <w:t xml:space="preserve">— le vie nervose lungo cui viaggiano i segnali dolorosi del corpo dell’utero verso i livelli spinali T10-L1.</w:t>
      </w:r>
    </w:p>
    <w:p>
      <w:pPr>
        <w:pStyle w:val="BodyText"/>
      </w:pPr>
      <w:r>
        <w:rPr>
          <w:b/>
          <w:bCs/>
        </w:rPr>
        <w:t xml:space="preserve">Nervi splancnici pelvici (S2-S4)</w:t>
      </w:r>
      <w:r>
        <w:t xml:space="preserve"> </w:t>
      </w:r>
      <w:r>
        <w:t xml:space="preserve">— le vie nervose parasimpatiche che raggiungono collo dell’utero e vagina.</w:t>
      </w:r>
    </w:p>
    <w:p>
      <w:pPr>
        <w:pStyle w:val="BodyText"/>
      </w:pPr>
      <w:r>
        <w:rPr>
          <w:b/>
          <w:bCs/>
        </w:rPr>
        <w:t xml:space="preserve">Otturatore interno</w:t>
      </w:r>
      <w:r>
        <w:t xml:space="preserve"> </w:t>
      </w:r>
      <w:r>
        <w:t xml:space="preserve">— muscolo della parete laterale del bacino, innervato dai livelli sacrali; sede frequente di punti dolorosi in questa condizione.</w:t>
      </w:r>
    </w:p>
    <w:p>
      <w:pPr>
        <w:pStyle w:val="BodyText"/>
      </w:pPr>
      <w:r>
        <w:rPr>
          <w:b/>
          <w:bCs/>
        </w:rPr>
        <w:t xml:space="preserve">Piano / fuori piano</w:t>
      </w:r>
      <w:r>
        <w:t xml:space="preserve"> </w:t>
      </w:r>
      <w:r>
        <w:t xml:space="preserve">—</w:t>
      </w:r>
      <w:r>
        <w:t xml:space="preserve"> </w:t>
      </w:r>
      <w:r>
        <w:rPr>
          <w:i/>
          <w:iCs/>
        </w:rPr>
        <w:t xml:space="preserve">(vocabolario di questo documento)</w:t>
      </w:r>
      <w:r>
        <w:t xml:space="preserve"> </w:t>
      </w:r>
      <w:r>
        <w:t xml:space="preserve">un</w:t>
      </w:r>
      <w:r>
        <w:t xml:space="preserve"> </w:t>
      </w:r>
      <w:r>
        <w:rPr>
          <w:b/>
          <w:bCs/>
        </w:rPr>
        <w:t xml:space="preserve">piano</w:t>
      </w:r>
      <w:r>
        <w:t xml:space="preserve"> </w:t>
      </w:r>
      <w:r>
        <w:t xml:space="preserve">è uno dei cinque modelli della «lettura osteopatica» letto come livello su cui lavorare;</w:t>
      </w:r>
      <w:r>
        <w:t xml:space="preserve"> </w:t>
      </w:r>
      <w:r>
        <w:rPr>
          <w:b/>
          <w:bCs/>
        </w:rPr>
        <w:t xml:space="preserve">fuori piano</w:t>
      </w:r>
      <w:r>
        <w:t xml:space="preserve"> </w:t>
      </w:r>
      <w:r>
        <w:t xml:space="preserve">è un piano che non hai trattato, ed è da lì che deve venire il marker che verifica.</w:t>
      </w:r>
    </w:p>
    <w:p>
      <w:pPr>
        <w:pStyle w:val="BodyText"/>
      </w:pPr>
      <w:r>
        <w:rPr>
          <w:b/>
          <w:bCs/>
        </w:rPr>
        <w:t xml:space="preserve">PROBABILE</w:t>
      </w:r>
      <w:r>
        <w:t xml:space="preserve"> </w:t>
      </w:r>
      <w:r>
        <w:t xml:space="preserve">— etichetta di solidità:</w:t>
      </w:r>
      <w:r>
        <w:t xml:space="preserve"> </w:t>
      </w:r>
      <w:r>
        <w:rPr>
          <w:i/>
          <w:iCs/>
        </w:rPr>
        <w:t xml:space="preserve">(razionale forte, prove parziali)</w:t>
      </w:r>
      <w:r>
        <w:t xml:space="preserve">.</w:t>
      </w:r>
    </w:p>
    <w:p>
      <w:pPr>
        <w:pStyle w:val="BodyText"/>
      </w:pPr>
      <w:r>
        <w:rPr>
          <w:b/>
          <w:bCs/>
        </w:rPr>
        <w:t xml:space="preserve">Prostaglandine</w:t>
      </w:r>
      <w:r>
        <w:t xml:space="preserve"> </w:t>
      </w:r>
      <w:r>
        <w:t xml:space="preserve">— sostanze prodotte dall’endometrio alla caduta del progesterone; fanno contrarre il miometrio. La principale è la PGF2α.</w:t>
      </w:r>
    </w:p>
    <w:p>
      <w:pPr>
        <w:pStyle w:val="BodyText"/>
      </w:pPr>
      <w:r>
        <w:rPr>
          <w:b/>
          <w:bCs/>
        </w:rPr>
        <w:t xml:space="preserve">RAGIONAMENTO</w:t>
      </w:r>
      <w:r>
        <w:t xml:space="preserve"> </w:t>
      </w:r>
      <w:r>
        <w:t xml:space="preserve">— etichetta di solidità:</w:t>
      </w:r>
      <w:r>
        <w:t xml:space="preserve"> </w:t>
      </w:r>
      <w:r>
        <w:rPr>
          <w:i/>
          <w:iCs/>
        </w:rPr>
        <w:t xml:space="preserve">(cornice clinica, non una prova)</w:t>
      </w:r>
      <w:r>
        <w:t xml:space="preserve">.</w:t>
      </w:r>
    </w:p>
    <w:p>
      <w:pPr>
        <w:pStyle w:val="BodyText"/>
      </w:pPr>
      <w:r>
        <w:rPr>
          <w:b/>
          <w:bCs/>
        </w:rPr>
        <w:t xml:space="preserve">Reperto disfunzionale</w:t>
      </w:r>
      <w:r>
        <w:t xml:space="preserve"> </w:t>
      </w:r>
      <w:r>
        <w:t xml:space="preserve">—</w:t>
      </w:r>
      <w:r>
        <w:t xml:space="preserve"> </w:t>
      </w:r>
      <w:r>
        <w:rPr>
          <w:i/>
          <w:iCs/>
        </w:rPr>
        <w:t xml:space="preserve">(termine del metodo)</w:t>
      </w:r>
      <w:r>
        <w:t xml:space="preserve"> </w:t>
      </w:r>
      <w:r>
        <w:t xml:space="preserve">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Retto dell’addome</w:t>
      </w:r>
      <w:r>
        <w:t xml:space="preserve"> </w:t>
      </w:r>
      <w:r>
        <w:t xml:space="preserve">— il muscolo verticale della parete addominale anteriore.</w:t>
      </w:r>
    </w:p>
    <w:p>
      <w:pPr>
        <w:pStyle w:val="BodyText"/>
      </w:pPr>
      <w:r>
        <w:rPr>
          <w:b/>
          <w:bCs/>
        </w:rPr>
        <w:t xml:space="preserve">Riflesso viscero-somatico</w:t>
      </w:r>
      <w:r>
        <w:t xml:space="preserve"> </w:t>
      </w:r>
      <w:r>
        <w:t xml:space="preserve">— risposta motoria e trofica del muscolo di un metamero, provocata dal bombardamento doloroso proveniente dal viscere dello stesso segmento.</w:t>
      </w:r>
    </w:p>
    <w:p>
      <w:pPr>
        <w:pStyle w:val="BodyText"/>
      </w:pPr>
      <w:r>
        <w:rPr>
          <w:b/>
          <w:bCs/>
        </w:rPr>
        <w:t xml:space="preserve">Salto</w:t>
      </w:r>
      <w:r>
        <w:t xml:space="preserve"> </w:t>
      </w:r>
      <w:r>
        <w:t xml:space="preserve">—</w:t>
      </w:r>
      <w:r>
        <w:t xml:space="preserve"> </w:t>
      </w:r>
      <w:r>
        <w:rPr>
          <w:i/>
          <w:iCs/>
        </w:rPr>
        <w:t xml:space="preserve">(vocabolario di questo documento)</w:t>
      </w:r>
      <w:r>
        <w:t xml:space="preserve"> </w:t>
      </w:r>
      <w:r>
        <w:t xml:space="preserve">la distanza fra quello che uno studio ha misurato e quello che fai tu. Gli assi usati qui sono sette: popolazione, intervento, bersaglio, distretto, tecnica, erogatore e natura dello strumento.</w:t>
      </w:r>
    </w:p>
    <w:p>
      <w:pPr>
        <w:pStyle w:val="BodyText"/>
      </w:pPr>
      <w:r>
        <w:rPr>
          <w:b/>
          <w:bCs/>
        </w:rPr>
        <w:t xml:space="preserve">Schober modificato</w:t>
      </w:r>
      <w:r>
        <w:t xml:space="preserve"> </w:t>
      </w:r>
      <w:r>
        <w:t xml:space="preserve">— misura dell’escursione lombare: si segna un riferimento quindici centimetri sopra la giunzione lombosacrale e si misura di quanto la distanza aumenta in flessione.</w:t>
      </w:r>
    </w:p>
    <w:p>
      <w:pPr>
        <w:pStyle w:val="BodyText"/>
      </w:pPr>
      <w:r>
        <w:rPr>
          <w:b/>
          <w:bCs/>
        </w:rPr>
        <w:t xml:space="preserve">Segno di Carnett</w:t>
      </w:r>
      <w:r>
        <w:t xml:space="preserve"> </w:t>
      </w:r>
      <w:r>
        <w:t xml:space="preserve">— test di provocazione: si preme sul punto dolente della parete e si chiede di contrarre l’addome. Dolore che aumenta o resta uguale indica una sorgente di parete; dolore che cala indica una sorgente profonda.</w:t>
      </w:r>
    </w:p>
    <w:p>
      <w:pPr>
        <w:pStyle w:val="BodyText"/>
      </w:pPr>
      <w:r>
        <w:rPr>
          <w:b/>
          <w:bCs/>
        </w:rPr>
        <w:t xml:space="preserve">Sensibilizzazione</w:t>
      </w:r>
      <w:r>
        <w:t xml:space="preserve"> </w:t>
      </w:r>
      <w:r>
        <w:t xml:space="preserve">— l’aumento stabile della risposta del sistema nervoso a uno stimolo, tale che lo stesso stimolo produce più dolore.</w:t>
      </w:r>
    </w:p>
    <w:p>
      <w:pPr>
        <w:pStyle w:val="BodyText"/>
      </w:pPr>
      <w:r>
        <w:rPr>
          <w:b/>
          <w:bCs/>
        </w:rPr>
        <w:t xml:space="preserve">Sistema dominante</w:t>
      </w:r>
      <w:r>
        <w:t xml:space="preserve"> </w:t>
      </w:r>
      <w:r>
        <w:t xml:space="preserve">—</w:t>
      </w:r>
      <w:r>
        <w:t xml:space="preserve"> </w:t>
      </w:r>
      <w:r>
        <w:rPr>
          <w:i/>
          <w:iCs/>
        </w:rPr>
        <w:t xml:space="preserve">(termine del metodo)</w:t>
      </w:r>
      <w:r>
        <w:t xml:space="preserve"> </w:t>
      </w:r>
      <w:r>
        <w:t xml:space="preserve">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Soglia di pressione al dolore</w:t>
      </w:r>
      <w:r>
        <w:t xml:space="preserve"> </w:t>
      </w:r>
      <w:r>
        <w:t xml:space="preserve">— la pressione alla quale una persona comincia a percepire dolore; si misura con l’algometro.</w:t>
      </w:r>
    </w:p>
    <w:p>
      <w:pPr>
        <w:pStyle w:val="BodyText"/>
      </w:pPr>
      <w:r>
        <w:rPr>
          <w:b/>
          <w:bCs/>
        </w:rPr>
        <w:t xml:space="preserve">Torsione annessiale</w:t>
      </w:r>
      <w:r>
        <w:t xml:space="preserve"> </w:t>
      </w:r>
      <w:r>
        <w:t xml:space="preserve">— rotazione dell’ovaio sul proprio peduncolo, che ne interrompe la circolazione; è un’urgenza chirurgica.</w:t>
      </w:r>
    </w:p>
    <w:p>
      <w:pPr>
        <w:pStyle w:val="BodyText"/>
      </w:pPr>
      <w:r>
        <w:rPr>
          <w:b/>
          <w:bCs/>
        </w:rPr>
        <w:t xml:space="preserve">Trigger point (punto dolente miofasciale)</w:t>
      </w:r>
      <w:r>
        <w:t xml:space="preserve"> </w:t>
      </w:r>
      <w:r>
        <w:t xml:space="preserve">— punto in un muscolo che, premuto, riproduce un dolore riconoscibile.</w:t>
      </w:r>
    </w:p>
    <w:p>
      <w:pPr>
        <w:pStyle w:val="BodyText"/>
      </w:pPr>
      <w:r>
        <w:rPr>
          <w:b/>
          <w:bCs/>
        </w:rPr>
        <w:t xml:space="preserve">Viscero-viscerale (iperalgesia)</w:t>
      </w:r>
      <w:r>
        <w:t xml:space="preserve"> </w:t>
      </w:r>
      <w:r>
        <w:t xml:space="preserve">— l’amplificazione reciproca dei sintomi di due organi che condividono la proiezione segmentaria.</w:t>
      </w:r>
    </w:p>
    <w:p>
      <w:r>
        <w:pict>
          <v:rect style="width:0;height:1.5pt" o:hralign="center" o:hrstd="t" o:hr="t"/>
        </w:pict>
      </w:r>
    </w:p>
    <w:bookmarkEnd w:id="90"/>
    <w:bookmarkStart w:id="150" w:name="appendice-b-le-fonti"/>
    <w:p>
      <w:pPr>
        <w:pStyle w:val="Heading2"/>
      </w:pPr>
      <w:r>
        <w:t xml:space="preserve">Appendice B — Le fonti</w:t>
      </w:r>
    </w:p>
    <w:p>
      <w:pPr>
        <w:pStyle w:val="FirstParagraph"/>
      </w:pPr>
      <w:r>
        <w:t xml:space="preserve">Nell’ordine in cui compaiono nel testo.</w:t>
      </w:r>
    </w:p>
    <w:p>
      <w:pPr>
        <w:pStyle w:val="Compact"/>
        <w:numPr>
          <w:ilvl w:val="0"/>
          <w:numId w:val="1027"/>
        </w:numPr>
      </w:pPr>
      <w:r>
        <w:t xml:space="preserve">Li X, Sun Y, Wang Y, Wang X, Yu C.</w:t>
      </w:r>
      <w:r>
        <w:t xml:space="preserve"> </w:t>
      </w:r>
      <w:r>
        <w:rPr>
          <w:i/>
          <w:iCs/>
        </w:rPr>
        <w:t xml:space="preserve">Manual Therapy in Primary Dysmenorrhea: A Systematic Review and Meta-Analysis.</w:t>
      </w:r>
      <w:r>
        <w:t xml:space="preserve"> </w:t>
      </w:r>
      <w:r>
        <w:t xml:space="preserve">J Pain Res 2024;17:1663-1681. —</w:t>
      </w:r>
      <w:r>
        <w:t xml:space="preserve"> </w:t>
      </w:r>
      <w:hyperlink r:id="rId91">
        <w:r>
          <w:rPr>
            <w:rStyle w:val="Hyperlink"/>
          </w:rPr>
          <w:t xml:space="preserve">PMID 38736680</w:t>
        </w:r>
      </w:hyperlink>
    </w:p>
    <w:p>
      <w:pPr>
        <w:pStyle w:val="Compact"/>
        <w:numPr>
          <w:ilvl w:val="0"/>
          <w:numId w:val="1027"/>
        </w:numPr>
      </w:pPr>
      <w:r>
        <w:t xml:space="preserve">Latthe P, Mignini L, Gray R, Hills R, Khan K.</w:t>
      </w:r>
      <w:r>
        <w:t xml:space="preserve"> </w:t>
      </w:r>
      <w:r>
        <w:rPr>
          <w:i/>
          <w:iCs/>
        </w:rPr>
        <w:t xml:space="preserve">Factors predisposing women to chronic pelvic pain: systematic review.</w:t>
      </w:r>
      <w:r>
        <w:t xml:space="preserve"> </w:t>
      </w:r>
      <w:r>
        <w:t xml:space="preserve">BMJ 2006;332(7544):749-755. —</w:t>
      </w:r>
      <w:r>
        <w:t xml:space="preserve"> </w:t>
      </w:r>
      <w:hyperlink r:id="rId92">
        <w:r>
          <w:rPr>
            <w:rStyle w:val="Hyperlink"/>
          </w:rPr>
          <w:t xml:space="preserve">PMID 16484239</w:t>
        </w:r>
      </w:hyperlink>
    </w:p>
    <w:p>
      <w:pPr>
        <w:pStyle w:val="Compact"/>
        <w:numPr>
          <w:ilvl w:val="0"/>
          <w:numId w:val="1027"/>
        </w:numPr>
      </w:pPr>
      <w:r>
        <w:t xml:space="preserve">Samuelson Bannow B.</w:t>
      </w:r>
      <w:r>
        <w:t xml:space="preserve"> </w:t>
      </w:r>
      <w:r>
        <w:rPr>
          <w:i/>
          <w:iCs/>
        </w:rPr>
        <w:t xml:space="preserve">Heavy menstrual bleeding in women on oral anticoagulants.</w:t>
      </w:r>
      <w:r>
        <w:t xml:space="preserve"> </w:t>
      </w:r>
      <w:r>
        <w:t xml:space="preserve">Hematology Am Soc Hematol Educ Program 2020;2020(1):536-542. —</w:t>
      </w:r>
      <w:r>
        <w:t xml:space="preserve"> </w:t>
      </w:r>
      <w:hyperlink r:id="rId93">
        <w:r>
          <w:rPr>
            <w:rStyle w:val="Hyperlink"/>
          </w:rPr>
          <w:t xml:space="preserve">PMID 33275699</w:t>
        </w:r>
      </w:hyperlink>
    </w:p>
    <w:p>
      <w:pPr>
        <w:pStyle w:val="Compact"/>
        <w:numPr>
          <w:ilvl w:val="0"/>
          <w:numId w:val="1027"/>
        </w:numPr>
      </w:pPr>
      <w:r>
        <w:t xml:space="preserve">Ju H, Jones M, Mishra G.</w:t>
      </w:r>
      <w:r>
        <w:t xml:space="preserve"> </w:t>
      </w:r>
      <w:r>
        <w:rPr>
          <w:i/>
          <w:iCs/>
        </w:rPr>
        <w:t xml:space="preserve">The prevalence and risk factors of dysmenorrhea.</w:t>
      </w:r>
      <w:r>
        <w:t xml:space="preserve"> </w:t>
      </w:r>
      <w:r>
        <w:t xml:space="preserve">Epidemiol Rev 2014;36:104-113. —</w:t>
      </w:r>
      <w:r>
        <w:t xml:space="preserve"> </w:t>
      </w:r>
      <w:hyperlink r:id="rId94">
        <w:r>
          <w:rPr>
            <w:rStyle w:val="Hyperlink"/>
          </w:rPr>
          <w:t xml:space="preserve">PMID 24284871</w:t>
        </w:r>
      </w:hyperlink>
    </w:p>
    <w:p>
      <w:pPr>
        <w:pStyle w:val="Compact"/>
        <w:numPr>
          <w:ilvl w:val="0"/>
          <w:numId w:val="1027"/>
        </w:numPr>
      </w:pPr>
      <w:r>
        <w:t xml:space="preserve">Becker CM, Bokor A, Heikinheimo O, et al.; ESHRE Endometriosis Guideline Group.</w:t>
      </w:r>
      <w:r>
        <w:t xml:space="preserve"> </w:t>
      </w:r>
      <w:r>
        <w:rPr>
          <w:i/>
          <w:iCs/>
        </w:rPr>
        <w:t xml:space="preserve">ESHRE guideline: endometriosis.</w:t>
      </w:r>
      <w:r>
        <w:t xml:space="preserve"> </w:t>
      </w:r>
      <w:r>
        <w:t xml:space="preserve">Hum Reprod Open 2022;2022(2):hoac009. —</w:t>
      </w:r>
      <w:r>
        <w:t xml:space="preserve"> </w:t>
      </w:r>
      <w:hyperlink r:id="rId95">
        <w:r>
          <w:rPr>
            <w:rStyle w:val="Hyperlink"/>
          </w:rPr>
          <w:t xml:space="preserve">PMID 35350465</w:t>
        </w:r>
      </w:hyperlink>
    </w:p>
    <w:p>
      <w:pPr>
        <w:pStyle w:val="Compact"/>
        <w:numPr>
          <w:ilvl w:val="0"/>
          <w:numId w:val="1027"/>
        </w:numPr>
      </w:pPr>
      <w:r>
        <w:t xml:space="preserve">Moussaoui D, Grover SR.</w:t>
      </w:r>
      <w:r>
        <w:t xml:space="preserve"> </w:t>
      </w:r>
      <w:r>
        <w:rPr>
          <w:i/>
          <w:iCs/>
        </w:rPr>
        <w:t xml:space="preserve">The association between childhood adversity and risk of dysmenorrhea, pelvic pain, and dyspareunia in adolescents and young adults: a systematic review.</w:t>
      </w:r>
      <w:r>
        <w:t xml:space="preserve"> </w:t>
      </w:r>
      <w:r>
        <w:t xml:space="preserve">J Pediatr Adolesc Gynecol 2022;35(5):567-574. —</w:t>
      </w:r>
      <w:r>
        <w:t xml:space="preserve"> </w:t>
      </w:r>
      <w:hyperlink r:id="rId96">
        <w:r>
          <w:rPr>
            <w:rStyle w:val="Hyperlink"/>
          </w:rPr>
          <w:t xml:space="preserve">PMID 35569788</w:t>
        </w:r>
      </w:hyperlink>
    </w:p>
    <w:p>
      <w:pPr>
        <w:pStyle w:val="Compact"/>
        <w:numPr>
          <w:ilvl w:val="0"/>
          <w:numId w:val="1027"/>
        </w:numPr>
      </w:pPr>
      <w:r>
        <w:t xml:space="preserve">Armour M, Parry K, Manohar N, et al. </w:t>
      </w:r>
      <w:r>
        <w:rPr>
          <w:i/>
          <w:iCs/>
        </w:rPr>
        <w:t xml:space="preserve">The Prevalence and Academic Impact of Dysmenorrhea in 21,573 Young Women: A Systematic Review and Meta-Analysis.</w:t>
      </w:r>
      <w:r>
        <w:t xml:space="preserve"> </w:t>
      </w:r>
      <w:r>
        <w:t xml:space="preserve">J Womens Health 2019;28(8):1161-1171. —</w:t>
      </w:r>
      <w:r>
        <w:t xml:space="preserve"> </w:t>
      </w:r>
      <w:hyperlink r:id="rId97">
        <w:r>
          <w:rPr>
            <w:rStyle w:val="Hyperlink"/>
          </w:rPr>
          <w:t xml:space="preserve">PMID 31170024</w:t>
        </w:r>
      </w:hyperlink>
    </w:p>
    <w:p>
      <w:pPr>
        <w:pStyle w:val="Compact"/>
        <w:numPr>
          <w:ilvl w:val="0"/>
          <w:numId w:val="1027"/>
        </w:numPr>
      </w:pPr>
      <w:r>
        <w:t xml:space="preserve">ACOG Committee Opinion No. 760:</w:t>
      </w:r>
      <w:r>
        <w:t xml:space="preserve"> </w:t>
      </w:r>
      <w:r>
        <w:rPr>
          <w:i/>
          <w:iCs/>
        </w:rPr>
        <w:t xml:space="preserve">Dysmenorrhea and Endometriosis in the Adolescent.</w:t>
      </w:r>
      <w:r>
        <w:t xml:space="preserve"> </w:t>
      </w:r>
      <w:r>
        <w:t xml:space="preserve">Obstet Gynecol 2018;132(6):e249-e258. —</w:t>
      </w:r>
      <w:r>
        <w:t xml:space="preserve"> </w:t>
      </w:r>
      <w:hyperlink r:id="rId98">
        <w:r>
          <w:rPr>
            <w:rStyle w:val="Hyperlink"/>
          </w:rPr>
          <w:t xml:space="preserve">PMID 30461694</w:t>
        </w:r>
      </w:hyperlink>
    </w:p>
    <w:p>
      <w:pPr>
        <w:pStyle w:val="Compact"/>
        <w:numPr>
          <w:ilvl w:val="0"/>
          <w:numId w:val="1027"/>
        </w:numPr>
      </w:pPr>
      <w:r>
        <w:t xml:space="preserve">Weissman AM, Hartz AJ, Hansen MD, Johnson SR.</w:t>
      </w:r>
      <w:r>
        <w:t xml:space="preserve"> </w:t>
      </w:r>
      <w:r>
        <w:rPr>
          <w:i/>
          <w:iCs/>
        </w:rPr>
        <w:t xml:space="preserve">The natural history of primary dysmenorrhoea: a longitudinal study.</w:t>
      </w:r>
      <w:r>
        <w:t xml:space="preserve"> </w:t>
      </w:r>
      <w:r>
        <w:t xml:space="preserve">BJOG 2004;111(4):345-352. —</w:t>
      </w:r>
      <w:r>
        <w:t xml:space="preserve"> </w:t>
      </w:r>
      <w:hyperlink r:id="rId99">
        <w:r>
          <w:rPr>
            <w:rStyle w:val="Hyperlink"/>
          </w:rPr>
          <w:t xml:space="preserve">PMID 15008771</w:t>
        </w:r>
      </w:hyperlink>
    </w:p>
    <w:p>
      <w:pPr>
        <w:pStyle w:val="Compact"/>
        <w:numPr>
          <w:ilvl w:val="0"/>
          <w:numId w:val="1027"/>
        </w:numPr>
      </w:pPr>
      <w:r>
        <w:t xml:space="preserve">StatPearls.</w:t>
      </w:r>
      <w:r>
        <w:t xml:space="preserve"> </w:t>
      </w:r>
      <w:r>
        <w:rPr>
          <w:i/>
          <w:iCs/>
        </w:rPr>
        <w:t xml:space="preserve">Anatomy, Abdomen and Pelvis: Uterus.</w:t>
      </w:r>
      <w:r>
        <w:t xml:space="preserve"> </w:t>
      </w:r>
      <w:r>
        <w:t xml:space="preserve">—</w:t>
      </w:r>
      <w:r>
        <w:t xml:space="preserve"> </w:t>
      </w:r>
      <w:hyperlink r:id="rId100">
        <w:r>
          <w:rPr>
            <w:rStyle w:val="Hyperlink"/>
          </w:rPr>
          <w:t xml:space="preserve">PMID 29262069</w:t>
        </w:r>
      </w:hyperlink>
    </w:p>
    <w:p>
      <w:pPr>
        <w:pStyle w:val="Compact"/>
        <w:numPr>
          <w:ilvl w:val="0"/>
          <w:numId w:val="1027"/>
        </w:numPr>
      </w:pPr>
      <w:r>
        <w:t xml:space="preserve">Giamberardino MA, Berkley KJ, Iezzi S, de Bigontina P, Vecchiet L.</w:t>
      </w:r>
      <w:r>
        <w:t xml:space="preserve"> </w:t>
      </w:r>
      <w:r>
        <w:rPr>
          <w:i/>
          <w:iCs/>
        </w:rPr>
        <w:t xml:space="preserve">Pain threshold variations in somatic wall tissues as a function of menstrual cycle, segmental site and tissue depth in non-dysmenorrheic women, dysmenorrheic women and men.</w:t>
      </w:r>
      <w:r>
        <w:t xml:space="preserve"> </w:t>
      </w:r>
      <w:r>
        <w:t xml:space="preserve">Pain 1997;71(2):187-197. —</w:t>
      </w:r>
      <w:r>
        <w:t xml:space="preserve"> </w:t>
      </w:r>
      <w:hyperlink r:id="rId101">
        <w:r>
          <w:rPr>
            <w:rStyle w:val="Hyperlink"/>
          </w:rPr>
          <w:t xml:space="preserve">PMID 9211480</w:t>
        </w:r>
      </w:hyperlink>
    </w:p>
    <w:p>
      <w:pPr>
        <w:pStyle w:val="Compact"/>
        <w:numPr>
          <w:ilvl w:val="0"/>
          <w:numId w:val="1027"/>
        </w:numPr>
      </w:pPr>
      <w:r>
        <w:t xml:space="preserve">Molins-Cubero S, Rodríguez-Blanco C, Oliva-Pascual-Vaca A, et al. </w:t>
      </w:r>
      <w:r>
        <w:rPr>
          <w:i/>
          <w:iCs/>
        </w:rPr>
        <w:t xml:space="preserve">Changes in pain perception after pelvis manipulation in women with primary dysmenorrhea: a randomized controlled trial.</w:t>
      </w:r>
      <w:r>
        <w:t xml:space="preserve"> </w:t>
      </w:r>
      <w:r>
        <w:t xml:space="preserve">Pain Med 2014;15(9):1455-1463. —</w:t>
      </w:r>
      <w:r>
        <w:t xml:space="preserve"> </w:t>
      </w:r>
      <w:hyperlink r:id="rId102">
        <w:r>
          <w:rPr>
            <w:rStyle w:val="Hyperlink"/>
          </w:rPr>
          <w:t xml:space="preserve">PMID 24666560</w:t>
        </w:r>
      </w:hyperlink>
    </w:p>
    <w:p>
      <w:pPr>
        <w:pStyle w:val="Compact"/>
        <w:numPr>
          <w:ilvl w:val="0"/>
          <w:numId w:val="1027"/>
        </w:numPr>
      </w:pPr>
      <w:r>
        <w:t xml:space="preserve">Serrano-Imedio A, Calvo-Lobo C, Casañas-Martin C, et al. </w:t>
      </w:r>
      <w:r>
        <w:rPr>
          <w:i/>
          <w:iCs/>
        </w:rPr>
        <w:t xml:space="preserve">Myofascial pain syndrome in women with primary dysmenorrhea: a case-control study.</w:t>
      </w:r>
      <w:r>
        <w:t xml:space="preserve"> </w:t>
      </w:r>
      <w:r>
        <w:t xml:space="preserve">Diagnostics 2022;12(11):2723. —</w:t>
      </w:r>
      <w:r>
        <w:t xml:space="preserve"> </w:t>
      </w:r>
      <w:hyperlink r:id="rId103">
        <w:r>
          <w:rPr>
            <w:rStyle w:val="Hyperlink"/>
          </w:rPr>
          <w:t xml:space="preserve">PMID 36359567</w:t>
        </w:r>
      </w:hyperlink>
    </w:p>
    <w:p>
      <w:pPr>
        <w:pStyle w:val="Compact"/>
        <w:numPr>
          <w:ilvl w:val="0"/>
          <w:numId w:val="1027"/>
        </w:numPr>
      </w:pPr>
      <w:r>
        <w:t xml:space="preserve">Böttcher B, Laterza RM, Wildt L, et al. </w:t>
      </w:r>
      <w:r>
        <w:rPr>
          <w:i/>
          <w:iCs/>
        </w:rPr>
        <w:t xml:space="preserve">A first-in-human study of PDC31 (prostaglandin F2α receptor inhibitor) in primary dysmenorrhea.</w:t>
      </w:r>
      <w:r>
        <w:t xml:space="preserve"> </w:t>
      </w:r>
      <w:r>
        <w:t xml:space="preserve">Hum Reprod 2014;29(11):2465-2473. —</w:t>
      </w:r>
      <w:r>
        <w:t xml:space="preserve"> </w:t>
      </w:r>
      <w:hyperlink r:id="rId104">
        <w:r>
          <w:rPr>
            <w:rStyle w:val="Hyperlink"/>
          </w:rPr>
          <w:t xml:space="preserve">PMID 25164021</w:t>
        </w:r>
      </w:hyperlink>
    </w:p>
    <w:p>
      <w:pPr>
        <w:pStyle w:val="Compact"/>
        <w:numPr>
          <w:ilvl w:val="0"/>
          <w:numId w:val="1027"/>
        </w:numPr>
      </w:pPr>
      <w:r>
        <w:t xml:space="preserve">Marjoribanks J, Ayeleke RO, Farquhar C, Proctor M.</w:t>
      </w:r>
      <w:r>
        <w:t xml:space="preserve"> </w:t>
      </w:r>
      <w:r>
        <w:rPr>
          <w:i/>
          <w:iCs/>
        </w:rPr>
        <w:t xml:space="preserve">Nonsteroidal anti-inflammatory drugs for dysmenorrhoea.</w:t>
      </w:r>
      <w:r>
        <w:t xml:space="preserve"> </w:t>
      </w:r>
      <w:r>
        <w:t xml:space="preserve">Cochrane Database Syst Rev 2015;(7):CD001751. —</w:t>
      </w:r>
      <w:r>
        <w:t xml:space="preserve"> </w:t>
      </w:r>
      <w:hyperlink r:id="rId105">
        <w:r>
          <w:rPr>
            <w:rStyle w:val="Hyperlink"/>
          </w:rPr>
          <w:t xml:space="preserve">PMID 26224322</w:t>
        </w:r>
      </w:hyperlink>
    </w:p>
    <w:p>
      <w:pPr>
        <w:pStyle w:val="Compact"/>
        <w:numPr>
          <w:ilvl w:val="0"/>
          <w:numId w:val="1027"/>
        </w:numPr>
      </w:pPr>
      <w:r>
        <w:t xml:space="preserve">Dawood MY.</w:t>
      </w:r>
      <w:r>
        <w:t xml:space="preserve"> </w:t>
      </w:r>
      <w:r>
        <w:rPr>
          <w:i/>
          <w:iCs/>
        </w:rPr>
        <w:t xml:space="preserve">Primary dysmenorrhea: advances in pathogenesis and management.</w:t>
      </w:r>
      <w:r>
        <w:t xml:space="preserve"> </w:t>
      </w:r>
      <w:r>
        <w:t xml:space="preserve">Obstet Gynecol 2006;108(2):428-441. —</w:t>
      </w:r>
      <w:r>
        <w:t xml:space="preserve"> </w:t>
      </w:r>
      <w:hyperlink r:id="rId106">
        <w:r>
          <w:rPr>
            <w:rStyle w:val="Hyperlink"/>
          </w:rPr>
          <w:t xml:space="preserve">PMID 16880317</w:t>
        </w:r>
      </w:hyperlink>
    </w:p>
    <w:p>
      <w:pPr>
        <w:pStyle w:val="Compact"/>
        <w:numPr>
          <w:ilvl w:val="0"/>
          <w:numId w:val="1027"/>
        </w:numPr>
      </w:pPr>
      <w:r>
        <w:t xml:space="preserve">Altunyurt S, Göl M, Altunyurt S, Sezer O, Demir N.</w:t>
      </w:r>
      <w:r>
        <w:t xml:space="preserve"> </w:t>
      </w:r>
      <w:r>
        <w:rPr>
          <w:i/>
          <w:iCs/>
        </w:rPr>
        <w:t xml:space="preserve">Primary dysmenorrhea and uterine blood flow: a color Doppler study.</w:t>
      </w:r>
      <w:r>
        <w:t xml:space="preserve"> </w:t>
      </w:r>
      <w:r>
        <w:t xml:space="preserve">J Reprod Med 2005;50(4):251-255. —</w:t>
      </w:r>
      <w:r>
        <w:t xml:space="preserve"> </w:t>
      </w:r>
      <w:hyperlink r:id="rId107">
        <w:r>
          <w:rPr>
            <w:rStyle w:val="Hyperlink"/>
          </w:rPr>
          <w:t xml:space="preserve">PMID 15916208</w:t>
        </w:r>
      </w:hyperlink>
    </w:p>
    <w:p>
      <w:pPr>
        <w:pStyle w:val="Compact"/>
        <w:numPr>
          <w:ilvl w:val="0"/>
          <w:numId w:val="1027"/>
        </w:numPr>
      </w:pPr>
      <w:r>
        <w:t xml:space="preserve">Özbay K, Semiz A.</w:t>
      </w:r>
      <w:r>
        <w:t xml:space="preserve"> </w:t>
      </w:r>
      <w:r>
        <w:rPr>
          <w:i/>
          <w:iCs/>
        </w:rPr>
        <w:t xml:space="preserve">Assessment of Uterine Blood Flow in Mild Primary Dysmenorrhea.</w:t>
      </w:r>
      <w:r>
        <w:t xml:space="preserve"> </w:t>
      </w:r>
      <w:r>
        <w:t xml:space="preserve">J Pain Res 2024;17:2071-2077. —</w:t>
      </w:r>
      <w:r>
        <w:t xml:space="preserve"> </w:t>
      </w:r>
      <w:hyperlink r:id="rId108">
        <w:r>
          <w:rPr>
            <w:rStyle w:val="Hyperlink"/>
          </w:rPr>
          <w:t xml:space="preserve">PMID 38887385</w:t>
        </w:r>
      </w:hyperlink>
    </w:p>
    <w:p>
      <w:pPr>
        <w:pStyle w:val="Compact"/>
        <w:numPr>
          <w:ilvl w:val="0"/>
          <w:numId w:val="1027"/>
        </w:numPr>
      </w:pPr>
      <w:r>
        <w:t xml:space="preserve">Iacovides S, Avidon I, Baker FC.</w:t>
      </w:r>
      <w:r>
        <w:t xml:space="preserve"> </w:t>
      </w:r>
      <w:r>
        <w:rPr>
          <w:i/>
          <w:iCs/>
        </w:rPr>
        <w:t xml:space="preserve">What we know about primary dysmenorrhea today: a critical review.</w:t>
      </w:r>
      <w:r>
        <w:t xml:space="preserve"> </w:t>
      </w:r>
      <w:r>
        <w:t xml:space="preserve">Hum Reprod Update 2015;21(6):762-778. —</w:t>
      </w:r>
      <w:r>
        <w:t xml:space="preserve"> </w:t>
      </w:r>
      <w:hyperlink r:id="rId109">
        <w:r>
          <w:rPr>
            <w:rStyle w:val="Hyperlink"/>
          </w:rPr>
          <w:t xml:space="preserve">PMID 26346058</w:t>
        </w:r>
      </w:hyperlink>
    </w:p>
    <w:p>
      <w:pPr>
        <w:pStyle w:val="Compact"/>
        <w:numPr>
          <w:ilvl w:val="0"/>
          <w:numId w:val="1027"/>
        </w:numPr>
      </w:pPr>
      <w:r>
        <w:t xml:space="preserve">Vincent K, Warnaby C, Stagg CJ, Moore J, Kennedy S, Tracey I.</w:t>
      </w:r>
      <w:r>
        <w:t xml:space="preserve"> </w:t>
      </w:r>
      <w:r>
        <w:rPr>
          <w:i/>
          <w:iCs/>
        </w:rPr>
        <w:t xml:space="preserve">Dysmenorrhoea is associated with central changes in otherwise healthy women.</w:t>
      </w:r>
      <w:r>
        <w:t xml:space="preserve"> </w:t>
      </w:r>
      <w:r>
        <w:t xml:space="preserve">Pain 2011;152(9):1966-1975. —</w:t>
      </w:r>
      <w:r>
        <w:t xml:space="preserve"> </w:t>
      </w:r>
      <w:hyperlink r:id="rId110">
        <w:r>
          <w:rPr>
            <w:rStyle w:val="Hyperlink"/>
          </w:rPr>
          <w:t xml:space="preserve">PMID 21524851</w:t>
        </w:r>
      </w:hyperlink>
    </w:p>
    <w:p>
      <w:pPr>
        <w:pStyle w:val="Compact"/>
        <w:numPr>
          <w:ilvl w:val="0"/>
          <w:numId w:val="1027"/>
        </w:numPr>
      </w:pPr>
      <w:r>
        <w:t xml:space="preserve">Hellman KM, Roth GE, Dillane KE, et al. </w:t>
      </w:r>
      <w:r>
        <w:rPr>
          <w:i/>
          <w:iCs/>
        </w:rPr>
        <w:t xml:space="preserve">Dysmenorrhea subtypes exhibit differential quantitative sensory assessment profiles.</w:t>
      </w:r>
      <w:r>
        <w:t xml:space="preserve"> </w:t>
      </w:r>
      <w:r>
        <w:t xml:space="preserve">Pain 2020;161(6):1227-1236. —</w:t>
      </w:r>
      <w:r>
        <w:t xml:space="preserve"> </w:t>
      </w:r>
      <w:hyperlink r:id="rId111">
        <w:r>
          <w:rPr>
            <w:rStyle w:val="Hyperlink"/>
          </w:rPr>
          <w:t xml:space="preserve">PMID 32168005</w:t>
        </w:r>
      </w:hyperlink>
    </w:p>
    <w:p>
      <w:pPr>
        <w:pStyle w:val="Compact"/>
        <w:numPr>
          <w:ilvl w:val="0"/>
          <w:numId w:val="1027"/>
        </w:numPr>
      </w:pPr>
      <w:r>
        <w:t xml:space="preserve">Costantini R, Affaitati G, Fiordaliso M, Giamberardino MA.</w:t>
      </w:r>
      <w:r>
        <w:t xml:space="preserve"> </w:t>
      </w:r>
      <w:r>
        <w:rPr>
          <w:i/>
          <w:iCs/>
        </w:rPr>
        <w:t xml:space="preserve">Viscero-visceral hyperalgesia in dysmenorrhoea plus previous urinary calculosis: Role of myofascial trigger points and their injection treatment in the referred area.</w:t>
      </w:r>
      <w:r>
        <w:t xml:space="preserve"> </w:t>
      </w:r>
      <w:r>
        <w:t xml:space="preserve">Eur J Pain 2020;24(5):933-944. —</w:t>
      </w:r>
      <w:r>
        <w:t xml:space="preserve"> </w:t>
      </w:r>
      <w:hyperlink r:id="rId112">
        <w:r>
          <w:rPr>
            <w:rStyle w:val="Hyperlink"/>
          </w:rPr>
          <w:t xml:space="preserve">PMID 32034979</w:t>
        </w:r>
      </w:hyperlink>
    </w:p>
    <w:p>
      <w:pPr>
        <w:pStyle w:val="Compact"/>
        <w:numPr>
          <w:ilvl w:val="0"/>
          <w:numId w:val="1027"/>
        </w:numPr>
      </w:pPr>
      <w:r>
        <w:t xml:space="preserve">Proctor ML, Hing W, Johnson TC, Murphy PA.</w:t>
      </w:r>
      <w:r>
        <w:t xml:space="preserve"> </w:t>
      </w:r>
      <w:r>
        <w:rPr>
          <w:i/>
          <w:iCs/>
        </w:rPr>
        <w:t xml:space="preserve">Spinal manipulation for primary and secondary dysmenorrhoea.</w:t>
      </w:r>
      <w:r>
        <w:t xml:space="preserve"> </w:t>
      </w:r>
      <w:r>
        <w:t xml:space="preserve">Cochrane Database Syst Rev 2006;(3):CD002119. —</w:t>
      </w:r>
      <w:r>
        <w:t xml:space="preserve"> </w:t>
      </w:r>
      <w:hyperlink r:id="rId113">
        <w:r>
          <w:rPr>
            <w:rStyle w:val="Hyperlink"/>
          </w:rPr>
          <w:t xml:space="preserve">PMID 16855988</w:t>
        </w:r>
      </w:hyperlink>
    </w:p>
    <w:p>
      <w:pPr>
        <w:pStyle w:val="Compact"/>
        <w:numPr>
          <w:ilvl w:val="0"/>
          <w:numId w:val="1027"/>
        </w:numPr>
      </w:pPr>
      <w:r>
        <w:t xml:space="preserve">Rodríguez-Ruiz Á, Arcos-Azubel C, Ruiz-Pérez M, Peinado FM, Mundo-López A, Lara-Ramos A, Salinas-Asensio MDM, Artacho-Cordón F.</w:t>
      </w:r>
      <w:r>
        <w:t xml:space="preserve"> </w:t>
      </w:r>
      <w:r>
        <w:rPr>
          <w:i/>
          <w:iCs/>
        </w:rPr>
        <w:t xml:space="preserve">The Benefits of an Integral HAMMAM Experience Combining Hydrotherapy and Swedish Massage on Pain, Subjective Well-Being and Quality of Life in Women with Endometriosis-Related Chronic Pelvic Pain: A Randomized Controlled Trial.</w:t>
      </w:r>
      <w:r>
        <w:t xml:space="preserve"> </w:t>
      </w:r>
      <w:r>
        <w:t xml:space="preserve">Medicina (Kaunas) 2024;60(10):1677. —</w:t>
      </w:r>
      <w:r>
        <w:t xml:space="preserve"> </w:t>
      </w:r>
      <w:hyperlink r:id="rId114">
        <w:r>
          <w:rPr>
            <w:rStyle w:val="Hyperlink"/>
          </w:rPr>
          <w:t xml:space="preserve">PMID 39459464</w:t>
        </w:r>
      </w:hyperlink>
    </w:p>
    <w:p>
      <w:pPr>
        <w:pStyle w:val="Compact"/>
        <w:numPr>
          <w:ilvl w:val="0"/>
          <w:numId w:val="1027"/>
        </w:numPr>
      </w:pPr>
      <w:r>
        <w:t xml:space="preserve">Giamberardino MA, Costantini R, Affaitati G, et al. </w:t>
      </w:r>
      <w:r>
        <w:rPr>
          <w:i/>
          <w:iCs/>
        </w:rPr>
        <w:t xml:space="preserve">Viscero-visceral hyperalgesia: characterization in different clinical models.</w:t>
      </w:r>
      <w:r>
        <w:t xml:space="preserve"> </w:t>
      </w:r>
      <w:r>
        <w:t xml:space="preserve">Pain 2010;151(2):307-322. —</w:t>
      </w:r>
      <w:r>
        <w:t xml:space="preserve"> </w:t>
      </w:r>
      <w:hyperlink r:id="rId115">
        <w:r>
          <w:rPr>
            <w:rStyle w:val="Hyperlink"/>
          </w:rPr>
          <w:t xml:space="preserve">PMID 20638177</w:t>
        </w:r>
      </w:hyperlink>
    </w:p>
    <w:p>
      <w:pPr>
        <w:pStyle w:val="Compact"/>
        <w:numPr>
          <w:ilvl w:val="0"/>
          <w:numId w:val="1027"/>
        </w:numPr>
      </w:pPr>
      <w:r>
        <w:t xml:space="preserve">Janssen EB, Rijkers AC, Hoppenbrouwers K, Meuleman C, D’Hooghe TM.</w:t>
      </w:r>
      <w:r>
        <w:t xml:space="preserve"> </w:t>
      </w:r>
      <w:r>
        <w:rPr>
          <w:i/>
          <w:iCs/>
        </w:rPr>
        <w:t xml:space="preserve">Prevalence of endometriosis diagnosed by laparoscopy in adolescents with dysmenorrhea or chronic pelvic pain: a systematic review.</w:t>
      </w:r>
      <w:r>
        <w:t xml:space="preserve"> </w:t>
      </w:r>
      <w:r>
        <w:t xml:space="preserve">Hum Reprod Update 2013;19(5):570-582. —</w:t>
      </w:r>
      <w:r>
        <w:t xml:space="preserve"> </w:t>
      </w:r>
      <w:hyperlink r:id="rId116">
        <w:r>
          <w:rPr>
            <w:rStyle w:val="Hyperlink"/>
          </w:rPr>
          <w:t xml:space="preserve">PMID 23727940</w:t>
        </w:r>
      </w:hyperlink>
    </w:p>
    <w:p>
      <w:pPr>
        <w:pStyle w:val="Compact"/>
        <w:numPr>
          <w:ilvl w:val="0"/>
          <w:numId w:val="1027"/>
        </w:numPr>
      </w:pPr>
      <w:r>
        <w:t xml:space="preserve">Özgül S, Nalan Çinar G, Gürşen C, et al. </w:t>
      </w:r>
      <w:r>
        <w:rPr>
          <w:i/>
          <w:iCs/>
        </w:rPr>
        <w:t xml:space="preserve">The Effects of Connective Tissue Manipulation in Primary Dysmenorrhea: a Randomized Placebo-Controlled Study.</w:t>
      </w:r>
      <w:r>
        <w:t xml:space="preserve"> </w:t>
      </w:r>
      <w:r>
        <w:t xml:space="preserve">Reprod Sci 2023;30(1):181-191. —</w:t>
      </w:r>
      <w:r>
        <w:t xml:space="preserve"> </w:t>
      </w:r>
      <w:hyperlink r:id="rId117">
        <w:r>
          <w:rPr>
            <w:rStyle w:val="Hyperlink"/>
          </w:rPr>
          <w:t xml:space="preserve">PMID 35556238</w:t>
        </w:r>
      </w:hyperlink>
    </w:p>
    <w:p>
      <w:pPr>
        <w:pStyle w:val="Compact"/>
        <w:numPr>
          <w:ilvl w:val="0"/>
          <w:numId w:val="1027"/>
        </w:numPr>
      </w:pPr>
      <w:r>
        <w:t xml:space="preserve">Armour M, Ee CC, Naidoo D, et al. </w:t>
      </w:r>
      <w:r>
        <w:rPr>
          <w:i/>
          <w:iCs/>
        </w:rPr>
        <w:t xml:space="preserve">Exercise for dysmenorrhoea.</w:t>
      </w:r>
      <w:r>
        <w:t xml:space="preserve"> </w:t>
      </w:r>
      <w:r>
        <w:t xml:space="preserve">Cochrane Database Syst Rev 2019;(9):CD004142. —</w:t>
      </w:r>
      <w:r>
        <w:t xml:space="preserve"> </w:t>
      </w:r>
      <w:hyperlink r:id="rId118">
        <w:r>
          <w:rPr>
            <w:rStyle w:val="Hyperlink"/>
          </w:rPr>
          <w:t xml:space="preserve">PMID 31538328</w:t>
        </w:r>
      </w:hyperlink>
    </w:p>
    <w:p>
      <w:pPr>
        <w:pStyle w:val="Compact"/>
        <w:numPr>
          <w:ilvl w:val="0"/>
          <w:numId w:val="1027"/>
        </w:numPr>
      </w:pPr>
      <w:r>
        <w:t xml:space="preserve">Tsai IC, Hsu CW, Chang CH, Lei WT, Tseng PT, Chang KV.</w:t>
      </w:r>
      <w:r>
        <w:t xml:space="preserve"> </w:t>
      </w:r>
      <w:r>
        <w:rPr>
          <w:i/>
          <w:iCs/>
        </w:rPr>
        <w:t xml:space="preserve">Comparative effectiveness of different exercises for reducing pain intensity in primary dysmenorrhea: a systematic review and network meta-analysis.</w:t>
      </w:r>
      <w:r>
        <w:t xml:space="preserve"> </w:t>
      </w:r>
      <w:r>
        <w:t xml:space="preserve">Sports Med Open 2024;10:63. —</w:t>
      </w:r>
      <w:r>
        <w:t xml:space="preserve"> </w:t>
      </w:r>
      <w:hyperlink r:id="rId119">
        <w:r>
          <w:rPr>
            <w:rStyle w:val="Hyperlink"/>
          </w:rPr>
          <w:t xml:space="preserve">PMID 38816591</w:t>
        </w:r>
      </w:hyperlink>
    </w:p>
    <w:p>
      <w:pPr>
        <w:pStyle w:val="Compact"/>
        <w:numPr>
          <w:ilvl w:val="0"/>
          <w:numId w:val="1027"/>
        </w:numPr>
      </w:pPr>
      <w:r>
        <w:t xml:space="preserve">Erol BN, Gürşen C, Mümüşoğlu S, Özgül S.</w:t>
      </w:r>
      <w:r>
        <w:t xml:space="preserve"> </w:t>
      </w:r>
      <w:r>
        <w:rPr>
          <w:i/>
          <w:iCs/>
        </w:rPr>
        <w:t xml:space="preserve">Pain neuroscience education versus biomedical pain education with exercise in primary dysmenorrhea: a randomized controlled trial.</w:t>
      </w:r>
      <w:r>
        <w:t xml:space="preserve"> </w:t>
      </w:r>
      <w:r>
        <w:t xml:space="preserve">Healthcare (Basel) 2025;13(16):1954. —</w:t>
      </w:r>
      <w:r>
        <w:t xml:space="preserve"> </w:t>
      </w:r>
      <w:hyperlink r:id="rId120">
        <w:r>
          <w:rPr>
            <w:rStyle w:val="Hyperlink"/>
          </w:rPr>
          <w:t xml:space="preserve">PMID 40868570</w:t>
        </w:r>
      </w:hyperlink>
    </w:p>
    <w:p>
      <w:pPr>
        <w:pStyle w:val="Compact"/>
        <w:numPr>
          <w:ilvl w:val="0"/>
          <w:numId w:val="1027"/>
        </w:numPr>
      </w:pPr>
      <w:r>
        <w:t xml:space="preserve">Ezzatvar Y, Dueñas L, Balasch-Bernat M, Lluch-Girbés E, Rossettini G.</w:t>
      </w:r>
      <w:r>
        <w:t xml:space="preserve"> </w:t>
      </w:r>
      <w:r>
        <w:rPr>
          <w:i/>
          <w:iCs/>
        </w:rPr>
        <w:t xml:space="preserve">Which Portion of Physiotherapy Treatments’ Effect Is Not Attributable to the Specific Effects in People With Musculoskeletal Pain? A Meta-Analysis of Randomized Placebo-Controlled Trials.</w:t>
      </w:r>
      <w:r>
        <w:t xml:space="preserve"> </w:t>
      </w:r>
      <w:r>
        <w:t xml:space="preserve">J Orthop Sports Phys Ther 2024;54(6):391-399. —</w:t>
      </w:r>
      <w:r>
        <w:t xml:space="preserve"> </w:t>
      </w:r>
      <w:hyperlink r:id="rId121">
        <w:r>
          <w:rPr>
            <w:rStyle w:val="Hyperlink"/>
          </w:rPr>
          <w:t xml:space="preserve">PMID 38602164</w:t>
        </w:r>
      </w:hyperlink>
    </w:p>
    <w:p>
      <w:pPr>
        <w:pStyle w:val="Compact"/>
        <w:numPr>
          <w:ilvl w:val="0"/>
          <w:numId w:val="1027"/>
        </w:numPr>
      </w:pPr>
      <w:r>
        <w:t xml:space="preserve">Antila R, et al. </w:t>
      </w:r>
      <w:r>
        <w:rPr>
          <w:i/>
          <w:iCs/>
        </w:rPr>
        <w:t xml:space="preserve">Association of cesarean scar defect with abnormal uterine bleeding.</w:t>
      </w:r>
      <w:r>
        <w:t xml:space="preserve"> </w:t>
      </w:r>
      <w:r>
        <w:t xml:space="preserve">Eur J Obstet Gynecol Reprod Biol 2020;244:134-140. —</w:t>
      </w:r>
      <w:r>
        <w:t xml:space="preserve"> </w:t>
      </w:r>
      <w:hyperlink r:id="rId122">
        <w:r>
          <w:rPr>
            <w:rStyle w:val="Hyperlink"/>
          </w:rPr>
          <w:t xml:space="preserve">PMID 31785470</w:t>
        </w:r>
      </w:hyperlink>
    </w:p>
    <w:p>
      <w:pPr>
        <w:pStyle w:val="Compact"/>
        <w:numPr>
          <w:ilvl w:val="0"/>
          <w:numId w:val="1027"/>
        </w:numPr>
      </w:pPr>
      <w:r>
        <w:t xml:space="preserve">Hoyos-Calderon YT, Martínez-Merinero P, Nunez-Nagy S, Pecos-Martín D, Calvo-Lobo C, Romero-Morales C, Abuín-Porras V, Serrano-Imedio A.</w:t>
      </w:r>
      <w:r>
        <w:t xml:space="preserve"> </w:t>
      </w:r>
      <w:r>
        <w:rPr>
          <w:i/>
          <w:iCs/>
        </w:rPr>
        <w:t xml:space="preserve">Myofascial Trigger Points and Central Sensitization Signs, but No Anxiety, Are Shown in Women with Dysmenorrhea: A Case-Control Study.</w:t>
      </w:r>
      <w:r>
        <w:t xml:space="preserve"> </w:t>
      </w:r>
      <w:r>
        <w:t xml:space="preserve">Biology (Basel) 2022;11(11):1550. —</w:t>
      </w:r>
      <w:r>
        <w:t xml:space="preserve"> </w:t>
      </w:r>
      <w:hyperlink r:id="rId123">
        <w:r>
          <w:rPr>
            <w:rStyle w:val="Hyperlink"/>
          </w:rPr>
          <w:t xml:space="preserve">PMID 36358253</w:t>
        </w:r>
      </w:hyperlink>
    </w:p>
    <w:p>
      <w:pPr>
        <w:pStyle w:val="Compact"/>
        <w:numPr>
          <w:ilvl w:val="0"/>
          <w:numId w:val="1027"/>
        </w:numPr>
      </w:pPr>
      <w:r>
        <w:t xml:space="preserve">Aspinall SL, Leboeuf-Yde C, Etherington SJ, Walker BF.</w:t>
      </w:r>
      <w:r>
        <w:t xml:space="preserve"> </w:t>
      </w:r>
      <w:r>
        <w:rPr>
          <w:i/>
          <w:iCs/>
        </w:rPr>
        <w:t xml:space="preserve">Manipulation-induced hypoalgesia in musculoskeletal pain populations: a systematic critical review and meta-analysis.</w:t>
      </w:r>
      <w:r>
        <w:t xml:space="preserve"> </w:t>
      </w:r>
      <w:r>
        <w:t xml:space="preserve">Chiropr Man Therap 2019;27:7. —</w:t>
      </w:r>
      <w:r>
        <w:t xml:space="preserve"> </w:t>
      </w:r>
      <w:hyperlink r:id="rId124">
        <w:r>
          <w:rPr>
            <w:rStyle w:val="Hyperlink"/>
          </w:rPr>
          <w:t xml:space="preserve">PMID 30719281</w:t>
        </w:r>
      </w:hyperlink>
    </w:p>
    <w:p>
      <w:pPr>
        <w:pStyle w:val="Compact"/>
        <w:numPr>
          <w:ilvl w:val="0"/>
          <w:numId w:val="1027"/>
        </w:numPr>
      </w:pPr>
      <w:r>
        <w:t xml:space="preserve">Jung A, Adamczyk WM, Ahmed A, van der Schalk L, Poesl M, Luedtke K, Szikszay TM.</w:t>
      </w:r>
      <w:r>
        <w:t xml:space="preserve"> </w:t>
      </w:r>
      <w:r>
        <w:rPr>
          <w:i/>
          <w:iCs/>
        </w:rPr>
        <w:t xml:space="preserve">No Sufficient Evidence for an Immediate Hypoalgesic Effect of Spinal Manual Therapy on Pressure Pain Thresholds in Asymptomatic and Chronic Pain Populations: A Systematic Review and Meta-Analysis.</w:t>
      </w:r>
      <w:r>
        <w:t xml:space="preserve"> </w:t>
      </w:r>
      <w:r>
        <w:t xml:space="preserve">Phys Ther 2023;103(3):pzad003. —</w:t>
      </w:r>
      <w:r>
        <w:t xml:space="preserve"> </w:t>
      </w:r>
      <w:hyperlink r:id="rId125">
        <w:r>
          <w:rPr>
            <w:rStyle w:val="Hyperlink"/>
          </w:rPr>
          <w:t xml:space="preserve">PMID 37172128</w:t>
        </w:r>
      </w:hyperlink>
    </w:p>
    <w:p>
      <w:pPr>
        <w:pStyle w:val="Compact"/>
        <w:numPr>
          <w:ilvl w:val="0"/>
          <w:numId w:val="1027"/>
        </w:numPr>
      </w:pPr>
      <w:r>
        <w:t xml:space="preserve">Jin S, Choi J, Lee H.</w:t>
      </w:r>
      <w:r>
        <w:t xml:space="preserve"> </w:t>
      </w:r>
      <w:r>
        <w:rPr>
          <w:i/>
          <w:iCs/>
        </w:rPr>
        <w:t xml:space="preserve">Effect of Myofascial Release on Pain and Uterine Artery Hemodynamic Indices in Women with Primary Dysmenorrhea: A Randomized Controlled Trial.</w:t>
      </w:r>
      <w:r>
        <w:t xml:space="preserve"> </w:t>
      </w:r>
      <w:r>
        <w:t xml:space="preserve">Medicina (Kaunas) 2025;61(10):1736. —</w:t>
      </w:r>
      <w:r>
        <w:t xml:space="preserve"> </w:t>
      </w:r>
      <w:hyperlink r:id="rId126">
        <w:r>
          <w:rPr>
            <w:rStyle w:val="Hyperlink"/>
          </w:rPr>
          <w:t xml:space="preserve">PMID 41155721</w:t>
        </w:r>
      </w:hyperlink>
    </w:p>
    <w:p>
      <w:pPr>
        <w:pStyle w:val="Compact"/>
        <w:numPr>
          <w:ilvl w:val="0"/>
          <w:numId w:val="1027"/>
        </w:numPr>
      </w:pPr>
      <w:r>
        <w:t xml:space="preserve">Becker L, et al. </w:t>
      </w:r>
      <w:r>
        <w:rPr>
          <w:i/>
          <w:iCs/>
        </w:rPr>
        <w:t xml:space="preserve">Validity of the fingertip-to-floor test.</w:t>
      </w:r>
      <w:r>
        <w:t xml:space="preserve"> </w:t>
      </w:r>
      <w:r>
        <w:t xml:space="preserve">Diagnostics 2023;13(4):625. —</w:t>
      </w:r>
      <w:r>
        <w:t xml:space="preserve"> </w:t>
      </w:r>
      <w:hyperlink r:id="rId127">
        <w:r>
          <w:rPr>
            <w:rStyle w:val="Hyperlink"/>
          </w:rPr>
          <w:t xml:space="preserve">PMID 36832125</w:t>
        </w:r>
      </w:hyperlink>
    </w:p>
    <w:p>
      <w:pPr>
        <w:pStyle w:val="Compact"/>
        <w:numPr>
          <w:ilvl w:val="0"/>
          <w:numId w:val="1027"/>
        </w:numPr>
      </w:pPr>
      <w:r>
        <w:t xml:space="preserve">Plathner M, Wolf L.</w:t>
      </w:r>
      <w:r>
        <w:t xml:space="preserve"> </w:t>
      </w:r>
      <w:r>
        <w:rPr>
          <w:i/>
          <w:iCs/>
        </w:rPr>
        <w:t xml:space="preserve">Effectiveness of osteopathic treatment in women with primary dysmenorrhea: A randomised controlled trial.</w:t>
      </w:r>
      <w:r>
        <w:t xml:space="preserve"> </w:t>
      </w:r>
      <w:r>
        <w:t xml:space="preserve">J Bodyw Mov Ther 2025;42:684-692. —</w:t>
      </w:r>
      <w:r>
        <w:t xml:space="preserve"> </w:t>
      </w:r>
      <w:hyperlink r:id="rId128">
        <w:r>
          <w:rPr>
            <w:rStyle w:val="Hyperlink"/>
          </w:rPr>
          <w:t xml:space="preserve">PMID 40325740</w:t>
        </w:r>
      </w:hyperlink>
    </w:p>
    <w:p>
      <w:pPr>
        <w:pStyle w:val="Compact"/>
        <w:numPr>
          <w:ilvl w:val="0"/>
          <w:numId w:val="1027"/>
        </w:numPr>
      </w:pPr>
      <w:r>
        <w:t xml:space="preserve">Burnett M, Lemyre M.</w:t>
      </w:r>
      <w:r>
        <w:t xml:space="preserve"> </w:t>
      </w:r>
      <w:r>
        <w:rPr>
          <w:i/>
          <w:iCs/>
        </w:rPr>
        <w:t xml:space="preserve">No. 345-Primary Dysmenorrhea Consensus Guideline.</w:t>
      </w:r>
      <w:r>
        <w:t xml:space="preserve"> </w:t>
      </w:r>
      <w:r>
        <w:t xml:space="preserve">J Obstet Gynaecol Can 2017;39(7):585-595. —</w:t>
      </w:r>
      <w:r>
        <w:t xml:space="preserve"> </w:t>
      </w:r>
      <w:hyperlink r:id="rId129">
        <w:r>
          <w:rPr>
            <w:rStyle w:val="Hyperlink"/>
          </w:rPr>
          <w:t xml:space="preserve">PMID 28625286</w:t>
        </w:r>
      </w:hyperlink>
    </w:p>
    <w:p>
      <w:pPr>
        <w:pStyle w:val="Compact"/>
        <w:numPr>
          <w:ilvl w:val="0"/>
          <w:numId w:val="1027"/>
        </w:numPr>
      </w:pPr>
      <w:r>
        <w:t xml:space="preserve">ACOG Practice Bulletin No. 193:</w:t>
      </w:r>
      <w:r>
        <w:t xml:space="preserve"> </w:t>
      </w:r>
      <w:r>
        <w:rPr>
          <w:i/>
          <w:iCs/>
        </w:rPr>
        <w:t xml:space="preserve">Tubal Ectopic Pregnancy.</w:t>
      </w:r>
      <w:r>
        <w:t xml:space="preserve"> </w:t>
      </w:r>
      <w:r>
        <w:t xml:space="preserve">Obstet Gynecol 2018;131(3):e91-e103. —</w:t>
      </w:r>
      <w:r>
        <w:t xml:space="preserve"> </w:t>
      </w:r>
      <w:hyperlink r:id="rId130">
        <w:r>
          <w:rPr>
            <w:rStyle w:val="Hyperlink"/>
          </w:rPr>
          <w:t xml:space="preserve">PMID 29470343</w:t>
        </w:r>
      </w:hyperlink>
    </w:p>
    <w:p>
      <w:pPr>
        <w:pStyle w:val="Compact"/>
        <w:numPr>
          <w:ilvl w:val="0"/>
          <w:numId w:val="1027"/>
        </w:numPr>
      </w:pPr>
      <w:r>
        <w:rPr>
          <w:i/>
          <w:iCs/>
        </w:rPr>
        <w:t xml:space="preserve">Adnexal Torsion in Adolescents: ACOG Committee Opinion No. 783.</w:t>
      </w:r>
      <w:r>
        <w:t xml:space="preserve"> </w:t>
      </w:r>
      <w:r>
        <w:t xml:space="preserve">Obstet Gynecol 2019;134(2):e56-e63. —</w:t>
      </w:r>
      <w:r>
        <w:t xml:space="preserve"> </w:t>
      </w:r>
      <w:hyperlink r:id="rId131">
        <w:r>
          <w:rPr>
            <w:rStyle w:val="Hyperlink"/>
          </w:rPr>
          <w:t xml:space="preserve">PMID 31348225</w:t>
        </w:r>
      </w:hyperlink>
    </w:p>
    <w:p>
      <w:pPr>
        <w:pStyle w:val="Compact"/>
        <w:numPr>
          <w:ilvl w:val="0"/>
          <w:numId w:val="1027"/>
        </w:numPr>
      </w:pPr>
      <w:r>
        <w:t xml:space="preserve">Workowski KA, Bachmann LH, Chan PA, et al. </w:t>
      </w:r>
      <w:r>
        <w:rPr>
          <w:i/>
          <w:iCs/>
        </w:rPr>
        <w:t xml:space="preserve">Sexually Transmitted Infections Treatment Guidelines, 2021.</w:t>
      </w:r>
      <w:r>
        <w:t xml:space="preserve"> </w:t>
      </w:r>
      <w:r>
        <w:t xml:space="preserve">MMWR Recomm Rep 2021;70(4):1-187. —</w:t>
      </w:r>
      <w:r>
        <w:t xml:space="preserve"> </w:t>
      </w:r>
      <w:hyperlink r:id="rId132">
        <w:r>
          <w:rPr>
            <w:rStyle w:val="Hyperlink"/>
          </w:rPr>
          <w:t xml:space="preserve">PMID 34292926</w:t>
        </w:r>
      </w:hyperlink>
    </w:p>
    <w:p>
      <w:pPr>
        <w:pStyle w:val="Compact"/>
        <w:numPr>
          <w:ilvl w:val="0"/>
          <w:numId w:val="1027"/>
        </w:numPr>
      </w:pPr>
      <w:r>
        <w:t xml:space="preserve">NICE.</w:t>
      </w:r>
      <w:r>
        <w:t xml:space="preserve"> </w:t>
      </w:r>
      <w:r>
        <w:rPr>
          <w:i/>
          <w:iCs/>
        </w:rPr>
        <w:t xml:space="preserve">Endometriosis: diagnosis and management.</w:t>
      </w:r>
      <w:r>
        <w:t xml:space="preserve"> </w:t>
      </w:r>
      <w:r>
        <w:t xml:space="preserve">NICE guideline NG73, 2017 (aggiornata 2024). —</w:t>
      </w:r>
      <w:r>
        <w:t xml:space="preserve"> </w:t>
      </w:r>
      <w:hyperlink r:id="rId133">
        <w:r>
          <w:rPr>
            <w:rStyle w:val="Hyperlink"/>
          </w:rPr>
          <w:t xml:space="preserve">https://www.nice.org.uk/guidance/ng73</w:t>
        </w:r>
      </w:hyperlink>
    </w:p>
    <w:p>
      <w:pPr>
        <w:pStyle w:val="Compact"/>
        <w:numPr>
          <w:ilvl w:val="0"/>
          <w:numId w:val="1027"/>
        </w:numPr>
      </w:pPr>
      <w:r>
        <w:t xml:space="preserve">Armour M, Smith CA, Steel KA, Macmillan F.</w:t>
      </w:r>
      <w:r>
        <w:t xml:space="preserve"> </w:t>
      </w:r>
      <w:r>
        <w:rPr>
          <w:i/>
          <w:iCs/>
        </w:rPr>
        <w:t xml:space="preserve">The effectiveness of self-care and lifestyle interventions in primary dysmenorrhea: a systematic review and meta-analysis.</w:t>
      </w:r>
      <w:r>
        <w:t xml:space="preserve"> </w:t>
      </w:r>
      <w:r>
        <w:t xml:space="preserve">BMC Complement Altern Med 2019;19(1):22. —</w:t>
      </w:r>
      <w:r>
        <w:t xml:space="preserve"> </w:t>
      </w:r>
      <w:hyperlink r:id="rId134">
        <w:r>
          <w:rPr>
            <w:rStyle w:val="Hyperlink"/>
          </w:rPr>
          <w:t xml:space="preserve">PMID 30654775</w:t>
        </w:r>
      </w:hyperlink>
    </w:p>
    <w:p>
      <w:pPr>
        <w:pStyle w:val="Compact"/>
        <w:numPr>
          <w:ilvl w:val="0"/>
          <w:numId w:val="1027"/>
        </w:numPr>
      </w:pPr>
      <w:r>
        <w:t xml:space="preserve">González-Mena Á, Leirós-Rodríguez R, Hernandez-Lucas P.</w:t>
      </w:r>
      <w:r>
        <w:t xml:space="preserve"> </w:t>
      </w:r>
      <w:r>
        <w:rPr>
          <w:i/>
          <w:iCs/>
        </w:rPr>
        <w:t xml:space="preserve">Treatment of Women With Primary Dysmenorrhea With Manual Therapy and Electrotherapy Techniques: A Systematic Review and Meta-Analysis.</w:t>
      </w:r>
      <w:r>
        <w:t xml:space="preserve"> </w:t>
      </w:r>
      <w:r>
        <w:t xml:space="preserve">Phys Ther 2024;104(5):pzae019. —</w:t>
      </w:r>
      <w:r>
        <w:t xml:space="preserve"> </w:t>
      </w:r>
      <w:hyperlink r:id="rId135">
        <w:r>
          <w:rPr>
            <w:rStyle w:val="Hyperlink"/>
          </w:rPr>
          <w:t xml:space="preserve">PMID 38366860</w:t>
        </w:r>
      </w:hyperlink>
    </w:p>
    <w:p>
      <w:pPr>
        <w:pStyle w:val="Compact"/>
        <w:numPr>
          <w:ilvl w:val="0"/>
          <w:numId w:val="1027"/>
        </w:numPr>
      </w:pPr>
      <w:r>
        <w:t xml:space="preserve">Gordon C, et al. </w:t>
      </w:r>
      <w:r>
        <w:rPr>
          <w:i/>
          <w:iCs/>
        </w:rPr>
        <w:t xml:space="preserve">Psychophysiological effects of osteopathic manipulative treatment: systematic review and meta-analysis.</w:t>
      </w:r>
      <w:r>
        <w:t xml:space="preserve"> </w:t>
      </w:r>
      <w:r>
        <w:t xml:space="preserve">BMJ Open 2025. —</w:t>
      </w:r>
      <w:r>
        <w:t xml:space="preserve"> </w:t>
      </w:r>
      <w:hyperlink r:id="rId136">
        <w:r>
          <w:rPr>
            <w:rStyle w:val="Hyperlink"/>
          </w:rPr>
          <w:t xml:space="preserve">PMID 39920074</w:t>
        </w:r>
      </w:hyperlink>
    </w:p>
    <w:p>
      <w:pPr>
        <w:pStyle w:val="Compact"/>
        <w:numPr>
          <w:ilvl w:val="0"/>
          <w:numId w:val="1027"/>
        </w:numPr>
      </w:pPr>
      <w:r>
        <w:t xml:space="preserve">Vicenzino B, Collins D, Benson H, Wright A.</w:t>
      </w:r>
      <w:r>
        <w:t xml:space="preserve"> </w:t>
      </w:r>
      <w:r>
        <w:rPr>
          <w:i/>
          <w:iCs/>
        </w:rPr>
        <w:t xml:space="preserve">An investigation of the interrelationship between manipulative therapy-induced hypoalgesia and sympathoexcitation.</w:t>
      </w:r>
      <w:r>
        <w:t xml:space="preserve"> </w:t>
      </w:r>
      <w:r>
        <w:t xml:space="preserve">J Manipulative Physiol Ther 1998;21(7):448-453. —</w:t>
      </w:r>
      <w:r>
        <w:t xml:space="preserve"> </w:t>
      </w:r>
      <w:hyperlink r:id="rId137">
        <w:r>
          <w:rPr>
            <w:rStyle w:val="Hyperlink"/>
          </w:rPr>
          <w:t xml:space="preserve">PMID 9777544</w:t>
        </w:r>
      </w:hyperlink>
    </w:p>
    <w:p>
      <w:pPr>
        <w:pStyle w:val="Compact"/>
        <w:numPr>
          <w:ilvl w:val="0"/>
          <w:numId w:val="1027"/>
        </w:numPr>
      </w:pPr>
      <w:r>
        <w:t xml:space="preserve">Deodato M, Grosso G, Drago A, Martini M, Dudine E, Murena L, Buoite Stella A.</w:t>
      </w:r>
      <w:r>
        <w:t xml:space="preserve"> </w:t>
      </w:r>
      <w:r>
        <w:rPr>
          <w:i/>
          <w:iCs/>
        </w:rPr>
        <w:t xml:space="preserve">Efficacy of manual therapy and pelvic floor exercises for pain reduction in primary dysmenorrhea: a prospective observational study.</w:t>
      </w:r>
      <w:r>
        <w:t xml:space="preserve"> </w:t>
      </w:r>
      <w:r>
        <w:t xml:space="preserve">J Bodyw Mov Ther 2023;36:185-191. —</w:t>
      </w:r>
      <w:r>
        <w:t xml:space="preserve"> </w:t>
      </w:r>
      <w:hyperlink r:id="rId138">
        <w:r>
          <w:rPr>
            <w:rStyle w:val="Hyperlink"/>
          </w:rPr>
          <w:t xml:space="preserve">PMID 37949558</w:t>
        </w:r>
      </w:hyperlink>
    </w:p>
    <w:p>
      <w:pPr>
        <w:pStyle w:val="Compact"/>
        <w:numPr>
          <w:ilvl w:val="0"/>
          <w:numId w:val="1027"/>
        </w:numPr>
      </w:pPr>
      <w:r>
        <w:t xml:space="preserve">Ozturk N, Gerçek Öter E, Kürek Eken M.</w:t>
      </w:r>
      <w:r>
        <w:t xml:space="preserve"> </w:t>
      </w:r>
      <w:r>
        <w:rPr>
          <w:i/>
          <w:iCs/>
        </w:rPr>
        <w:t xml:space="preserve">The effect of abdominal massage and stretching exercise on pain and dysmenorrhea symptoms in female university students: a single-blind randomized-controlled clinical trial.</w:t>
      </w:r>
      <w:r>
        <w:t xml:space="preserve"> </w:t>
      </w:r>
      <w:r>
        <w:t xml:space="preserve">Health Care Women Int 2023;44(5):621-638. —</w:t>
      </w:r>
      <w:r>
        <w:t xml:space="preserve"> </w:t>
      </w:r>
      <w:hyperlink r:id="rId139">
        <w:r>
          <w:rPr>
            <w:rStyle w:val="Hyperlink"/>
          </w:rPr>
          <w:t xml:space="preserve">PMID 35980872</w:t>
        </w:r>
      </w:hyperlink>
    </w:p>
    <w:p>
      <w:pPr>
        <w:pStyle w:val="Compact"/>
        <w:numPr>
          <w:ilvl w:val="0"/>
          <w:numId w:val="1027"/>
        </w:numPr>
      </w:pPr>
      <w:r>
        <w:t xml:space="preserve">Mohammadi MM, Mirjalili R, Faraji A.</w:t>
      </w:r>
      <w:r>
        <w:t xml:space="preserve"> </w:t>
      </w:r>
      <w:r>
        <w:rPr>
          <w:i/>
          <w:iCs/>
        </w:rPr>
        <w:t xml:space="preserve">The impact of omega-3 polyunsaturated fatty acids on primary dysmenorrhea: a systematic review and meta-analysis.</w:t>
      </w:r>
      <w:r>
        <w:t xml:space="preserve"> </w:t>
      </w:r>
      <w:r>
        <w:t xml:space="preserve">Eur J Clin Pharmacol 2022;78(5):721-731. —</w:t>
      </w:r>
      <w:r>
        <w:t xml:space="preserve"> </w:t>
      </w:r>
      <w:hyperlink r:id="rId140">
        <w:r>
          <w:rPr>
            <w:rStyle w:val="Hyperlink"/>
          </w:rPr>
          <w:t xml:space="preserve">PMID 35059756</w:t>
        </w:r>
      </w:hyperlink>
    </w:p>
    <w:p>
      <w:pPr>
        <w:pStyle w:val="Compact"/>
        <w:numPr>
          <w:ilvl w:val="0"/>
          <w:numId w:val="1027"/>
        </w:numPr>
      </w:pPr>
      <w:r>
        <w:t xml:space="preserve">StatPearls.</w:t>
      </w:r>
      <w:r>
        <w:t xml:space="preserve"> </w:t>
      </w:r>
      <w:r>
        <w:rPr>
          <w:i/>
          <w:iCs/>
        </w:rPr>
        <w:t xml:space="preserve">Rectus sheath hematoma.</w:t>
      </w:r>
      <w:r>
        <w:t xml:space="preserve"> </w:t>
      </w:r>
      <w:r>
        <w:t xml:space="preserve">—</w:t>
      </w:r>
      <w:r>
        <w:t xml:space="preserve"> </w:t>
      </w:r>
      <w:hyperlink r:id="rId141">
        <w:r>
          <w:rPr>
            <w:rStyle w:val="Hyperlink"/>
          </w:rPr>
          <w:t xml:space="preserve">PMID 30085575</w:t>
        </w:r>
      </w:hyperlink>
    </w:p>
    <w:p>
      <w:pPr>
        <w:pStyle w:val="Compact"/>
        <w:numPr>
          <w:ilvl w:val="0"/>
          <w:numId w:val="1027"/>
        </w:numPr>
      </w:pPr>
      <w:r>
        <w:t xml:space="preserve">Hebert JJ, Stomski NJ, French SD, Rubinstein SM.</w:t>
      </w:r>
      <w:r>
        <w:t xml:space="preserve"> </w:t>
      </w:r>
      <w:r>
        <w:rPr>
          <w:i/>
          <w:iCs/>
        </w:rPr>
        <w:t xml:space="preserve">Serious adverse events and spinal manipulative therapy of the low back region: a systematic review of cases.</w:t>
      </w:r>
      <w:r>
        <w:t xml:space="preserve"> </w:t>
      </w:r>
      <w:r>
        <w:t xml:space="preserve">J Manipulative Physiol Ther 2015;38(9):677-691. —</w:t>
      </w:r>
      <w:r>
        <w:t xml:space="preserve"> </w:t>
      </w:r>
      <w:hyperlink r:id="rId142">
        <w:r>
          <w:rPr>
            <w:rStyle w:val="Hyperlink"/>
          </w:rPr>
          <w:t xml:space="preserve">PMID 23787298</w:t>
        </w:r>
      </w:hyperlink>
    </w:p>
    <w:p>
      <w:pPr>
        <w:pStyle w:val="Compact"/>
        <w:numPr>
          <w:ilvl w:val="0"/>
          <w:numId w:val="1027"/>
        </w:numPr>
      </w:pPr>
      <w:r>
        <w:t xml:space="preserve">Zaccaro A, Piarulli A, Laurino M, Garbella E, Menicucci D, Neri B, Gemignani A.</w:t>
      </w:r>
      <w:r>
        <w:t xml:space="preserve"> </w:t>
      </w:r>
      <w:r>
        <w:rPr>
          <w:i/>
          <w:iCs/>
        </w:rPr>
        <w:t xml:space="preserve">How Breath-Control Can Change Your Life: A Systematic Review on Psycho-Physiological Correlates of Slow Breathing.</w:t>
      </w:r>
      <w:r>
        <w:t xml:space="preserve"> </w:t>
      </w:r>
      <w:r>
        <w:t xml:space="preserve">Front Hum Neurosci 2018;12:353. —</w:t>
      </w:r>
      <w:r>
        <w:t xml:space="preserve"> </w:t>
      </w:r>
      <w:hyperlink r:id="rId143">
        <w:r>
          <w:rPr>
            <w:rStyle w:val="Hyperlink"/>
          </w:rPr>
          <w:t xml:space="preserve">PMID 30245619</w:t>
        </w:r>
      </w:hyperlink>
    </w:p>
    <w:p>
      <w:pPr>
        <w:pStyle w:val="Compact"/>
        <w:numPr>
          <w:ilvl w:val="0"/>
          <w:numId w:val="1027"/>
        </w:numPr>
      </w:pPr>
      <w:r>
        <w:t xml:space="preserve">Toprak Celenay S, Avci B, Pinarcik BN, Celik S.</w:t>
      </w:r>
      <w:r>
        <w:t xml:space="preserve"> </w:t>
      </w:r>
      <w:r>
        <w:rPr>
          <w:i/>
          <w:iCs/>
        </w:rPr>
        <w:t xml:space="preserve">Diaphragmatic breathing exercise in primary dysmenorrhea: a randomized controlled trial.</w:t>
      </w:r>
      <w:r>
        <w:t xml:space="preserve"> </w:t>
      </w:r>
      <w:r>
        <w:t xml:space="preserve">Pain Res Manag 2026. —</w:t>
      </w:r>
      <w:r>
        <w:t xml:space="preserve"> </w:t>
      </w:r>
      <w:hyperlink r:id="rId144">
        <w:r>
          <w:rPr>
            <w:rStyle w:val="Hyperlink"/>
          </w:rPr>
          <w:t xml:space="preserve">PMID 42366725</w:t>
        </w:r>
      </w:hyperlink>
    </w:p>
    <w:p>
      <w:pPr>
        <w:pStyle w:val="Compact"/>
        <w:numPr>
          <w:ilvl w:val="0"/>
          <w:numId w:val="1027"/>
        </w:numPr>
      </w:pPr>
      <w:r>
        <w:t xml:space="preserve">Akin M, Price W, Rodriguez G Jr, et al. </w:t>
      </w:r>
      <w:r>
        <w:rPr>
          <w:i/>
          <w:iCs/>
        </w:rPr>
        <w:t xml:space="preserve">Continuous, low-level, topical heat wrap therapy as compared to acetaminophen for primary dysmenorrhea.</w:t>
      </w:r>
      <w:r>
        <w:t xml:space="preserve"> </w:t>
      </w:r>
      <w:r>
        <w:t xml:space="preserve">J Reprod Med 2004;49(9):739-745. —</w:t>
      </w:r>
      <w:r>
        <w:t xml:space="preserve"> </w:t>
      </w:r>
      <w:hyperlink r:id="rId145">
        <w:r>
          <w:rPr>
            <w:rStyle w:val="Hyperlink"/>
          </w:rPr>
          <w:t xml:space="preserve">PMID 15493566</w:t>
        </w:r>
      </w:hyperlink>
    </w:p>
    <w:p>
      <w:pPr>
        <w:pStyle w:val="Compact"/>
        <w:numPr>
          <w:ilvl w:val="0"/>
          <w:numId w:val="1027"/>
        </w:numPr>
      </w:pPr>
      <w:r>
        <w:t xml:space="preserve">Jo J, Lee SH.</w:t>
      </w:r>
      <w:r>
        <w:t xml:space="preserve"> </w:t>
      </w:r>
      <w:r>
        <w:rPr>
          <w:i/>
          <w:iCs/>
        </w:rPr>
        <w:t xml:space="preserve">Heat therapy for primary dysmenorrhea: a systematic review and meta-analysis.</w:t>
      </w:r>
      <w:r>
        <w:t xml:space="preserve"> </w:t>
      </w:r>
      <w:r>
        <w:t xml:space="preserve">Sci Rep 2018;8:16252. —</w:t>
      </w:r>
      <w:r>
        <w:t xml:space="preserve"> </w:t>
      </w:r>
      <w:hyperlink r:id="rId146">
        <w:r>
          <w:rPr>
            <w:rStyle w:val="Hyperlink"/>
          </w:rPr>
          <w:t xml:space="preserve">PMID 30389956</w:t>
        </w:r>
      </w:hyperlink>
    </w:p>
    <w:p>
      <w:pPr>
        <w:pStyle w:val="Compact"/>
        <w:numPr>
          <w:ilvl w:val="0"/>
          <w:numId w:val="1027"/>
        </w:numPr>
      </w:pPr>
      <w:r>
        <w:t xml:space="preserve">Scurtu F, et al. </w:t>
      </w:r>
      <w:r>
        <w:rPr>
          <w:i/>
          <w:iCs/>
        </w:rPr>
        <w:t xml:space="preserve">Erythema ab igne: a review.</w:t>
      </w:r>
      <w:r>
        <w:t xml:space="preserve"> </w:t>
      </w:r>
      <w:r>
        <w:t xml:space="preserve">Life (Basel) 2025;15(10):1533. —</w:t>
      </w:r>
      <w:r>
        <w:t xml:space="preserve"> </w:t>
      </w:r>
      <w:hyperlink r:id="rId147">
        <w:r>
          <w:rPr>
            <w:rStyle w:val="Hyperlink"/>
          </w:rPr>
          <w:t xml:space="preserve">PMID 41157206</w:t>
        </w:r>
      </w:hyperlink>
    </w:p>
    <w:p>
      <w:pPr>
        <w:pStyle w:val="Compact"/>
        <w:numPr>
          <w:ilvl w:val="0"/>
          <w:numId w:val="1027"/>
        </w:numPr>
      </w:pPr>
      <w:r>
        <w:t xml:space="preserve">Han S, Park KS, Lee H, Kim E, Zhu X, Lee JM, Suh HS.</w:t>
      </w:r>
      <w:r>
        <w:t xml:space="preserve"> </w:t>
      </w:r>
      <w:r>
        <w:rPr>
          <w:i/>
          <w:iCs/>
        </w:rPr>
        <w:t xml:space="preserve">Transcutaneous electrical nerve stimulation (TENS) for pain control in women with primary dysmenorrhoea.</w:t>
      </w:r>
      <w:r>
        <w:t xml:space="preserve"> </w:t>
      </w:r>
      <w:r>
        <w:t xml:space="preserve">Cochrane Database Syst Rev 2024;7(7):CD013331. —</w:t>
      </w:r>
      <w:r>
        <w:t xml:space="preserve"> </w:t>
      </w:r>
      <w:hyperlink r:id="rId148">
        <w:r>
          <w:rPr>
            <w:rStyle w:val="Hyperlink"/>
          </w:rPr>
          <w:t xml:space="preserve">PMID 39037764</w:t>
        </w:r>
      </w:hyperlink>
    </w:p>
    <w:p>
      <w:pPr>
        <w:pStyle w:val="Compact"/>
        <w:numPr>
          <w:ilvl w:val="0"/>
          <w:numId w:val="1027"/>
        </w:numPr>
      </w:pPr>
      <w:r>
        <w:t xml:space="preserve">Dua A, Gillespie E.</w:t>
      </w:r>
      <w:r>
        <w:t xml:space="preserve"> </w:t>
      </w:r>
      <w:r>
        <w:rPr>
          <w:i/>
          <w:iCs/>
        </w:rPr>
        <w:t xml:space="preserve">Transcutaneous electrical nerve stimulation.</w:t>
      </w:r>
      <w:r>
        <w:t xml:space="preserve"> </w:t>
      </w:r>
      <w:r>
        <w:t xml:space="preserve">StatPearls. —</w:t>
      </w:r>
      <w:r>
        <w:t xml:space="preserve"> </w:t>
      </w:r>
      <w:hyperlink r:id="rId149">
        <w:r>
          <w:rPr>
            <w:rStyle w:val="Hyperlink"/>
          </w:rPr>
          <w:t xml:space="preserve">PMID 30725873</w:t>
        </w:r>
      </w:hyperlink>
    </w:p>
    <w:bookmarkEnd w:id="150"/>
    <w:bookmarkEnd w:id="1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9" Target="https://pubmed.ncbi.nlm.nih.gov/15008771/" TargetMode="External" /><Relationship Type="http://schemas.openxmlformats.org/officeDocument/2006/relationships/hyperlink" Id="rId145" Target="https://pubmed.ncbi.nlm.nih.gov/15493566/" TargetMode="External" /><Relationship Type="http://schemas.openxmlformats.org/officeDocument/2006/relationships/hyperlink" Id="rId107" Target="https://pubmed.ncbi.nlm.nih.gov/15916208/" TargetMode="External" /><Relationship Type="http://schemas.openxmlformats.org/officeDocument/2006/relationships/hyperlink" Id="rId92" Target="https://pubmed.ncbi.nlm.nih.gov/16484239/" TargetMode="External" /><Relationship Type="http://schemas.openxmlformats.org/officeDocument/2006/relationships/hyperlink" Id="rId113" Target="https://pubmed.ncbi.nlm.nih.gov/16855988/" TargetMode="External" /><Relationship Type="http://schemas.openxmlformats.org/officeDocument/2006/relationships/hyperlink" Id="rId106" Target="https://pubmed.ncbi.nlm.nih.gov/16880317/" TargetMode="External" /><Relationship Type="http://schemas.openxmlformats.org/officeDocument/2006/relationships/hyperlink" Id="rId115" Target="https://pubmed.ncbi.nlm.nih.gov/20638177/" TargetMode="External" /><Relationship Type="http://schemas.openxmlformats.org/officeDocument/2006/relationships/hyperlink" Id="rId110" Target="https://pubmed.ncbi.nlm.nih.gov/21524851/" TargetMode="External" /><Relationship Type="http://schemas.openxmlformats.org/officeDocument/2006/relationships/hyperlink" Id="rId116" Target="https://pubmed.ncbi.nlm.nih.gov/23727940/" TargetMode="External" /><Relationship Type="http://schemas.openxmlformats.org/officeDocument/2006/relationships/hyperlink" Id="rId142" Target="https://pubmed.ncbi.nlm.nih.gov/23787298/" TargetMode="External" /><Relationship Type="http://schemas.openxmlformats.org/officeDocument/2006/relationships/hyperlink" Id="rId94" Target="https://pubmed.ncbi.nlm.nih.gov/24284871/" TargetMode="External" /><Relationship Type="http://schemas.openxmlformats.org/officeDocument/2006/relationships/hyperlink" Id="rId102" Target="https://pubmed.ncbi.nlm.nih.gov/24666560/" TargetMode="External" /><Relationship Type="http://schemas.openxmlformats.org/officeDocument/2006/relationships/hyperlink" Id="rId104" Target="https://pubmed.ncbi.nlm.nih.gov/25164021/" TargetMode="External" /><Relationship Type="http://schemas.openxmlformats.org/officeDocument/2006/relationships/hyperlink" Id="rId105" Target="https://pubmed.ncbi.nlm.nih.gov/26224322/" TargetMode="External" /><Relationship Type="http://schemas.openxmlformats.org/officeDocument/2006/relationships/hyperlink" Id="rId109" Target="https://pubmed.ncbi.nlm.nih.gov/26346058/" TargetMode="External" /><Relationship Type="http://schemas.openxmlformats.org/officeDocument/2006/relationships/hyperlink" Id="rId129" Target="https://pubmed.ncbi.nlm.nih.gov/28625286/" TargetMode="External" /><Relationship Type="http://schemas.openxmlformats.org/officeDocument/2006/relationships/hyperlink" Id="rId100" Target="https://pubmed.ncbi.nlm.nih.gov/29262069/" TargetMode="External" /><Relationship Type="http://schemas.openxmlformats.org/officeDocument/2006/relationships/hyperlink" Id="rId130" Target="https://pubmed.ncbi.nlm.nih.gov/29470343/" TargetMode="External" /><Relationship Type="http://schemas.openxmlformats.org/officeDocument/2006/relationships/hyperlink" Id="rId141" Target="https://pubmed.ncbi.nlm.nih.gov/30085575/" TargetMode="External" /><Relationship Type="http://schemas.openxmlformats.org/officeDocument/2006/relationships/hyperlink" Id="rId143" Target="https://pubmed.ncbi.nlm.nih.gov/30245619/" TargetMode="External" /><Relationship Type="http://schemas.openxmlformats.org/officeDocument/2006/relationships/hyperlink" Id="rId146" Target="https://pubmed.ncbi.nlm.nih.gov/30389956/" TargetMode="External" /><Relationship Type="http://schemas.openxmlformats.org/officeDocument/2006/relationships/hyperlink" Id="rId98" Target="https://pubmed.ncbi.nlm.nih.gov/30461694/" TargetMode="External" /><Relationship Type="http://schemas.openxmlformats.org/officeDocument/2006/relationships/hyperlink" Id="rId134" Target="https://pubmed.ncbi.nlm.nih.gov/30654775/" TargetMode="External" /><Relationship Type="http://schemas.openxmlformats.org/officeDocument/2006/relationships/hyperlink" Id="rId124" Target="https://pubmed.ncbi.nlm.nih.gov/30719281/" TargetMode="External" /><Relationship Type="http://schemas.openxmlformats.org/officeDocument/2006/relationships/hyperlink" Id="rId149" Target="https://pubmed.ncbi.nlm.nih.gov/30725873/" TargetMode="External" /><Relationship Type="http://schemas.openxmlformats.org/officeDocument/2006/relationships/hyperlink" Id="rId97" Target="https://pubmed.ncbi.nlm.nih.gov/31170024/" TargetMode="External" /><Relationship Type="http://schemas.openxmlformats.org/officeDocument/2006/relationships/hyperlink" Id="rId131" Target="https://pubmed.ncbi.nlm.nih.gov/31348225/" TargetMode="External" /><Relationship Type="http://schemas.openxmlformats.org/officeDocument/2006/relationships/hyperlink" Id="rId118" Target="https://pubmed.ncbi.nlm.nih.gov/31538328/" TargetMode="External" /><Relationship Type="http://schemas.openxmlformats.org/officeDocument/2006/relationships/hyperlink" Id="rId122" Target="https://pubmed.ncbi.nlm.nih.gov/31785470/" TargetMode="External" /><Relationship Type="http://schemas.openxmlformats.org/officeDocument/2006/relationships/hyperlink" Id="rId112" Target="https://pubmed.ncbi.nlm.nih.gov/32034979/" TargetMode="External" /><Relationship Type="http://schemas.openxmlformats.org/officeDocument/2006/relationships/hyperlink" Id="rId111" Target="https://pubmed.ncbi.nlm.nih.gov/32168005/" TargetMode="External" /><Relationship Type="http://schemas.openxmlformats.org/officeDocument/2006/relationships/hyperlink" Id="rId93" Target="https://pubmed.ncbi.nlm.nih.gov/33275699/" TargetMode="External" /><Relationship Type="http://schemas.openxmlformats.org/officeDocument/2006/relationships/hyperlink" Id="rId132" Target="https://pubmed.ncbi.nlm.nih.gov/34292926/" TargetMode="External" /><Relationship Type="http://schemas.openxmlformats.org/officeDocument/2006/relationships/hyperlink" Id="rId140" Target="https://pubmed.ncbi.nlm.nih.gov/35059756/" TargetMode="External" /><Relationship Type="http://schemas.openxmlformats.org/officeDocument/2006/relationships/hyperlink" Id="rId95" Target="https://pubmed.ncbi.nlm.nih.gov/35350465/" TargetMode="External" /><Relationship Type="http://schemas.openxmlformats.org/officeDocument/2006/relationships/hyperlink" Id="rId117" Target="https://pubmed.ncbi.nlm.nih.gov/35556238/" TargetMode="External" /><Relationship Type="http://schemas.openxmlformats.org/officeDocument/2006/relationships/hyperlink" Id="rId96" Target="https://pubmed.ncbi.nlm.nih.gov/35569788/" TargetMode="External" /><Relationship Type="http://schemas.openxmlformats.org/officeDocument/2006/relationships/hyperlink" Id="rId139" Target="https://pubmed.ncbi.nlm.nih.gov/35980872/" TargetMode="External" /><Relationship Type="http://schemas.openxmlformats.org/officeDocument/2006/relationships/hyperlink" Id="rId123" Target="https://pubmed.ncbi.nlm.nih.gov/36358253/" TargetMode="External" /><Relationship Type="http://schemas.openxmlformats.org/officeDocument/2006/relationships/hyperlink" Id="rId103" Target="https://pubmed.ncbi.nlm.nih.gov/36359567/" TargetMode="External" /><Relationship Type="http://schemas.openxmlformats.org/officeDocument/2006/relationships/hyperlink" Id="rId127" Target="https://pubmed.ncbi.nlm.nih.gov/36832125/" TargetMode="External" /><Relationship Type="http://schemas.openxmlformats.org/officeDocument/2006/relationships/hyperlink" Id="rId125" Target="https://pubmed.ncbi.nlm.nih.gov/37172128/" TargetMode="External" /><Relationship Type="http://schemas.openxmlformats.org/officeDocument/2006/relationships/hyperlink" Id="rId138" Target="https://pubmed.ncbi.nlm.nih.gov/37949558/" TargetMode="External" /><Relationship Type="http://schemas.openxmlformats.org/officeDocument/2006/relationships/hyperlink" Id="rId135" Target="https://pubmed.ncbi.nlm.nih.gov/38366860/" TargetMode="External" /><Relationship Type="http://schemas.openxmlformats.org/officeDocument/2006/relationships/hyperlink" Id="rId121" Target="https://pubmed.ncbi.nlm.nih.gov/38602164/" TargetMode="External" /><Relationship Type="http://schemas.openxmlformats.org/officeDocument/2006/relationships/hyperlink" Id="rId91" Target="https://pubmed.ncbi.nlm.nih.gov/38736680/" TargetMode="External" /><Relationship Type="http://schemas.openxmlformats.org/officeDocument/2006/relationships/hyperlink" Id="rId119" Target="https://pubmed.ncbi.nlm.nih.gov/38816591/" TargetMode="External" /><Relationship Type="http://schemas.openxmlformats.org/officeDocument/2006/relationships/hyperlink" Id="rId108" Target="https://pubmed.ncbi.nlm.nih.gov/38887385/" TargetMode="External" /><Relationship Type="http://schemas.openxmlformats.org/officeDocument/2006/relationships/hyperlink" Id="rId148" Target="https://pubmed.ncbi.nlm.nih.gov/39037764/" TargetMode="External" /><Relationship Type="http://schemas.openxmlformats.org/officeDocument/2006/relationships/hyperlink" Id="rId114" Target="https://pubmed.ncbi.nlm.nih.gov/39459464/" TargetMode="External" /><Relationship Type="http://schemas.openxmlformats.org/officeDocument/2006/relationships/hyperlink" Id="rId136" Target="https://pubmed.ncbi.nlm.nih.gov/39920074/" TargetMode="External" /><Relationship Type="http://schemas.openxmlformats.org/officeDocument/2006/relationships/hyperlink" Id="rId128" Target="https://pubmed.ncbi.nlm.nih.gov/40325740/" TargetMode="External" /><Relationship Type="http://schemas.openxmlformats.org/officeDocument/2006/relationships/hyperlink" Id="rId120" Target="https://pubmed.ncbi.nlm.nih.gov/40868570/" TargetMode="External" /><Relationship Type="http://schemas.openxmlformats.org/officeDocument/2006/relationships/hyperlink" Id="rId126" Target="https://pubmed.ncbi.nlm.nih.gov/41155721/" TargetMode="External" /><Relationship Type="http://schemas.openxmlformats.org/officeDocument/2006/relationships/hyperlink" Id="rId147" Target="https://pubmed.ncbi.nlm.nih.gov/41157206/" TargetMode="External" /><Relationship Type="http://schemas.openxmlformats.org/officeDocument/2006/relationships/hyperlink" Id="rId144" Target="https://pubmed.ncbi.nlm.nih.gov/42366725/" TargetMode="External" /><Relationship Type="http://schemas.openxmlformats.org/officeDocument/2006/relationships/hyperlink" Id="rId101" Target="https://pubmed.ncbi.nlm.nih.gov/9211480/" TargetMode="External" /><Relationship Type="http://schemas.openxmlformats.org/officeDocument/2006/relationships/hyperlink" Id="rId137" Target="https://pubmed.ncbi.nlm.nih.gov/9777544/" TargetMode="External" /><Relationship Type="http://schemas.openxmlformats.org/officeDocument/2006/relationships/hyperlink" Id="rId133" Target="https://www.nice.org.uk/guidance/ng73" TargetMode="External" /></Relationships>
</file>

<file path=word/_rels/footnotes.xml.rels><?xml version="1.0" encoding="UTF-8"?><Relationships xmlns="http://schemas.openxmlformats.org/package/2006/relationships"><Relationship Type="http://schemas.openxmlformats.org/officeDocument/2006/relationships/hyperlink" Id="rId99" Target="https://pubmed.ncbi.nlm.nih.gov/15008771/" TargetMode="External" /><Relationship Type="http://schemas.openxmlformats.org/officeDocument/2006/relationships/hyperlink" Id="rId145" Target="https://pubmed.ncbi.nlm.nih.gov/15493566/" TargetMode="External" /><Relationship Type="http://schemas.openxmlformats.org/officeDocument/2006/relationships/hyperlink" Id="rId107" Target="https://pubmed.ncbi.nlm.nih.gov/15916208/" TargetMode="External" /><Relationship Type="http://schemas.openxmlformats.org/officeDocument/2006/relationships/hyperlink" Id="rId92" Target="https://pubmed.ncbi.nlm.nih.gov/16484239/" TargetMode="External" /><Relationship Type="http://schemas.openxmlformats.org/officeDocument/2006/relationships/hyperlink" Id="rId113" Target="https://pubmed.ncbi.nlm.nih.gov/16855988/" TargetMode="External" /><Relationship Type="http://schemas.openxmlformats.org/officeDocument/2006/relationships/hyperlink" Id="rId106" Target="https://pubmed.ncbi.nlm.nih.gov/16880317/" TargetMode="External" /><Relationship Type="http://schemas.openxmlformats.org/officeDocument/2006/relationships/hyperlink" Id="rId115" Target="https://pubmed.ncbi.nlm.nih.gov/20638177/" TargetMode="External" /><Relationship Type="http://schemas.openxmlformats.org/officeDocument/2006/relationships/hyperlink" Id="rId110" Target="https://pubmed.ncbi.nlm.nih.gov/21524851/" TargetMode="External" /><Relationship Type="http://schemas.openxmlformats.org/officeDocument/2006/relationships/hyperlink" Id="rId116" Target="https://pubmed.ncbi.nlm.nih.gov/23727940/" TargetMode="External" /><Relationship Type="http://schemas.openxmlformats.org/officeDocument/2006/relationships/hyperlink" Id="rId142" Target="https://pubmed.ncbi.nlm.nih.gov/23787298/" TargetMode="External" /><Relationship Type="http://schemas.openxmlformats.org/officeDocument/2006/relationships/hyperlink" Id="rId94" Target="https://pubmed.ncbi.nlm.nih.gov/24284871/" TargetMode="External" /><Relationship Type="http://schemas.openxmlformats.org/officeDocument/2006/relationships/hyperlink" Id="rId102" Target="https://pubmed.ncbi.nlm.nih.gov/24666560/" TargetMode="External" /><Relationship Type="http://schemas.openxmlformats.org/officeDocument/2006/relationships/hyperlink" Id="rId104" Target="https://pubmed.ncbi.nlm.nih.gov/25164021/" TargetMode="External" /><Relationship Type="http://schemas.openxmlformats.org/officeDocument/2006/relationships/hyperlink" Id="rId105" Target="https://pubmed.ncbi.nlm.nih.gov/26224322/" TargetMode="External" /><Relationship Type="http://schemas.openxmlformats.org/officeDocument/2006/relationships/hyperlink" Id="rId109" Target="https://pubmed.ncbi.nlm.nih.gov/26346058/" TargetMode="External" /><Relationship Type="http://schemas.openxmlformats.org/officeDocument/2006/relationships/hyperlink" Id="rId129" Target="https://pubmed.ncbi.nlm.nih.gov/28625286/" TargetMode="External" /><Relationship Type="http://schemas.openxmlformats.org/officeDocument/2006/relationships/hyperlink" Id="rId100" Target="https://pubmed.ncbi.nlm.nih.gov/29262069/" TargetMode="External" /><Relationship Type="http://schemas.openxmlformats.org/officeDocument/2006/relationships/hyperlink" Id="rId130" Target="https://pubmed.ncbi.nlm.nih.gov/29470343/" TargetMode="External" /><Relationship Type="http://schemas.openxmlformats.org/officeDocument/2006/relationships/hyperlink" Id="rId141" Target="https://pubmed.ncbi.nlm.nih.gov/30085575/" TargetMode="External" /><Relationship Type="http://schemas.openxmlformats.org/officeDocument/2006/relationships/hyperlink" Id="rId143" Target="https://pubmed.ncbi.nlm.nih.gov/30245619/" TargetMode="External" /><Relationship Type="http://schemas.openxmlformats.org/officeDocument/2006/relationships/hyperlink" Id="rId146" Target="https://pubmed.ncbi.nlm.nih.gov/30389956/" TargetMode="External" /><Relationship Type="http://schemas.openxmlformats.org/officeDocument/2006/relationships/hyperlink" Id="rId98" Target="https://pubmed.ncbi.nlm.nih.gov/30461694/" TargetMode="External" /><Relationship Type="http://schemas.openxmlformats.org/officeDocument/2006/relationships/hyperlink" Id="rId134" Target="https://pubmed.ncbi.nlm.nih.gov/30654775/" TargetMode="External" /><Relationship Type="http://schemas.openxmlformats.org/officeDocument/2006/relationships/hyperlink" Id="rId124" Target="https://pubmed.ncbi.nlm.nih.gov/30719281/" TargetMode="External" /><Relationship Type="http://schemas.openxmlformats.org/officeDocument/2006/relationships/hyperlink" Id="rId149" Target="https://pubmed.ncbi.nlm.nih.gov/30725873/" TargetMode="External" /><Relationship Type="http://schemas.openxmlformats.org/officeDocument/2006/relationships/hyperlink" Id="rId97" Target="https://pubmed.ncbi.nlm.nih.gov/31170024/" TargetMode="External" /><Relationship Type="http://schemas.openxmlformats.org/officeDocument/2006/relationships/hyperlink" Id="rId131" Target="https://pubmed.ncbi.nlm.nih.gov/31348225/" TargetMode="External" /><Relationship Type="http://schemas.openxmlformats.org/officeDocument/2006/relationships/hyperlink" Id="rId118" Target="https://pubmed.ncbi.nlm.nih.gov/31538328/" TargetMode="External" /><Relationship Type="http://schemas.openxmlformats.org/officeDocument/2006/relationships/hyperlink" Id="rId122" Target="https://pubmed.ncbi.nlm.nih.gov/31785470/" TargetMode="External" /><Relationship Type="http://schemas.openxmlformats.org/officeDocument/2006/relationships/hyperlink" Id="rId112" Target="https://pubmed.ncbi.nlm.nih.gov/32034979/" TargetMode="External" /><Relationship Type="http://schemas.openxmlformats.org/officeDocument/2006/relationships/hyperlink" Id="rId111" Target="https://pubmed.ncbi.nlm.nih.gov/32168005/" TargetMode="External" /><Relationship Type="http://schemas.openxmlformats.org/officeDocument/2006/relationships/hyperlink" Id="rId93" Target="https://pubmed.ncbi.nlm.nih.gov/33275699/" TargetMode="External" /><Relationship Type="http://schemas.openxmlformats.org/officeDocument/2006/relationships/hyperlink" Id="rId132" Target="https://pubmed.ncbi.nlm.nih.gov/34292926/" TargetMode="External" /><Relationship Type="http://schemas.openxmlformats.org/officeDocument/2006/relationships/hyperlink" Id="rId140" Target="https://pubmed.ncbi.nlm.nih.gov/35059756/" TargetMode="External" /><Relationship Type="http://schemas.openxmlformats.org/officeDocument/2006/relationships/hyperlink" Id="rId95" Target="https://pubmed.ncbi.nlm.nih.gov/35350465/" TargetMode="External" /><Relationship Type="http://schemas.openxmlformats.org/officeDocument/2006/relationships/hyperlink" Id="rId117" Target="https://pubmed.ncbi.nlm.nih.gov/35556238/" TargetMode="External" /><Relationship Type="http://schemas.openxmlformats.org/officeDocument/2006/relationships/hyperlink" Id="rId96" Target="https://pubmed.ncbi.nlm.nih.gov/35569788/" TargetMode="External" /><Relationship Type="http://schemas.openxmlformats.org/officeDocument/2006/relationships/hyperlink" Id="rId139" Target="https://pubmed.ncbi.nlm.nih.gov/35980872/" TargetMode="External" /><Relationship Type="http://schemas.openxmlformats.org/officeDocument/2006/relationships/hyperlink" Id="rId123" Target="https://pubmed.ncbi.nlm.nih.gov/36358253/" TargetMode="External" /><Relationship Type="http://schemas.openxmlformats.org/officeDocument/2006/relationships/hyperlink" Id="rId103" Target="https://pubmed.ncbi.nlm.nih.gov/36359567/" TargetMode="External" /><Relationship Type="http://schemas.openxmlformats.org/officeDocument/2006/relationships/hyperlink" Id="rId127" Target="https://pubmed.ncbi.nlm.nih.gov/36832125/" TargetMode="External" /><Relationship Type="http://schemas.openxmlformats.org/officeDocument/2006/relationships/hyperlink" Id="rId125" Target="https://pubmed.ncbi.nlm.nih.gov/37172128/" TargetMode="External" /><Relationship Type="http://schemas.openxmlformats.org/officeDocument/2006/relationships/hyperlink" Id="rId138" Target="https://pubmed.ncbi.nlm.nih.gov/37949558/" TargetMode="External" /><Relationship Type="http://schemas.openxmlformats.org/officeDocument/2006/relationships/hyperlink" Id="rId135" Target="https://pubmed.ncbi.nlm.nih.gov/38366860/" TargetMode="External" /><Relationship Type="http://schemas.openxmlformats.org/officeDocument/2006/relationships/hyperlink" Id="rId121" Target="https://pubmed.ncbi.nlm.nih.gov/38602164/" TargetMode="External" /><Relationship Type="http://schemas.openxmlformats.org/officeDocument/2006/relationships/hyperlink" Id="rId91" Target="https://pubmed.ncbi.nlm.nih.gov/38736680/" TargetMode="External" /><Relationship Type="http://schemas.openxmlformats.org/officeDocument/2006/relationships/hyperlink" Id="rId119" Target="https://pubmed.ncbi.nlm.nih.gov/38816591/" TargetMode="External" /><Relationship Type="http://schemas.openxmlformats.org/officeDocument/2006/relationships/hyperlink" Id="rId108" Target="https://pubmed.ncbi.nlm.nih.gov/38887385/" TargetMode="External" /><Relationship Type="http://schemas.openxmlformats.org/officeDocument/2006/relationships/hyperlink" Id="rId148" Target="https://pubmed.ncbi.nlm.nih.gov/39037764/" TargetMode="External" /><Relationship Type="http://schemas.openxmlformats.org/officeDocument/2006/relationships/hyperlink" Id="rId114" Target="https://pubmed.ncbi.nlm.nih.gov/39459464/" TargetMode="External" /><Relationship Type="http://schemas.openxmlformats.org/officeDocument/2006/relationships/hyperlink" Id="rId136" Target="https://pubmed.ncbi.nlm.nih.gov/39920074/" TargetMode="External" /><Relationship Type="http://schemas.openxmlformats.org/officeDocument/2006/relationships/hyperlink" Id="rId128" Target="https://pubmed.ncbi.nlm.nih.gov/40325740/" TargetMode="External" /><Relationship Type="http://schemas.openxmlformats.org/officeDocument/2006/relationships/hyperlink" Id="rId120" Target="https://pubmed.ncbi.nlm.nih.gov/40868570/" TargetMode="External" /><Relationship Type="http://schemas.openxmlformats.org/officeDocument/2006/relationships/hyperlink" Id="rId126" Target="https://pubmed.ncbi.nlm.nih.gov/41155721/" TargetMode="External" /><Relationship Type="http://schemas.openxmlformats.org/officeDocument/2006/relationships/hyperlink" Id="rId147" Target="https://pubmed.ncbi.nlm.nih.gov/41157206/" TargetMode="External" /><Relationship Type="http://schemas.openxmlformats.org/officeDocument/2006/relationships/hyperlink" Id="rId144" Target="https://pubmed.ncbi.nlm.nih.gov/42366725/" TargetMode="External" /><Relationship Type="http://schemas.openxmlformats.org/officeDocument/2006/relationships/hyperlink" Id="rId101" Target="https://pubmed.ncbi.nlm.nih.gov/9211480/" TargetMode="External" /><Relationship Type="http://schemas.openxmlformats.org/officeDocument/2006/relationships/hyperlink" Id="rId137" Target="https://pubmed.ncbi.nlm.nih.gov/9777544/" TargetMode="External" /><Relationship Type="http://schemas.openxmlformats.org/officeDocument/2006/relationships/hyperlink" Id="rId133" Target="https://www.nice.org.uk/guidance/ng7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Ciclo Doloroso</dc:title>
  <dc:creator>Mobilitas — Direzione Osteopatica</dc:creator>
  <dc:language>it-IT</dc:language>
  <cp:keywords/>
  <dcterms:created xsi:type="dcterms:W3CDTF">2026-08-28T17:45:26Z</dcterms:created>
  <dcterms:modified xsi:type="dcterms:W3CDTF">2026-08-28T17:45:26Z</dcterms:modified>
</cp:coreProperties>
</file>

<file path=docProps/custom.xml><?xml version="1.0" encoding="utf-8"?>
<Properties xmlns="http://schemas.openxmlformats.org/officeDocument/2006/custom-properties" xmlns:vt="http://schemas.openxmlformats.org/officeDocument/2006/docPropsVTypes"/>
</file>