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8" w:name="ciclo-doloroso-mappa-concettuale"/>
    <w:p>
      <w:pPr>
        <w:pStyle w:val="Heading1"/>
      </w:pPr>
      <w:r>
        <w:t xml:space="preserve">Ciclo doloroso — Mappa concettuale</w:t>
      </w:r>
    </w:p>
    <w:p>
      <w:pPr>
        <w:pStyle w:val="FirstParagraph"/>
      </w:pPr>
      <w:r>
        <w:rPr>
          <w:b/>
          <w:bCs/>
        </w:rPr>
        <w:t xml:space="preserve">Condizione:</w:t>
      </w:r>
      <w:r>
        <w:t xml:space="preserve"> </w:t>
      </w:r>
      <w:r>
        <w:t xml:space="preserve">ciclo doloroso (dismenorrea) ·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Mike Armour (Western Sydney University)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Maria Adele Giamberardino (Università di Chieti) ·</w:t>
      </w:r>
      <w:r>
        <w:t xml:space="preserve"> </w:t>
      </w:r>
      <w:r>
        <w:rPr>
          <w:b/>
          <w:bCs/>
        </w:rPr>
        <w:t xml:space="preserve">Versione:</w:t>
      </w:r>
      <w:r>
        <w:t xml:space="preserve"> </w:t>
      </w:r>
      <w:r>
        <w:t xml:space="preserve">v7 finale ·</w:t>
      </w:r>
      <w:r>
        <w:t xml:space="preserve"> </w:t>
      </w:r>
      <w:r>
        <w:rPr>
          <w:b/>
          <w:bCs/>
        </w:rPr>
        <w:t xml:space="preserve">28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3"/>
      </w:pPr>
      <w:r>
        <w:t xml:space="preserve">1 — La condizione in tre righe</w:t>
      </w:r>
    </w:p>
    <w:p>
      <w:pPr>
        <w:pStyle w:val="FirstParagraph"/>
      </w:pPr>
      <w:r>
        <w:t xml:space="preserve">Dolore mestruale crampiforme di origine uterina. Si irradia alla lombosacrale, all’interno coscia e al pavimento pelvico.</w:t>
      </w:r>
      <w:r>
        <w:t xml:space="preserve"> </w:t>
      </w:r>
      <w:r>
        <w:t xml:space="preserve">Riguarda circa sette giovani donne su dieci; il dolore che ferma le attività ne riguarda una minoranza.</w:t>
      </w:r>
      <w:r>
        <w:t xml:space="preserve"> </w:t>
      </w:r>
      <w:r>
        <w:t xml:space="preserve">Tende a ridursi con l’età, con le gravidanze e con la pillola. Il peggioramento anno dopo anno fa scrivere al ginecologo, ma</w:t>
      </w:r>
      <w:r>
        <w:t xml:space="preserve"> </w:t>
      </w:r>
      <w:r>
        <w:rPr>
          <w:b/>
          <w:bCs/>
        </w:rPr>
        <w:t xml:space="preserve">non è specifico</w:t>
      </w:r>
      <w:r>
        <w:t xml:space="preserve"> </w:t>
      </w:r>
      <w:r>
        <w:t xml:space="preserve">della forma secondaria (Weissman 2004).</w:t>
      </w:r>
    </w:p>
    <w:p>
      <w:r>
        <w:pict>
          <v:rect style="width:0;height:1.5pt" o:hralign="center" o:hrstd="t" o:hr="t"/>
        </w:pict>
      </w:r>
    </w:p>
    <w:bookmarkEnd w:id="9"/>
    <w:bookmarkStart w:id="10" w:name="la-sequenza-causale"/>
    <w:p>
      <w:pPr>
        <w:pStyle w:val="Heading3"/>
      </w:pPr>
      <w:r>
        <w:t xml:space="preserve">2 — La sequenza causale</w:t>
      </w:r>
    </w:p>
    <w:p>
      <w:pPr>
        <w:pStyle w:val="FirstParagraph"/>
      </w:pPr>
      <w:r>
        <w:rPr>
          <w:rStyle w:val="VerbatimChar"/>
        </w:rPr>
        <w:t xml:space="preserve">caduta del progesterone → prostaglandine dall'endometrio → contrazioni frequenti e tono di base alto → il sangue non rientra fra una contrazione e l'altra → crampo che sale a T10-L1 → riflesso viscero-somatico e iperalgesia nel muscolo della parete addominale</w:t>
      </w:r>
    </w:p>
    <w:p>
      <w:r>
        <w:pict>
          <v:rect style="width:0;height:1.5pt" o:hralign="center" o:hrstd="t" o:hr="t"/>
        </w:pict>
      </w:r>
    </w:p>
    <w:bookmarkEnd w:id="10"/>
    <w:bookmarkStart w:id="11" w:name="i-meccanismi-e-quanto-sono-solidi"/>
    <w:p>
      <w:pPr>
        <w:pStyle w:val="Heading3"/>
      </w:pPr>
      <w:r>
        <w:t xml:space="preserve">3 — I meccanismi e quanto sono solidi</w:t>
      </w:r>
    </w:p>
    <w:p>
      <w:pPr>
        <w:pStyle w:val="FirstParagraph"/>
      </w:pPr>
      <w:r>
        <w:rPr>
          <w:b/>
          <w:bCs/>
        </w:rPr>
        <w:t xml:space="preserve">L’ordine è didattico — dal generatore alla cornice — non per solidità:</w:t>
      </w:r>
      <w:r>
        <w:t xml:space="preserve"> </w:t>
      </w:r>
      <w:r>
        <w:t xml:space="preserve">il terzo è più solido del secondo e il quinto del quarto. La regola che li attraversa: il più solido è il meno tuo, quello su cui incidi di più è il meno solido.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rubinetto chiuso dal muscolo</w:t>
            </w:r>
          </w:p>
        </w:tc>
        <w:tc>
          <w:tcPr/>
          <w:p>
            <w:pPr>
              <w:pStyle w:val="Compact"/>
            </w:pPr>
            <w:r>
              <w:t xml:space="preserve">Crampo a ondate, cede al calore</w:t>
            </w:r>
          </w:p>
        </w:tc>
        <w:tc>
          <w:tcPr/>
          <w:p>
            <w:pPr>
              <w:pStyle w:val="Compact"/>
            </w:pPr>
            <w:r>
              <w:t xml:space="preserve">DIMOSTRATO + 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bilancia tarata male</w:t>
            </w:r>
          </w:p>
        </w:tc>
        <w:tc>
          <w:tcPr/>
          <w:p>
            <w:pPr>
              <w:pStyle w:val="Compact"/>
            </w:pPr>
            <w:r>
              <w:t xml:space="preserve">Dolori multipli, anche fuori ciclo</w:t>
            </w:r>
          </w:p>
        </w:tc>
        <w:tc>
          <w:tcPr/>
          <w:p>
            <w:pPr>
              <w:pStyle w:val="Compact"/>
            </w:pPr>
            <w:r>
              <w:t xml:space="preserve">DIMOSTRATO +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campanello incastrato</w:t>
            </w:r>
          </w:p>
        </w:tc>
        <w:tc>
          <w:tcPr/>
          <w:p>
            <w:pPr>
              <w:pStyle w:val="Compact"/>
            </w:pPr>
            <w:r>
              <w:t xml:space="preserve">Palpazione della parete riproduce il dolore</w:t>
            </w:r>
          </w:p>
        </w:tc>
        <w:tc>
          <w:tcPr/>
          <w:p>
            <w:pPr>
              <w:pStyle w:val="Compact"/>
            </w:pPr>
            <w:r>
              <w:t xml:space="preserve">DIMOSTRATO + 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porta che struscia</w:t>
            </w:r>
          </w:p>
        </w:tc>
        <w:tc>
          <w:tcPr/>
          <w:p>
            <w:pPr>
              <w:pStyle w:val="Compact"/>
            </w:pPr>
            <w:r>
              <w:t xml:space="preserve">Lombosacrale dolente tutto il mese</w:t>
            </w:r>
          </w:p>
        </w:tc>
        <w:tc>
          <w:tcPr/>
          <w:p>
            <w:pPr>
              <w:pStyle w:val="Compact"/>
            </w:pPr>
            <w:r>
              <w:t xml:space="preserve">IPOTESI + 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calendario nero</w:t>
            </w:r>
          </w:p>
        </w:tc>
        <w:tc>
          <w:tcPr/>
          <w:p>
            <w:pPr>
              <w:pStyle w:val="Compact"/>
            </w:pPr>
            <w:r>
              <w:t xml:space="preserve">Mese organizzato su due date</w:t>
            </w:r>
          </w:p>
        </w:tc>
        <w:tc>
          <w:tcPr/>
          <w:p>
            <w:pPr>
              <w:pStyle w:val="Compact"/>
            </w:pPr>
            <w:r>
              <w:t xml:space="preserve">PROBABILE + IPOTESI</w:t>
            </w:r>
          </w:p>
        </w:tc>
      </w:tr>
    </w:tbl>
    <w:p>
      <w:pPr>
        <w:pStyle w:val="BodyText"/>
      </w:pPr>
      <w:r>
        <w:rPr>
          <w:b/>
          <w:bCs/>
        </w:rPr>
        <w:t xml:space="preserve">1 e 3 sono dolore nocicettivo, 2 è dolore nociplastico:</w:t>
      </w:r>
      <w:r>
        <w:t xml:space="preserve"> </w:t>
      </w:r>
      <w:r>
        <w:t xml:space="preserve">sul nociplastico insistere sul carico locale non paga.</w:t>
      </w:r>
      <w:r>
        <w:t xml:space="preserve"> </w:t>
      </w:r>
      <w:r>
        <w:rPr>
          <w:b/>
          <w:bCs/>
        </w:rPr>
        <w:t xml:space="preserve">Il muscolo della parete si aspetta dolente e assottigliato, non duro:</w:t>
      </w:r>
      <w:r>
        <w:t xml:space="preserve"> </w:t>
      </w:r>
      <w:r>
        <w:t xml:space="preserve">chi cerca ipertono conclude che il reperto non c’è.</w:t>
      </w:r>
      <w:r>
        <w:t xml:space="preserve"> </w:t>
      </w:r>
      <w:r>
        <w:rPr>
          <w:b/>
          <w:bCs/>
        </w:rPr>
        <w:t xml:space="preserve">Il crampo non è tuo:</w:t>
      </w:r>
      <w:r>
        <w:t xml:space="preserve"> </w:t>
      </w:r>
      <w:r>
        <w:t xml:space="preserve">il generatore è chimico e interno. Le prove di ciascuna etichetta, e i loro limiti, stanno in «Cosa si rompe».</w:t>
      </w:r>
    </w:p>
    <w:p>
      <w:r>
        <w:pict>
          <v:rect style="width:0;height:1.5pt" o:hralign="center" o:hrstd="t" o:hr="t"/>
        </w:pict>
      </w:r>
    </w:p>
    <w:bookmarkEnd w:id="11"/>
    <w:bookmarkStart w:id="12" w:name="i-sottotipi-e-chi-comanda"/>
    <w:p>
      <w:pPr>
        <w:pStyle w:val="Heading3"/>
      </w:pPr>
      <w:r>
        <w:t xml:space="preserve">4 —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Primaria giovane tipica</w:t>
            </w:r>
          </w:p>
        </w:tc>
        <w:tc>
          <w:tcPr/>
          <w:p>
            <w:pPr>
              <w:pStyle w:val="Compact"/>
            </w:pPr>
            <w:r>
              <w:t xml:space="preserve">Esordio entro un anno dal menarca</w:t>
            </w:r>
          </w:p>
        </w:tc>
        <w:tc>
          <w:tcPr/>
          <w:p>
            <w:pPr>
              <w:pStyle w:val="Compact"/>
            </w:pPr>
            <w:r>
              <w:t xml:space="preserve">Poco: la leva è altrove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Parete addominale iperalgesica</w:t>
            </w:r>
          </w:p>
        </w:tc>
        <w:tc>
          <w:tcPr/>
          <w:p>
            <w:pPr>
              <w:pStyle w:val="Compact"/>
            </w:pPr>
            <w:r>
              <w:t xml:space="preserve">Palpazione riproduce</w:t>
            </w:r>
            <w:r>
              <w:t xml:space="preserve"> </w:t>
            </w:r>
            <w:r>
              <w:t xml:space="preserve">“il suo”</w:t>
            </w:r>
            <w:r>
              <w:t xml:space="preserve"> </w:t>
            </w:r>
            <w:r>
              <w:t xml:space="preserve">dolore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abbassata diffusa</w:t>
            </w:r>
          </w:p>
        </w:tc>
        <w:tc>
          <w:tcPr/>
          <w:p>
            <w:pPr>
              <w:pStyle w:val="Compact"/>
            </w:pPr>
            <w:r>
              <w:t xml:space="preserve">Dolori multipli, soglie basse ovunque</w:t>
            </w:r>
          </w:p>
        </w:tc>
        <w:tc>
          <w:tcPr/>
          <w:p>
            <w:pPr>
              <w:pStyle w:val="Compact"/>
            </w:pPr>
            <w:r>
              <w:t xml:space="preserve">Abbastanza: il bersaglio è lo stato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Sospetta secondaria</w:t>
            </w:r>
          </w:p>
        </w:tc>
        <w:tc>
          <w:tcPr/>
          <w:p>
            <w:pPr>
              <w:pStyle w:val="Compact"/>
            </w:pPr>
            <w:r>
              <w:t xml:space="preserve">Peggiora anno dopo anno</w:t>
            </w:r>
          </w:p>
        </w:tc>
        <w:tc>
          <w:tcPr/>
          <w:p>
            <w:pPr>
              <w:pStyle w:val="Compact"/>
            </w:pPr>
            <w:r>
              <w:t xml:space="preserve">Si invia; parete e lombare restano trattabili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dispositivo o causa nota</w:t>
            </w:r>
          </w:p>
        </w:tc>
        <w:tc>
          <w:tcPr/>
          <w:p>
            <w:pPr>
              <w:pStyle w:val="Compact"/>
            </w:pPr>
            <w:r>
              <w:t xml:space="preserve">Comparsa dopo spirale al rame</w:t>
            </w:r>
          </w:p>
        </w:tc>
        <w:tc>
          <w:tcPr/>
          <w:p>
            <w:pPr>
              <w:pStyle w:val="Compact"/>
            </w:pPr>
            <w:r>
              <w:t xml:space="preserve">Si segnala; il ciclo non è il bersaglio</w:t>
            </w:r>
          </w:p>
        </w:tc>
      </w:tr>
    </w:tbl>
    <w:p>
      <w:pPr>
        <w:pStyle w:val="BodyText"/>
      </w:pPr>
      <w:r>
        <w:rPr>
          <w:b/>
          <w:bCs/>
        </w:rPr>
        <w:t xml:space="preserve">Nell’adolescente l’esordio precoce rassicura solo se il dolore non è ingravescente e risponde al farmaco:</w:t>
      </w:r>
      <w:r>
        <w:t xml:space="preserve"> </w:t>
      </w:r>
      <w:r>
        <w:t xml:space="preserve">le anomalie ostruttive del tratto riproduttivo si presentano proprio in quella finestra.</w:t>
      </w:r>
    </w:p>
    <w:p>
      <w:r>
        <w:pict>
          <v:rect style="width:0;height:1.5pt" o:hralign="center" o:hrstd="t" o:hr="t"/>
        </w:pict>
      </w:r>
    </w:p>
    <w:bookmarkEnd w:id="12"/>
    <w:bookmarkStart w:id="13" w:name="le-bandiere-rosse"/>
    <w:p>
      <w:pPr>
        <w:pStyle w:val="Heading3"/>
      </w:pPr>
      <w:r>
        <w:t xml:space="preserve">5 — Le bandiere rosse</w:t>
      </w:r>
    </w:p>
    <w:p>
      <w:pPr>
        <w:pStyle w:val="FirstParagraph"/>
      </w:pPr>
      <w:r>
        <w:rPr>
          <w:b/>
          <w:bCs/>
        </w:rPr>
        <w:t xml:space="preserve">ROSSO, si esce subito</w:t>
      </w:r>
      <w:r>
        <w:t xml:space="preserve"> </w:t>
      </w:r>
      <w:r>
        <w:t xml:space="preserve">- Dolore pelvico acuto violentissimo, diverso dal solito → pronto soccorso →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Ritardo mestruale o gravidanza possibile, con dolore</w:t>
      </w:r>
      <w:r>
        <w:t xml:space="preserve"> </w:t>
      </w:r>
      <w:r>
        <w:t xml:space="preserve">→ pronto soccorso ginecologico →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- Febbre con perdite maleodoranti → medico o pronto soccorso →</w:t>
      </w:r>
      <w:r>
        <w:t xml:space="preserve"> </w:t>
      </w:r>
      <w:r>
        <w:rPr>
          <w:b/>
          <w:bCs/>
        </w:rPr>
        <w:t xml:space="preserve">in giornata</w:t>
      </w:r>
      <w:r>
        <w:t xml:space="preserve"> </w:t>
      </w:r>
      <w:r>
        <w:t xml:space="preserve">- Dolore unilaterale a esordio brusco con vomito → pronto soccorso ginecologico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BodyText"/>
      </w:pPr>
      <w:r>
        <w:rPr>
          <w:b/>
          <w:bCs/>
        </w:rPr>
        <w:t xml:space="preserve">GIALLO PRIORITARIO, si lavora in parallelo e si scrive</w:t>
      </w:r>
      <w:r>
        <w:t xml:space="preserve"> </w:t>
      </w:r>
      <w:r>
        <w:t xml:space="preserve">- Peggioramento progressivo ciclo dopo ciclo · Nessuna risposta a farmaco più ormone dopo 3-6 mesi · Dismenorrea comparsa dopo anni di cicli indolori · Sanguinamenti abbondanti fuori dal ciclo → ginecologo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Dolore ciclico a spalla o torace, tosse ciclica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Sintomi urinari ciclici, ematuria o disuria mestruale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Dolore ciclico alla defecazione o sangue rettale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Infertilità o gravidanza cercata e non ottenuta</w:t>
      </w:r>
      <w:r>
        <w:t xml:space="preserve"> </w:t>
      </w:r>
      <w:r>
        <w:t xml:space="preserve">→ ginecologo con competenza endometriosi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Flusso abbondante con astenia o pallore</w:t>
      </w:r>
      <w:r>
        <w:t xml:space="preserve"> </w:t>
      </w:r>
      <w:r>
        <w:t xml:space="preserve">(emocromo, non è materia tua) ·</w:t>
      </w:r>
      <w:r>
        <w:t xml:space="preserve"> </w:t>
      </w:r>
      <w:r>
        <w:rPr>
          <w:b/>
          <w:bCs/>
        </w:rPr>
        <w:t xml:space="preserve">Reperto profondo inatteso che lei non riconosce</w:t>
      </w:r>
      <w:r>
        <w:t xml:space="preserve"> </w:t>
      </w:r>
      <w:r>
        <w:t xml:space="preserve">→ medico curante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Dolore severo ingravescente entro un anno dal menarca</w:t>
      </w:r>
      <w:r>
        <w:t xml:space="preserve"> </w:t>
      </w:r>
      <w:r>
        <w:t xml:space="preserve">→ ginecologo, non attendere</w:t>
      </w:r>
    </w:p>
    <w:p>
      <w:pPr>
        <w:pStyle w:val="BodyText"/>
      </w:pPr>
      <w:r>
        <w:rPr>
          <w:b/>
          <w:bCs/>
        </w:rPr>
        <w:t xml:space="preserve">Rete, non filtro:</w:t>
      </w:r>
      <w:r>
        <w:t xml:space="preserve"> </w:t>
      </w:r>
      <w:r>
        <w:t xml:space="preserve">una riga presente ti fa fermare; tutte assenti non ti autorizzano a escludere niente.</w:t>
      </w:r>
      <w:r>
        <w:t xml:space="preserve"> </w:t>
      </w:r>
      <w:r>
        <w:rPr>
          <w:b/>
          <w:bCs/>
        </w:rPr>
        <w:t xml:space="preserve">Un’ecografia normale non apre il VERDE:</w:t>
      </w:r>
      <w:r>
        <w:t xml:space="preserve"> </w:t>
      </w:r>
      <w:r>
        <w:t xml:space="preserve">un’immagine negativa non esclude l’endometriosi peritoneale superficiale.</w:t>
      </w:r>
      <w:r>
        <w:t xml:space="preserve"> </w:t>
      </w:r>
      <w:r>
        <w:rPr>
          <w:b/>
          <w:bCs/>
        </w:rPr>
        <w:t xml:space="preserve">In ROSSO non si tratta:</w:t>
      </w:r>
      <w:r>
        <w:t xml:space="preserve"> </w:t>
      </w:r>
      <w:r>
        <w:t xml:space="preserve">il permesso di lavorare su una disfunzione autonoma vale nel GIALLO, non lì.</w:t>
      </w:r>
    </w:p>
    <w:p>
      <w:r>
        <w:pict>
          <v:rect style="width:0;height:1.5pt" o:hralign="center" o:hrstd="t" o:hr="t"/>
        </w:pict>
      </w:r>
    </w:p>
    <w:bookmarkEnd w:id="13"/>
    <w:bookmarkStart w:id="14" w:name="come-decidi-e-su-cosa-verifichi"/>
    <w:p>
      <w:pPr>
        <w:pStyle w:val="Heading3"/>
      </w:pPr>
      <w:r>
        <w:t xml:space="preserve">6 — Come decidi, e su cosa verifichi</w:t>
      </w:r>
    </w:p>
    <w:p>
      <w:pPr>
        <w:pStyle w:val="FirstParagraph"/>
      </w:pPr>
      <w:r>
        <w:rPr>
          <w:b/>
          <w:bCs/>
        </w:rPr>
        <w:t xml:space="preserve">Passo 0 (filtro, non ragionamento):</w:t>
      </w:r>
      <w:r>
        <w:t xml:space="preserve"> </w:t>
      </w:r>
      <w:r>
        <w:t xml:space="preserve">da quando fa male, e cosa è cambiato allora? Cerca la spirale al rame e la cicatrice sull’addome basso.</w:t>
      </w:r>
      <w:r>
        <w:t xml:space="preserve"> </w:t>
      </w:r>
      <w:r>
        <w:rPr>
          <w:b/>
          <w:bCs/>
        </w:rPr>
        <w:t xml:space="preserve">Road Map:</w:t>
      </w:r>
      <w:r>
        <w:t xml:space="preserve"> </w:t>
      </w:r>
      <w:r>
        <w:t xml:space="preserve">1) c’è un pattern da rimandare indietro? → 2) qual è il livello di attivazione? → 3) il contenitore si muove? → 4) la parete è una sorgente? → 5) quanto pesa la componente lombo-sacrale? → 6) cosa sposta la prognosi nello stile di vita? →</w:t>
      </w:r>
      <w:r>
        <w:t xml:space="preserve"> </w:t>
      </w:r>
      <w:r>
        <w:rPr>
          <w:b/>
          <w:bCs/>
        </w:rPr>
        <w:t xml:space="preserve">7) si sceglie: comanda il piano positivo più alto; se è positivo solo il locale, comanda il locale e lo dichiari.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Soglia</w:t>
            </w:r>
          </w:p>
        </w:tc>
        <w:tc>
          <w:tcPr/>
          <w:p>
            <w:pPr>
              <w:pStyle w:val="Compact"/>
            </w:pPr>
            <w:r>
              <w:t xml:space="preserve">Ruolo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di pressione, retto addome sinistro</w:t>
            </w:r>
          </w:p>
        </w:tc>
        <w:tc>
          <w:tcPr/>
          <w:p>
            <w:pPr>
              <w:pStyle w:val="Compact"/>
            </w:pPr>
            <w:r>
              <w:t xml:space="preserve">+15% sulla mediana di tre</w:t>
            </w:r>
          </w:p>
        </w:tc>
        <w:tc>
          <w:tcPr/>
          <w:p>
            <w:pPr>
              <w:pStyle w:val="Compact"/>
            </w:pPr>
            <w:r>
              <w:t xml:space="preserve">Effetto immediato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di pressione, deltoide controlaterale</w:t>
            </w:r>
          </w:p>
        </w:tc>
        <w:tc>
          <w:tcPr/>
          <w:p>
            <w:pPr>
              <w:pStyle w:val="Compact"/>
            </w:pPr>
            <w:r>
              <w:t xml:space="preserve">+15% sulla mediana di tre</w:t>
            </w:r>
          </w:p>
        </w:tc>
        <w:tc>
          <w:tcPr/>
          <w:p>
            <w:pPr>
              <w:pStyle w:val="Compact"/>
            </w:pPr>
            <w:r>
              <w:t xml:space="preserve">Prova della chiave di volta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Escursione lombare, Schober modificato</w:t>
            </w:r>
          </w:p>
        </w:tc>
        <w:tc>
          <w:tcPr/>
          <w:p>
            <w:pPr>
              <w:pStyle w:val="Compact"/>
            </w:pPr>
            <w:r>
              <w:t xml:space="preserve">Doppio dell’errore della misura</w:t>
            </w:r>
          </w:p>
        </w:tc>
        <w:tc>
          <w:tcPr/>
          <w:p>
            <w:pPr>
              <w:pStyle w:val="Compact"/>
            </w:pPr>
            <w:r>
              <w:t xml:space="preserve">Effetto immediato o fuori piano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Giorni del ciclo con programma cambiato</w:t>
            </w:r>
          </w:p>
        </w:tc>
        <w:tc>
          <w:tcPr/>
          <w:p>
            <w:pPr>
              <w:pStyle w:val="Compact"/>
            </w:pPr>
            <w:r>
              <w:t xml:space="preserve">−1 giorno</w:t>
            </w:r>
          </w:p>
        </w:tc>
        <w:tc>
          <w:tcPr/>
          <w:p>
            <w:pPr>
              <w:pStyle w:val="Compact"/>
            </w:pPr>
            <w:r>
              <w:t xml:space="preserve">Esito, su due cicli</w:t>
            </w:r>
          </w:p>
        </w:tc>
      </w:tr>
    </w:tbl>
    <w:p>
      <w:pPr>
        <w:pStyle w:val="BodyText"/>
      </w:pPr>
      <w:r>
        <w:rPr>
          <w:b/>
          <w:bCs/>
        </w:rPr>
        <w:t xml:space="preserve">Il marker che decide appartiene a un piano che non hai trattato.</w:t>
      </w:r>
      <w:r>
        <w:t xml:space="preserve"> </w:t>
      </w:r>
      <w:r>
        <w:t xml:space="preserve">E nella paziente il cui piano dominante è lo stato il deltoide non è più fuori piano: si usa un marker locale.</w:t>
      </w:r>
      <w:r>
        <w:t xml:space="preserve"> </w:t>
      </w:r>
      <w:r>
        <w:rPr>
          <w:b/>
          <w:bCs/>
        </w:rPr>
        <w:t xml:space="preserve">Le due soglie algometriche si rimisurano nella stessa fase del ciclo</w:t>
      </w:r>
      <w:r>
        <w:t xml:space="preserve">, con il giorno scritto accanto al numero. Variano con la fase, e un confronto fra fasi diverse non si legge.</w:t>
      </w:r>
      <w:r>
        <w:t xml:space="preserve"> </w:t>
      </w:r>
      <w:r>
        <w:rPr>
          <w:b/>
          <w:bCs/>
        </w:rPr>
        <w:t xml:space="preserve">Una soglia che sale non prova un effetto tuo.</w:t>
      </w:r>
      <w:r>
        <w:t xml:space="preserve"> </w:t>
      </w:r>
      <w:r>
        <w:t xml:space="preserve">Dopo terapia manuale la soglia sale in modo sistemico, e contro il finto trattamento non si separa (Aspinall 2019, Jung 2023); su questa condizione sale in entrambi i gruppi (Jin 2025). Dice che hai prodotto un cambiamento in questa paziente, non che sia specifico: per quello serve il marker fuori piano.</w:t>
      </w:r>
    </w:p>
    <w:p>
      <w:r>
        <w:pict>
          <v:rect style="width:0;height:1.5pt" o:hralign="center" o:hrstd="t" o:hr="t"/>
        </w:pict>
      </w:r>
    </w:p>
    <w:bookmarkEnd w:id="14"/>
    <w:bookmarkStart w:id="15" w:name="la-sicurezza-del-gesto"/>
    <w:p>
      <w:pPr>
        <w:pStyle w:val="Heading3"/>
      </w:pPr>
      <w:r>
        <w:t xml:space="preserve">7 — La sicurezza del gesto</w:t>
      </w:r>
    </w:p>
    <w:p>
      <w:pPr>
        <w:pStyle w:val="FirstParagraph"/>
      </w:pPr>
      <w:r>
        <w:rPr>
          <w:b/>
          <w:bCs/>
        </w:rPr>
        <w:t xml:space="preserve">Quattro domande prima di ogni contatto sull’addome basso</w:t>
      </w:r>
      <w:r>
        <w:t xml:space="preserve">, e ognuna cambia la condotta. Gravidanza possibile o ritardo →</w:t>
      </w:r>
      <w:r>
        <w:t xml:space="preserve"> </w:t>
      </w:r>
      <w:r>
        <w:rPr>
          <w:b/>
          <w:bCs/>
        </w:rPr>
        <w:t xml:space="preserve">ROSSO</w:t>
      </w:r>
      <w:r>
        <w:t xml:space="preserve">. Dispositivo intrauterino → segnalazione al prescrittore. Dolore acuto in corso →</w:t>
      </w:r>
      <w:r>
        <w:t xml:space="preserve"> </w:t>
      </w:r>
      <w:r>
        <w:rPr>
          <w:b/>
          <w:bCs/>
        </w:rPr>
        <w:t xml:space="preserve">ROSSO</w:t>
      </w:r>
      <w:r>
        <w:t xml:space="preserve">. Massa nota o non nota, e terapia anticoagulante. Le eziologie che ciascuna esclude stanno nella Bibbia.</w:t>
      </w:r>
      <w:r>
        <w:t xml:space="preserve"> </w:t>
      </w:r>
      <w:r>
        <w:rPr>
          <w:b/>
          <w:bCs/>
        </w:rPr>
        <w:t xml:space="preserve">Il lombo-sacrale ha un rischio proprio, raro e con un nome:</w:t>
      </w:r>
      <w:r>
        <w:t xml:space="preserve"> </w:t>
      </w:r>
      <w:r>
        <w:t xml:space="preserve">cauda equina ed ernia discale. Prima di lavorarci si cercano deficit agli arti inferiori, disturbi sfinterici, anestesia a sella, dolore notturno ingravescente.</w:t>
      </w:r>
      <w:r>
        <w:t xml:space="preserve"> </w:t>
      </w:r>
      <w:r>
        <w:rPr>
          <w:b/>
          <w:bCs/>
        </w:rPr>
        <w:t xml:space="preserve">Nessuna manovra interna, vaginale o rettale:</w:t>
      </w:r>
      <w:r>
        <w:t xml:space="preserve"> </w:t>
      </w:r>
      <w:r>
        <w:t xml:space="preserve">non è materia di consenso, è fuori dal profilo professionale.</w:t>
      </w:r>
      <w:r>
        <w:t xml:space="preserve"> </w:t>
      </w:r>
      <w:r>
        <w:t xml:space="preserve">L’esito di un test si scrive nell’unità del marker —</w:t>
      </w:r>
      <w:r>
        <w:t xml:space="preserve"> </w:t>
      </w:r>
      <w:r>
        <w:rPr>
          <w:b/>
          <w:bCs/>
        </w:rPr>
        <w:t xml:space="preserve">mai</w:t>
      </w:r>
      <w:r>
        <w:t xml:space="preserve"> </w:t>
      </w:r>
      <w:r>
        <w:t xml:space="preserve">in unità ginecologiche.</w:t>
      </w:r>
    </w:p>
    <w:p>
      <w:r>
        <w:pict>
          <v:rect style="width:0;height:1.5pt" o:hralign="center" o:hrstd="t" o:hr="t"/>
        </w:pict>
      </w:r>
    </w:p>
    <w:bookmarkEnd w:id="15"/>
    <w:bookmarkStart w:id="16" w:name="gli-strumenti-attivi"/>
    <w:p>
      <w:pPr>
        <w:pStyle w:val="Heading3"/>
      </w:pPr>
      <w:r>
        <w:t xml:space="preserve">8 — Gli strumenti attivi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Su cosa agisce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Esercizio regolare, tutto il mese</w:t>
            </w:r>
          </w:p>
        </w:tc>
        <w:tc>
          <w:tcPr/>
          <w:p>
            <w:pPr>
              <w:pStyle w:val="Compact"/>
            </w:pPr>
            <w:r>
              <w:t xml:space="preserve">Soglia e aspettativa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Calore locale sull’addome basso</w:t>
            </w:r>
          </w:p>
        </w:tc>
        <w:tc>
          <w:tcPr/>
          <w:p>
            <w:pPr>
              <w:pStyle w:val="Compact"/>
            </w:pPr>
            <w:r>
              <w:t xml:space="preserve">Cancello segmentario T10-L1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TENS, alta o bassa frequenza</w:t>
            </w:r>
          </w:p>
        </w:tc>
        <w:tc>
          <w:tcPr/>
          <w:p>
            <w:pPr>
              <w:pStyle w:val="Compact"/>
            </w:pPr>
            <w:r>
              <w:t xml:space="preserve">Cancello segmentario T10-L1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Rilassamento e automassaggio addominale</w:t>
            </w:r>
          </w:p>
        </w:tc>
        <w:tc>
          <w:tcPr/>
          <w:p>
            <w:pPr>
              <w:pStyle w:val="Compact"/>
            </w:pPr>
            <w:r>
              <w:t xml:space="preserve">Parete e aspettativa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</w:tbl>
    <w:p>
      <w:pPr>
        <w:pStyle w:val="BodyText"/>
      </w:pPr>
      <w:r>
        <w:t xml:space="preserve">Si insegnano, non si rivendicano: negli studi non li ha erogati un osteopata.</w:t>
      </w:r>
      <w:r>
        <w:t xml:space="preserve"> </w:t>
      </w:r>
      <w:r>
        <w:rPr>
          <w:b/>
          <w:bCs/>
        </w:rPr>
        <w:t xml:space="preserve">Le quattro domande di sicurezza vengono prima anche di questo capitolo.</w:t>
      </w:r>
      <w:r>
        <w:t xml:space="preserve"> </w:t>
      </w:r>
      <w:r>
        <w:t xml:space="preserve">Con gravidanza possibile o dolore acuto non si insegnano calore addominale né stimolazione elettrica. La TENS non si nomina a chi porta pacemaker, defibrillatore o neurostimolatore.</w:t>
      </w:r>
      <w:r>
        <w:t xml:space="preserve"> </w:t>
      </w:r>
      <w:r>
        <w:rPr>
          <w:b/>
          <w:bCs/>
        </w:rPr>
        <w:t xml:space="preserve">Il calore non raggiunge l’utero:</w:t>
      </w:r>
      <w:r>
        <w:t xml:space="preserve"> </w:t>
      </w:r>
      <w:r>
        <w:t xml:space="preserve">penetra circa un centimetro e agisce sullo stesso ingresso della tua mano.</w:t>
      </w:r>
    </w:p>
    <w:p>
      <w:r>
        <w:pict>
          <v:rect style="width:0;height:1.5pt" o:hralign="center" o:hrstd="t" o:hr="t"/>
        </w:pict>
      </w:r>
    </w:p>
    <w:bookmarkEnd w:id="16"/>
    <w:bookmarkStart w:id="17" w:name="la-frase-per-la-paziente"/>
    <w:p>
      <w:pPr>
        <w:pStyle w:val="Heading3"/>
      </w:pPr>
      <w:r>
        <w:t xml:space="preserve">9 — La frase per la paziente</w:t>
      </w:r>
    </w:p>
    <w:p>
      <w:pPr>
        <w:pStyle w:val="FirstParagraph"/>
      </w:pPr>
      <w:r>
        <w:rPr>
          <w:i/>
          <w:iCs/>
        </w:rPr>
        <w:t xml:space="preserve">“Negli anni la parete della pancia e la zona bassa della schiena imparano a far male insieme all’utero, e continuano anche quando l’utero ha finito. È come un campanello che, a furia di suonare, resta incastrato. Io non lavoro sull’utero: lavoro sul campanello.”</w:t>
      </w:r>
    </w:p>
    <w:p>
      <w:pPr>
        <w:pStyle w:val="BodyText"/>
      </w:pPr>
      <w:r>
        <w:t xml:space="preserve">E la rete di sicurezza, che le dici tu:</w:t>
      </w:r>
      <w:r>
        <w:t xml:space="preserve"> </w:t>
      </w:r>
      <w:r>
        <w:rPr>
          <w:i/>
          <w:iCs/>
        </w:rPr>
        <w:t xml:space="preserve">“Dolore violentissimo e diverso, dolore che parte da un lato con vomito, febbre con perdite maleodoranti, dolore con un test di gravidanza positivo o un ritardo — in quei casi vai in pronto soccorso, non aspetti me.”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p>
      <w:pPr>
        <w:pStyle w:val="BlockText"/>
      </w:pPr>
      <w:r>
        <w:rPr>
          <w:b/>
          <w:bCs/>
        </w:rPr>
        <w:t xml:space="preserve">Deviazioni dichiarate.</w:t>
      </w:r>
      <w:r>
        <w:t xml:space="preserve"> </w:t>
      </w:r>
      <w:r>
        <w:t xml:space="preserve">Questa Mappa porta nove blocchi invece di sei: il blocco 6 (D-018, ragionamento clinico), il blocco 7 (D-042, sicurezza del gesto) e il blocco 8 (D-011, strumenti attivi). Il blocco 2 si chiama «sequenza» e non «catena», perché</w:t>
      </w:r>
      <w:r>
        <w:t xml:space="preserve"> </w:t>
      </w:r>
      <w:r>
        <w:rPr>
          <w:rStyle w:val="VerbatimChar"/>
        </w:rPr>
        <w:t xml:space="preserve">catena</w:t>
      </w:r>
      <w:r>
        <w:t xml:space="preserve"> </w:t>
      </w:r>
      <w:r>
        <w:t xml:space="preserve">è un termine canonico del metodo con un altro significato (D-066). Le due ancore invece di una seguono D-067. L’ordine didattico dei meccanismi, dichiarato qui e in «Cosa si rompe», segue D-057.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2026-08-28T17:45:32Z</dcterms:created>
  <dcterms:modified xsi:type="dcterms:W3CDTF">2026-08-28T17:45:32Z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