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9" w:name="mappa-concettuale-fascite-plantare"/>
    <w:p>
      <w:pPr>
        <w:pStyle w:val="Heading1"/>
      </w:pPr>
      <w:r>
        <w:t xml:space="preserve">Mappa concettuale — Fascite plantare</w:t>
      </w:r>
    </w:p>
    <w:p>
      <w:pPr>
        <w:pStyle w:val="FirstParagraph"/>
      </w:pPr>
      <w:r>
        <w:rPr>
          <w:b/>
          <w:bCs/>
        </w:rPr>
        <w:t xml:space="preserve">Condizione:</w:t>
      </w:r>
      <w:r>
        <w:t xml:space="preserve"> </w:t>
      </w:r>
      <w:r>
        <w:t xml:space="preserve">fascite plantare (fasciopatia plantare) ·</w:t>
      </w:r>
      <w:r>
        <w:t xml:space="preserve"> </w:t>
      </w:r>
      <w:r>
        <w:rPr>
          <w:b/>
          <w:bCs/>
        </w:rPr>
        <w:t xml:space="preserve">Ancora clinica:</w:t>
      </w:r>
      <w:r>
        <w:t xml:space="preserve"> </w:t>
      </w:r>
      <w:r>
        <w:t xml:space="preserve">Michael Skovdal Rathleff, Aalborg University ·</w:t>
      </w:r>
      <w:r>
        <w:t xml:space="preserve"> </w:t>
      </w:r>
      <w:r>
        <w:rPr>
          <w:b/>
          <w:bCs/>
        </w:rPr>
        <w:t xml:space="preserve">Ancora fisiologica:</w:t>
      </w:r>
      <w:r>
        <w:t xml:space="preserve"> </w:t>
      </w:r>
      <w:r>
        <w:t xml:space="preserve">Carla Stecco, Università di Padova ·</w:t>
      </w:r>
      <w:r>
        <w:t xml:space="preserve"> </w:t>
      </w:r>
      <w:r>
        <w:rPr>
          <w:b/>
          <w:bCs/>
        </w:rPr>
        <w:t xml:space="preserve">Versione:</w:t>
      </w:r>
      <w:r>
        <w:t xml:space="preserve"> </w:t>
      </w:r>
      <w:r>
        <w:t xml:space="preserve">v7 (revisione di lingua, sesto livello) ·</w:t>
      </w:r>
      <w:r>
        <w:t xml:space="preserve"> </w:t>
      </w:r>
      <w:r>
        <w:rPr>
          <w:b/>
          <w:bCs/>
        </w:rPr>
        <w:t xml:space="preserve">Data:</w:t>
      </w:r>
      <w:r>
        <w:t xml:space="preserve"> </w:t>
      </w:r>
      <w:r>
        <w:t xml:space="preserve">31 agosto 2026</w:t>
      </w:r>
    </w:p>
    <w:p>
      <w:r>
        <w:pict>
          <v:rect style="width:0;height:1.5pt" o:hralign="center" o:hrstd="t" o:hr="t"/>
        </w:pict>
      </w:r>
    </w:p>
    <w:bookmarkStart w:id="9" w:name="la-condizione-in-tre-righe"/>
    <w:p>
      <w:pPr>
        <w:pStyle w:val="Heading2"/>
      </w:pPr>
      <w:r>
        <w:t xml:space="preserve">1 — La condizione in tre righe</w:t>
      </w:r>
    </w:p>
    <w:p>
      <w:pPr>
        <w:pStyle w:val="FirstParagraph"/>
      </w:pPr>
      <w:r>
        <w:t xml:space="preserve">Dolore alla parte mediale del tallone, massimo ai primi passi dopo l’inattività. Il tessuto non ha la flogosi acuta che il nome promette: è disorganizzato sotto carico, con una componente infiammatoria di basso grado dentro il disordine.</w:t>
      </w:r>
      <w:r>
        <w:t xml:space="preserve"> </w:t>
      </w:r>
      <w:r>
        <w:t xml:space="preserve">Rappresenta circa il 15% delle patologie del piede, più spesso fra i 40 e i 60 anni, senza preferenza di sesso. È più frequente nel diabete di tipo 2: 1,31% contro 0,80%.</w:t>
      </w:r>
      <w:r>
        <w:t xml:space="preserve"> </w:t>
      </w:r>
      <w:r>
        <w:t xml:space="preserve">A dieci anni dall’esordio il 45,6% ha ancora sintomi, e chi guarisce ci mette in media 725 giorni.</w:t>
      </w:r>
    </w:p>
    <w:p>
      <w:r>
        <w:pict>
          <v:rect style="width:0;height:1.5pt" o:hralign="center" o:hrstd="t" o:hr="t"/>
        </w:pict>
      </w:r>
    </w:p>
    <w:bookmarkEnd w:id="9"/>
    <w:bookmarkStart w:id="10" w:name="la-catena-causale"/>
    <w:p>
      <w:pPr>
        <w:pStyle w:val="Heading2"/>
      </w:pPr>
      <w:r>
        <w:t xml:space="preserve">2 — La catena causale</w:t>
      </w:r>
    </w:p>
    <w:p>
      <w:pPr>
        <w:pStyle w:val="FirstParagraph"/>
      </w:pPr>
      <w:r>
        <w:rPr>
          <w:rStyle w:val="VerbatimChar"/>
        </w:rPr>
        <w:t xml:space="preserve">aumento del carico (ore in piedi, massa, recupero assente) → capacità della lamina superata all'inserzione mediale → tessuto disorganizzato e nocicettori con soglia più bassa → evitamento e riposo → capacità che scende ancora → dolore al primo passo che si ripresenta ogni mattina</w:t>
      </w:r>
    </w:p>
    <w:p>
      <w:pPr>
        <w:pStyle w:val="BodyText"/>
      </w:pPr>
      <w:r>
        <w:rPr>
          <w:i/>
          <w:iCs/>
        </w:rPr>
        <w:t xml:space="preserve">Il primo passo fa male perché di notte il piede riposa in flessione plantare e la lamina sta accorciata: il primo carico la riporta di colpo a lunghezza. Quando quel picco si appiattisce, il quadro si sta spostando — non sta migliorando.</w:t>
      </w:r>
    </w:p>
    <w:p>
      <w:r>
        <w:pict>
          <v:rect style="width:0;height:1.5pt" o:hralign="center" o:hrstd="t" o:hr="t"/>
        </w:pict>
      </w:r>
    </w:p>
    <w:bookmarkEnd w:id="10"/>
    <w:bookmarkStart w:id="11" w:name="i-meccanismi-e-quanto-sono-solidi"/>
    <w:p>
      <w:pPr>
        <w:pStyle w:val="Heading2"/>
      </w:pPr>
      <w:r>
        <w:t xml:space="preserve">3 — I meccanismi e quanto sono solidi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Tessuto cambiato all’inserzione</w:t>
            </w:r>
          </w:p>
        </w:tc>
        <w:tc>
          <w:tcPr/>
          <w:p>
            <w:pPr>
              <w:pStyle w:val="Compact"/>
            </w:pPr>
            <w:r>
              <w:t xml:space="preserve">Punto mediale netto, riproducibile</w:t>
            </w:r>
          </w:p>
        </w:tc>
        <w:tc>
          <w:tcPr/>
          <w:p>
            <w:pPr>
              <w:pStyle w:val="Compact"/>
            </w:pPr>
            <w:r>
              <w:t xml:space="preserve">DIMOSTRATO l’imaging · PROBABILE l’istologia (estesa dal tendine) · IPOTESI il primo passo</w:t>
            </w:r>
          </w:p>
        </w:tc>
      </w:tr>
      <w:tr>
        <w:tc>
          <w:tcPr/>
          <w:p>
            <w:pPr>
              <w:pStyle w:val="Compact"/>
            </w:pPr>
            <w:r>
              <w:t xml:space="preserve">Carico oltre la capacità</w:t>
            </w:r>
          </w:p>
        </w:tc>
        <w:tc>
          <w:tcPr/>
          <w:p>
            <w:pPr>
              <w:pStyle w:val="Compact"/>
            </w:pPr>
            <w:r>
              <w:t xml:space="preserve">Cambiamento nelle 6-8 settimane prima</w:t>
            </w:r>
          </w:p>
        </w:tc>
        <w:tc>
          <w:tcPr/>
          <w:p>
            <w:pPr>
              <w:pStyle w:val="Compact"/>
            </w:pPr>
            <w:r>
              <w:t xml:space="preserve">DIMOSTRATO la massa corporea · PROBABILE il lavoro in piedi e la leva del carico</w:t>
            </w:r>
          </w:p>
        </w:tc>
      </w:tr>
      <w:tr>
        <w:tc>
          <w:tcPr/>
          <w:p>
            <w:pPr>
              <w:pStyle w:val="Compact"/>
            </w:pPr>
            <w:r>
              <w:t xml:space="preserve">Corda posteriore che tira</w:t>
            </w:r>
          </w:p>
        </w:tc>
        <w:tc>
          <w:tcPr/>
          <w:p>
            <w:pPr>
              <w:pStyle w:val="Compact"/>
            </w:pPr>
            <w:r>
              <w:t xml:space="preserve">Lunge test povero, ginocchio flesso vs esteso</w:t>
            </w:r>
          </w:p>
        </w:tc>
        <w:tc>
          <w:tcPr/>
          <w:p>
            <w:pPr>
              <w:pStyle w:val="Compact"/>
            </w:pPr>
            <w:r>
              <w:t xml:space="preserve">PROBABILE in scarico (IC 4,3-124,4) · IPOTESI in carico (Landorf 2021: nessuna differenza) · DIMOSTRATO il ponte anatomico, PROBABILE che si assottigli con l’età (Snow 1995)</w:t>
            </w:r>
          </w:p>
        </w:tc>
      </w:tr>
      <w:tr>
        <w:tc>
          <w:tcPr/>
          <w:p>
            <w:pPr>
              <w:pStyle w:val="Compact"/>
            </w:pPr>
            <w:r>
              <w:t xml:space="preserve">Soglia abbassata (nociplastico)</w:t>
            </w:r>
          </w:p>
        </w:tc>
        <w:tc>
          <w:tcPr/>
          <w:p>
            <w:pPr>
              <w:pStyle w:val="Compact"/>
            </w:pPr>
            <w:r>
              <w:t xml:space="preserve">Piede sano sensibile, picco del mattino appiattito</w:t>
            </w:r>
          </w:p>
        </w:tc>
        <w:tc>
          <w:tcPr/>
          <w:p>
            <w:pPr>
              <w:pStyle w:val="Compact"/>
            </w:pPr>
            <w:r>
              <w:t xml:space="preserve">PROBABILE · direzione non stabilita per la sensibilizzazione, ma l’ansia è stata misurata</w:t>
            </w:r>
            <w:r>
              <w:t xml:space="preserve"> </w:t>
            </w:r>
            <w:r>
              <w:rPr>
                <w:b/>
                <w:bCs/>
              </w:rPr>
              <w:t xml:space="preserve">al basale</w:t>
            </w:r>
            <w:r>
              <w:t xml:space="preserve"> </w:t>
            </w:r>
            <w:r>
              <w:t xml:space="preserve">(Harutaichun 2020)</w:t>
            </w:r>
          </w:p>
        </w:tc>
      </w:tr>
      <w:tr>
        <w:tc>
          <w:tcPr/>
          <w:p>
            <w:pPr>
              <w:pStyle w:val="Compact"/>
            </w:pPr>
            <w:r>
              <w:t xml:space="preserve">Piede che smette di lavorare</w:t>
            </w:r>
          </w:p>
        </w:tc>
        <w:tc>
          <w:tcPr/>
          <w:p>
            <w:pPr>
              <w:pStyle w:val="Compact"/>
            </w:pPr>
            <w:r>
              <w:t xml:space="preserve">Contatto di tallone accorciato, alluce che non si estende</w:t>
            </w:r>
          </w:p>
        </w:tc>
        <w:tc>
          <w:tcPr/>
          <w:p>
            <w:pPr>
              <w:pStyle w:val="Compact"/>
            </w:pPr>
            <w:r>
              <w:t xml:space="preserve">PROBABILE il pattern · IPOTESI che lo mantenga · IPOTESI il verricello</w:t>
            </w:r>
          </w:p>
        </w:tc>
      </w:tr>
    </w:tbl>
    <w:p>
      <w:pPr>
        <w:pStyle w:val="BodyText"/>
      </w:pPr>
      <w:r>
        <w:rPr>
          <w:i/>
          <w:iCs/>
        </w:rPr>
        <w:t xml:space="preserve">Nessuna cella porta un’etichetta unica dove la Bibbia la spezza. L’OR 23,3 appartiene alla dorsiflessione</w:t>
      </w:r>
      <w:r>
        <w:rPr>
          <w:i/>
          <w:iCs/>
        </w:rPr>
        <w:t xml:space="preserve"> </w:t>
      </w:r>
      <w:r>
        <w:rPr>
          <w:b/>
          <w:bCs/>
          <w:i/>
          <w:iCs/>
        </w:rPr>
        <w:t xml:space="preserve">passiva in scarico</w:t>
      </w:r>
      <w:r>
        <w:rPr>
          <w:i/>
          <w:iCs/>
        </w:rPr>
        <w:t xml:space="preserve">, non al lunge test: il lunge test è un marker di risposta, non un fattore causale. E in disegno prospettico dorsiflessione e forza dei flessori plantari non hanno predetto nulla (Harutaichun 2020: coscritti maschi giovani, non il nostro paziente).</w:t>
      </w:r>
    </w:p>
    <w:p>
      <w:r>
        <w:pict>
          <v:rect style="width:0;height:1.5pt" o:hralign="center" o:hrstd="t" o:hr="t"/>
        </w:pict>
      </w:r>
    </w:p>
    <w:bookmarkEnd w:id="11"/>
    <w:bookmarkStart w:id="12" w:name="i-pattern-e-quanto-puoi-fare"/>
    <w:p>
      <w:pPr>
        <w:pStyle w:val="Heading2"/>
      </w:pPr>
      <w:r>
        <w:t xml:space="preserve">4 — I pattern e quanto puoi fare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Quanto puoi fare</w:t>
            </w:r>
          </w:p>
        </w:tc>
      </w:tr>
      <w:tr>
        <w:tc>
          <w:tcPr/>
          <w:p>
            <w:pPr>
              <w:pStyle w:val="Compact"/>
            </w:pPr>
            <w:r>
              <w:t xml:space="preserve">Da carico, primo passo classico (nocicettivo)</w:t>
            </w:r>
          </w:p>
        </w:tc>
        <w:tc>
          <w:tcPr/>
          <w:p>
            <w:pPr>
              <w:pStyle w:val="Compact"/>
            </w:pPr>
            <w:r>
              <w:t xml:space="preserve">Punto mediale, esordio dopo aumento</w:t>
            </w:r>
          </w:p>
        </w:tc>
        <w:tc>
          <w:tcPr/>
          <w:p>
            <w:pPr>
              <w:pStyle w:val="Compact"/>
            </w:pPr>
            <w:r>
              <w:t xml:space="preserve">Molto</w:t>
            </w:r>
          </w:p>
        </w:tc>
      </w:tr>
      <w:tr>
        <w:tc>
          <w:tcPr/>
          <w:p>
            <w:pPr>
              <w:pStyle w:val="Compact"/>
            </w:pPr>
            <w:r>
              <w:t xml:space="preserve">Con caviglia rigida</w:t>
            </w:r>
          </w:p>
        </w:tc>
        <w:tc>
          <w:tcPr/>
          <w:p>
            <w:pPr>
              <w:pStyle w:val="Compact"/>
            </w:pPr>
            <w:r>
              <w:t xml:space="preserve">Dorsiflessione ridotta; crolla a ginocchio esteso = muscolo</w:t>
            </w:r>
          </w:p>
        </w:tc>
        <w:tc>
          <w:tcPr/>
          <w:p>
            <w:pPr>
              <w:pStyle w:val="Compact"/>
            </w:pPr>
            <w:r>
              <w:t xml:space="preserve">Molto</w:t>
            </w:r>
          </w:p>
        </w:tc>
      </w:tr>
      <w:tr>
        <w:tc>
          <w:tcPr/>
          <w:p>
            <w:pPr>
              <w:pStyle w:val="Compact"/>
            </w:pPr>
            <w:r>
              <w:t xml:space="preserve">Con soglia abbassata (nociplastico)</w:t>
            </w:r>
          </w:p>
        </w:tc>
        <w:tc>
          <w:tcPr/>
          <w:p>
            <w:pPr>
              <w:pStyle w:val="Compact"/>
            </w:pPr>
            <w:r>
              <w:t xml:space="preserve">Bilaterale, mesi, piede sano sensibile</w:t>
            </w:r>
          </w:p>
        </w:tc>
        <w:tc>
          <w:tcPr/>
          <w:p>
            <w:pPr>
              <w:pStyle w:val="Compact"/>
            </w:pPr>
            <w:r>
              <w:t xml:space="preserve">Abbastanza</w:t>
            </w:r>
          </w:p>
        </w:tc>
      </w:tr>
      <w:tr>
        <w:tc>
          <w:tcPr/>
          <w:p>
            <w:pPr>
              <w:pStyle w:val="Compact"/>
            </w:pPr>
            <w:r>
              <w:t xml:space="preserve">Cuscinetto adiposo</w:t>
            </w:r>
          </w:p>
        </w:tc>
        <w:tc>
          <w:tcPr/>
          <w:p>
            <w:pPr>
              <w:pStyle w:val="Compact"/>
            </w:pPr>
            <w:r>
              <w:t xml:space="preserve">Dolore centrale, peggio scalzo sul duro</w:t>
            </w:r>
          </w:p>
        </w:tc>
        <w:tc>
          <w:tcPr/>
          <w:p>
            <w:pPr>
              <w:pStyle w:val="Compact"/>
            </w:pPr>
            <w:r>
              <w:t xml:space="preserve">Poco</w:t>
            </w:r>
          </w:p>
        </w:tc>
      </w:tr>
      <w:tr>
        <w:tc>
          <w:tcPr/>
          <w:p>
            <w:pPr>
              <w:pStyle w:val="Compact"/>
            </w:pPr>
            <w:r>
              <w:t xml:space="preserve">Piede diabetico</w:t>
            </w:r>
          </w:p>
        </w:tc>
        <w:tc>
          <w:tcPr/>
          <w:p>
            <w:pPr>
              <w:pStyle w:val="Compact"/>
            </w:pPr>
            <w:r>
              <w:t xml:space="preserve">Diabete, pianta insensibile</w:t>
            </w:r>
          </w:p>
        </w:tc>
        <w:tc>
          <w:tcPr/>
          <w:p>
            <w:pPr>
              <w:pStyle w:val="Compact"/>
            </w:pPr>
            <w:r>
              <w:t xml:space="preserve">Niente che si misuri sul sintomo — cancello</w:t>
            </w:r>
          </w:p>
        </w:tc>
      </w:tr>
      <w:tr>
        <w:tc>
          <w:tcPr/>
          <w:p>
            <w:pPr>
              <w:pStyle w:val="Compact"/>
            </w:pPr>
            <w:r>
              <w:t xml:space="preserve">Origine neurale (Baxter, tunnel tarsale, S1)</w:t>
            </w:r>
          </w:p>
        </w:tc>
        <w:tc>
          <w:tcPr/>
          <w:p>
            <w:pPr>
              <w:pStyle w:val="Compact"/>
            </w:pPr>
            <w:r>
              <w:t xml:space="preserve">Bruciore, sintomo anche a riposo</w:t>
            </w:r>
          </w:p>
        </w:tc>
        <w:tc>
          <w:tcPr/>
          <w:p>
            <w:pPr>
              <w:pStyle w:val="Compact"/>
            </w:pPr>
            <w:r>
              <w:t xml:space="preserve">Niente sul nervo — cancello (vedi bandiere rosse)</w:t>
            </w:r>
          </w:p>
        </w:tc>
      </w:tr>
      <w:tr>
        <w:tc>
          <w:tcPr/>
          <w:p>
            <w:pPr>
              <w:pStyle w:val="Compact"/>
            </w:pPr>
            <w:r>
              <w:t xml:space="preserve">Sospetto osseo o infiammatorio</w:t>
            </w:r>
          </w:p>
        </w:tc>
        <w:tc>
          <w:tcPr/>
          <w:p>
            <w:pPr>
              <w:pStyle w:val="Compact"/>
            </w:pPr>
            <w:r>
              <w:t xml:space="preserve">Dolore non legato all’appoggio</w:t>
            </w:r>
          </w:p>
        </w:tc>
        <w:tc>
          <w:tcPr/>
          <w:p>
            <w:pPr>
              <w:pStyle w:val="Compact"/>
            </w:pPr>
            <w:r>
              <w:t xml:space="preserve">Niente — invio</w:t>
            </w:r>
          </w:p>
        </w:tc>
      </w:tr>
    </w:tbl>
    <w:p>
      <w:pPr>
        <w:pStyle w:val="BodyText"/>
      </w:pPr>
      <w:r>
        <w:rPr>
          <w:i/>
          <w:iCs/>
        </w:rPr>
        <w:t xml:space="preserve">Il pattern si presume: si scrive in cartella e si dice al paziente come presunzione. Tre quadri su sette sono cancelli, non bersagli. Su due di essi resta praticabile in parallelo il lavoro sulla catena posteriore e sulla gestione del carico, lontano dal sito che non è tuo. Asse trasversale:</w:t>
      </w:r>
      <w:r>
        <w:rPr>
          <w:i/>
          <w:iCs/>
        </w:rPr>
        <w:t xml:space="preserve"> </w:t>
      </w:r>
      <w:r>
        <w:rPr>
          <w:b/>
          <w:bCs/>
          <w:i/>
          <w:iCs/>
        </w:rPr>
        <w:t xml:space="preserve">quanto è irritabile questo piede oggi</w:t>
      </w:r>
      <w:r>
        <w:rPr>
          <w:i/>
          <w:iCs/>
        </w:rPr>
        <w:t xml:space="preserve"> </w:t>
      </w:r>
      <w:r>
        <w:rPr>
          <w:i/>
          <w:iCs/>
        </w:rPr>
        <w:t xml:space="preserve">— quanto carico lo fa partire, quanto tempo prima che rientri.</w:t>
      </w:r>
    </w:p>
    <w:p>
      <w:r>
        <w:pict>
          <v:rect style="width:0;height:1.5pt" o:hralign="center" o:hrstd="t" o:hr="t"/>
        </w:pict>
      </w:r>
    </w:p>
    <w:bookmarkEnd w:id="12"/>
    <w:bookmarkStart w:id="13" w:name="le-bandiere-rosse"/>
    <w:p>
      <w:pPr>
        <w:pStyle w:val="Heading2"/>
      </w:pPr>
      <w:r>
        <w:t xml:space="preserve">5 — Le bandiere rosse</w:t>
      </w:r>
    </w:p>
    <w:p>
      <w:pPr>
        <w:pStyle w:val="FirstParagraph"/>
      </w:pPr>
      <w:r>
        <w:rPr>
          <w:b/>
          <w:bCs/>
        </w:rPr>
        <w:t xml:space="preserve">Blocco A — nessun trattamento, in nessun distretto</w:t>
      </w:r>
      <w:r>
        <w:t xml:space="preserve"> </w:t>
      </w:r>
      <w:r>
        <w:t xml:space="preserve">- Tallone caldo, rosso, gonfio con febbre → pronto soccorso → Urgente</w:t>
      </w:r>
      <w:r>
        <w:t xml:space="preserve"> </w:t>
      </w:r>
      <w:r>
        <w:t xml:space="preserve">- Piede caldo, gonfio, arrossato in diabetico o pianta insensibile,</w:t>
      </w:r>
      <w:r>
        <w:t xml:space="preserve"> </w:t>
      </w:r>
      <w:r>
        <w:rPr>
          <w:b/>
          <w:bCs/>
        </w:rPr>
        <w:t xml:space="preserve">anche senza febbre</w:t>
      </w:r>
      <w:r>
        <w:t xml:space="preserve"> </w:t>
      </w:r>
      <w:r>
        <w:t xml:space="preserve">→ curante o centro diabetologico → Urgente, in giornata</w:t>
      </w:r>
      <w:r>
        <w:t xml:space="preserve"> </w:t>
      </w:r>
      <w:r>
        <w:t xml:space="preserve">- Pianta insensibile con cute alterata, callo sotto il tallone o lesione → curante o centro diabetologico → Urgente</w:t>
      </w:r>
      <w:r>
        <w:t xml:space="preserve"> </w:t>
      </w:r>
      <w:r>
        <w:t xml:space="preserve">- Dolore osseo con storia oncologica → medico curante → Invio, non attendere</w:t>
      </w:r>
    </w:p>
    <w:p>
      <w:pPr>
        <w:pStyle w:val="BodyText"/>
      </w:pPr>
      <w:r>
        <w:rPr>
          <w:b/>
          <w:bCs/>
        </w:rPr>
        <w:t xml:space="preserve">Blocco B — invio non differibile, si può trattare un altro distretto, per iscritto</w:t>
      </w:r>
      <w:r>
        <w:t xml:space="preserve"> </w:t>
      </w:r>
      <w:r>
        <w:t xml:space="preserve">- Esordio improvviso con schiocco, non appoggia → ortopedico → Invio, non attendere</w:t>
      </w:r>
      <w:r>
        <w:t xml:space="preserve"> </w:t>
      </w:r>
      <w:r>
        <w:rPr>
          <w:i/>
          <w:iCs/>
        </w:rPr>
        <w:t xml:space="preserve">(in un tallone infiltrato può presentarsi come cedimento graduale: 32% delle rotture)</w:t>
      </w:r>
      <w:r>
        <w:t xml:space="preserve"> </w:t>
      </w:r>
      <w:r>
        <w:t xml:space="preserve">- Dolore costante, notturno, non legato all’appoggio → medico curante → Invio, non attendere</w:t>
      </w:r>
      <w:r>
        <w:t xml:space="preserve"> </w:t>
      </w:r>
      <w:r>
        <w:t xml:space="preserve">- Dolore dopo aumento netto di corsa, compressione laterale positiva → medico curante → Invio, non attendere</w:t>
      </w:r>
      <w:r>
        <w:t xml:space="preserve"> </w:t>
      </w:r>
      <w:r>
        <w:t xml:space="preserve">- Dolore senza trauma sopra i 60 anni, o in osteoporotico o diabetico, con compressione laterale positiva → medico curante → Invio, non attendere</w:t>
      </w:r>
      <w:r>
        <w:t xml:space="preserve"> </w:t>
      </w:r>
      <w:r>
        <w:rPr>
          <w:i/>
          <w:iCs/>
        </w:rPr>
        <w:t xml:space="preserve">(8,1% di fratture da insufficienza; radiografia iniziale spesso negativa)</w:t>
      </w:r>
      <w:r>
        <w:t xml:space="preserve"> </w:t>
      </w:r>
      <w:r>
        <w:t xml:space="preserve">- Parestesie, ipoestesia nella pianta, o sintomo che risale lungo l’arto → medico curante → Invio</w:t>
      </w:r>
      <w:r>
        <w:t xml:space="preserve"> </w:t>
      </w:r>
      <w:r>
        <w:t xml:space="preserve">- Psoriasi, malattia infiammatoria intestinale, uveite, dattilite, altre entesiti, rigidità mattutina oltre 30 minuti → reumatologo → Invio programmato</w:t>
      </w:r>
    </w:p>
    <w:p>
      <w:pPr>
        <w:pStyle w:val="BodyText"/>
      </w:pPr>
      <w:r>
        <w:rPr>
          <w:i/>
          <w:iCs/>
        </w:rPr>
        <w:t xml:space="preserve">La lista è la migliore disponibile e non è validata: si usa come rete, non come filtro. Il filtro reumatologico si legge in OR, non in AND. In cartella si scrive che è stata passata in rassegna, mai che il paziente è negativo.</w:t>
      </w:r>
    </w:p>
    <w:p>
      <w:r>
        <w:pict>
          <v:rect style="width:0;height:1.5pt" o:hralign="center" o:hrstd="t" o:hr="t"/>
        </w:pict>
      </w:r>
    </w:p>
    <w:bookmarkEnd w:id="13"/>
    <w:bookmarkStart w:id="14" w:name="come-decidi-e-su-cosa-verifichi"/>
    <w:p>
      <w:pPr>
        <w:pStyle w:val="Heading2"/>
      </w:pPr>
      <w:r>
        <w:t xml:space="preserve">6 — Come decidi, e su cosa verifichi</w:t>
      </w:r>
    </w:p>
    <w:p>
      <w:pPr>
        <w:pStyle w:val="FirstParagraph"/>
      </w:pPr>
      <w:r>
        <w:rPr>
          <w:b/>
          <w:bCs/>
        </w:rPr>
        <w:t xml:space="preserve">Road Map, un solo criterio — quanto un piano sequestra la capacità di adattamento</w:t>
      </w:r>
      <w:r>
        <w:t xml:space="preserve">, cioè quale sistema è dominante. Le bandiere rosse precedono la lista. L’irritabilità si registra prima del passo 1 e decide il ritmo, non il piano.</w:t>
      </w:r>
    </w:p>
    <w:p>
      <w:pPr>
        <w:pStyle w:val="Compact"/>
        <w:numPr>
          <w:ilvl w:val="0"/>
          <w:numId w:val="1001"/>
        </w:numPr>
      </w:pPr>
      <w:r>
        <w:t xml:space="preserve">Livello di attivazione</w:t>
      </w:r>
      <w:r>
        <w:t xml:space="preserve"> </w:t>
      </w:r>
      <w:r>
        <w:rPr>
          <w:i/>
          <w:iCs/>
        </w:rPr>
        <w:t xml:space="preserve">(solo se i segnali del pattern a soglia abbassata ci sono tutti)</w:t>
      </w:r>
    </w:p>
    <w:p>
      <w:pPr>
        <w:pStyle w:val="Compact"/>
        <w:numPr>
          <w:ilvl w:val="0"/>
          <w:numId w:val="1001"/>
        </w:numPr>
      </w:pPr>
      <w:r>
        <w:t xml:space="preserve">Esposizione strutturale al carico</w:t>
      </w:r>
    </w:p>
    <w:p>
      <w:pPr>
        <w:pStyle w:val="Compact"/>
        <w:numPr>
          <w:ilvl w:val="0"/>
          <w:numId w:val="1001"/>
        </w:numPr>
      </w:pPr>
      <w:r>
        <w:t xml:space="preserve">Aumento recente di carico</w:t>
      </w:r>
      <w:r>
        <w:t xml:space="preserve"> </w:t>
      </w:r>
      <w:r>
        <w:rPr>
          <w:i/>
          <w:iCs/>
        </w:rPr>
        <w:t xml:space="preserve">(si registra, non decide)</w:t>
      </w:r>
    </w:p>
    <w:p>
      <w:pPr>
        <w:pStyle w:val="Compact"/>
        <w:numPr>
          <w:ilvl w:val="0"/>
          <w:numId w:val="1001"/>
        </w:numPr>
      </w:pPr>
      <w:r>
        <w:t xml:space="preserve">Corsa della caviglia</w:t>
      </w:r>
    </w:p>
    <w:p>
      <w:pPr>
        <w:pStyle w:val="Compact"/>
        <w:numPr>
          <w:ilvl w:val="0"/>
          <w:numId w:val="1001"/>
        </w:numPr>
      </w:pPr>
      <w:r>
        <w:t xml:space="preserve">Estensione dell’alluce</w:t>
      </w:r>
    </w:p>
    <w:p>
      <w:pPr>
        <w:pStyle w:val="Compact"/>
        <w:numPr>
          <w:ilvl w:val="0"/>
          <w:numId w:val="1001"/>
        </w:numPr>
      </w:pPr>
      <w:r>
        <w:t xml:space="preserve">Tessuto locale</w:t>
      </w:r>
    </w:p>
    <w:p>
      <w:pPr>
        <w:pStyle w:val="Compact"/>
        <w:numPr>
          <w:ilvl w:val="0"/>
          <w:numId w:val="1001"/>
        </w:numPr>
      </w:pPr>
      <w:r>
        <w:t xml:space="preserve">Gesto</w:t>
      </w:r>
    </w:p>
    <w:p>
      <w:pPr>
        <w:pStyle w:val="Compact"/>
        <w:numPr>
          <w:ilvl w:val="0"/>
          <w:numId w:val="1001"/>
        </w:numPr>
      </w:pPr>
      <w:r>
        <w:t xml:space="preserve">Cosa fa da solo</w:t>
      </w:r>
    </w:p>
    <w:p>
      <w:pPr>
        <w:pStyle w:val="FirstParagraph"/>
      </w:pPr>
      <w:r>
        <w:rPr>
          <w:b/>
          <w:bCs/>
        </w:rPr>
        <w:t xml:space="preserve">Due avvertenze prima della tabella.</w:t>
      </w:r>
      <w:r>
        <w:t xml:space="preserve"> </w:t>
      </w:r>
      <w:r>
        <w:t xml:space="preserve">Tessuto plantare e catena posteriore sono</w:t>
      </w:r>
      <w:r>
        <w:t xml:space="preserve"> </w:t>
      </w:r>
      <w:r>
        <w:rPr>
          <w:b/>
          <w:bCs/>
        </w:rPr>
        <w:t xml:space="preserve">un piano solo</w:t>
      </w:r>
      <w:r>
        <w:t xml:space="preserve">: verificare davanti quello che hai fatto dietro non è una prova. E dentro la seduta quasi tutti i marker corrono</w:t>
      </w:r>
      <w:r>
        <w:t xml:space="preserve"> </w:t>
      </w:r>
      <w:r>
        <w:rPr>
          <w:b/>
          <w:bCs/>
        </w:rPr>
        <w:t xml:space="preserve">sulla via della soglia</w:t>
      </w:r>
      <w:r>
        <w:t xml:space="preserve">: un movimento comune non prova che il piano meccanico si sia mosso.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Tipo</w:t>
            </w:r>
          </w:p>
        </w:tc>
        <w:tc>
          <w:tcPr/>
          <w:p>
            <w:pPr>
              <w:pStyle w:val="Compact"/>
            </w:pPr>
            <w:r>
              <w:t xml:space="preserve">Soglia</w:t>
            </w:r>
          </w:p>
        </w:tc>
      </w:tr>
      <w:tr>
        <w:tc>
          <w:tcPr/>
          <w:p>
            <w:pPr>
              <w:pStyle w:val="Compact"/>
            </w:pPr>
            <w:r>
              <w:t xml:space="preserve">Dorsiflessione al lunge test</w:t>
            </w:r>
          </w:p>
        </w:tc>
        <w:tc>
          <w:tcPr/>
          <w:p>
            <w:pPr>
              <w:pStyle w:val="Compact"/>
            </w:pPr>
            <w:r>
              <w:t xml:space="preserve">Effetto immediato</w:t>
            </w:r>
          </w:p>
        </w:tc>
        <w:tc>
          <w:tcPr/>
          <w:p>
            <w:pPr>
              <w:pStyle w:val="Compact"/>
            </w:pPr>
            <w:r>
              <w:t xml:space="preserve">+5° o +2 cm (MDC pubblicato)</w:t>
            </w:r>
          </w:p>
        </w:tc>
      </w:tr>
      <w:tr>
        <w:tc>
          <w:tcPr/>
          <w:p>
            <w:pPr>
              <w:pStyle w:val="Compact"/>
            </w:pPr>
            <w:r>
              <w:t xml:space="preserve">Soglia sul tubercolo</w:t>
            </w:r>
          </w:p>
        </w:tc>
        <w:tc>
          <w:tcPr/>
          <w:p>
            <w:pPr>
              <w:pStyle w:val="Compact"/>
            </w:pPr>
            <w:r>
              <w:t xml:space="preserve">Effetto immediato</w:t>
            </w:r>
          </w:p>
        </w:tc>
        <w:tc>
          <w:tcPr/>
          <w:p>
            <w:pPr>
              <w:pStyle w:val="Compact"/>
            </w:pPr>
            <w:r>
              <w:t xml:space="preserve">+20%</w:t>
            </w:r>
          </w:p>
        </w:tc>
      </w:tr>
      <w:tr>
        <w:tc>
          <w:tcPr/>
          <w:p>
            <w:pPr>
              <w:pStyle w:val="Compact"/>
            </w:pPr>
            <w:r>
              <w:t xml:space="preserve">Sollevamenti fino al sintomo</w:t>
            </w:r>
          </w:p>
        </w:tc>
        <w:tc>
          <w:tcPr/>
          <w:p>
            <w:pPr>
              <w:pStyle w:val="Compact"/>
            </w:pPr>
            <w:r>
              <w:t xml:space="preserve">Effetto immediato</w:t>
            </w:r>
          </w:p>
        </w:tc>
        <w:tc>
          <w:tcPr/>
          <w:p>
            <w:pPr>
              <w:pStyle w:val="Compact"/>
            </w:pPr>
            <w:r>
              <w:t xml:space="preserve">+3 ripetizioni</w:t>
            </w:r>
          </w:p>
        </w:tc>
      </w:tr>
      <w:tr>
        <w:tc>
          <w:tcPr/>
          <w:p>
            <w:pPr>
              <w:pStyle w:val="Compact"/>
            </w:pPr>
            <w:r>
              <w:t xml:space="preserve">Sollevamenti fino al cedimento</w:t>
            </w:r>
          </w:p>
        </w:tc>
        <w:tc>
          <w:tcPr/>
          <w:p>
            <w:pPr>
              <w:pStyle w:val="Compact"/>
            </w:pPr>
            <w:r>
              <w:t xml:space="preserve">Fuori dalla via della soglia</w:t>
            </w:r>
          </w:p>
        </w:tc>
        <w:tc>
          <w:tcPr/>
          <w:p>
            <w:pPr>
              <w:pStyle w:val="Compact"/>
            </w:pPr>
            <w:r>
              <w:t xml:space="preserve">+3 ripetizioni</w:t>
            </w:r>
          </w:p>
        </w:tc>
      </w:tr>
      <w:tr>
        <w:tc>
          <w:tcPr/>
          <w:p>
            <w:pPr>
              <w:pStyle w:val="Compact"/>
            </w:pPr>
            <w:r>
              <w:t xml:space="preserve">Soglia sul tubercolo controlaterale</w:t>
            </w:r>
          </w:p>
        </w:tc>
        <w:tc>
          <w:tcPr/>
          <w:p>
            <w:pPr>
              <w:pStyle w:val="Compact"/>
            </w:pPr>
            <w:r>
              <w:t xml:space="preserve">Chiave di volta</w:t>
            </w:r>
          </w:p>
        </w:tc>
        <w:tc>
          <w:tcPr/>
          <w:p>
            <w:pPr>
              <w:pStyle w:val="Compact"/>
            </w:pPr>
            <w:r>
              <w:t xml:space="preserve">+20%</w:t>
            </w:r>
          </w:p>
        </w:tc>
      </w:tr>
      <w:tr>
        <w:tc>
          <w:tcPr/>
          <w:p>
            <w:pPr>
              <w:pStyle w:val="Compact"/>
            </w:pPr>
            <w:r>
              <w:t xml:space="preserve">Frequenza respiratoria a riposo</w:t>
            </w:r>
          </w:p>
        </w:tc>
        <w:tc>
          <w:tcPr/>
          <w:p>
            <w:pPr>
              <w:pStyle w:val="Compact"/>
            </w:pPr>
            <w:r>
              <w:t xml:space="preserve">Chiave di volta</w:t>
            </w:r>
          </w:p>
        </w:tc>
        <w:tc>
          <w:tcPr/>
          <w:p>
            <w:pPr>
              <w:pStyle w:val="Compact"/>
            </w:pPr>
            <w:r>
              <w:t xml:space="preserve">−2 atti al minuto</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Piano trattato</w:t>
            </w:r>
          </w:p>
        </w:tc>
        <w:tc>
          <w:tcPr/>
          <w:p>
            <w:pPr>
              <w:pStyle w:val="Compact"/>
            </w:pPr>
            <w:r>
              <w:t xml:space="preserve">Marker che decide</w:t>
            </w:r>
          </w:p>
        </w:tc>
      </w:tr>
      <w:tr>
        <w:tc>
          <w:tcPr/>
          <w:p>
            <w:pPr>
              <w:pStyle w:val="Compact"/>
            </w:pPr>
            <w:r>
              <w:t xml:space="preserve">Esposizione e carico complessivo</w:t>
            </w:r>
          </w:p>
        </w:tc>
        <w:tc>
          <w:tcPr/>
          <w:p>
            <w:pPr>
              <w:pStyle w:val="Compact"/>
            </w:pPr>
            <w:r>
              <w:t xml:space="preserve">Sollevamenti fino al cedimento</w:t>
            </w:r>
          </w:p>
        </w:tc>
      </w:tr>
      <w:tr>
        <w:tc>
          <w:tcPr/>
          <w:p>
            <w:pPr>
              <w:pStyle w:val="Compact"/>
            </w:pPr>
            <w:r>
              <w:t xml:space="preserve">Continuum posteriore-plantare</w:t>
            </w:r>
          </w:p>
        </w:tc>
        <w:tc>
          <w:tcPr/>
          <w:p>
            <w:pPr>
              <w:pStyle w:val="Compact"/>
            </w:pPr>
            <w:r>
              <w:t xml:space="preserve">Soglia sul tubercolo controlaterale</w:t>
            </w:r>
          </w:p>
        </w:tc>
      </w:tr>
      <w:tr>
        <w:tc>
          <w:tcPr/>
          <w:p>
            <w:pPr>
              <w:pStyle w:val="Compact"/>
            </w:pPr>
            <w:r>
              <w:t xml:space="preserve">Gesto sotto carico</w:t>
            </w:r>
          </w:p>
        </w:tc>
        <w:tc>
          <w:tcPr/>
          <w:p>
            <w:pPr>
              <w:pStyle w:val="Compact"/>
            </w:pPr>
            <w:r>
              <w:t xml:space="preserve">Soglia sul tubercolo controlaterale</w:t>
            </w:r>
          </w:p>
        </w:tc>
      </w:tr>
      <w:tr>
        <w:tc>
          <w:tcPr/>
          <w:p>
            <w:pPr>
              <w:pStyle w:val="Compact"/>
            </w:pPr>
            <w:r>
              <w:t xml:space="preserve">Livello di attivazione</w:t>
            </w:r>
          </w:p>
        </w:tc>
        <w:tc>
          <w:tcPr/>
          <w:p>
            <w:pPr>
              <w:pStyle w:val="Compact"/>
            </w:pPr>
            <w:r>
              <w:t xml:space="preserve">Nessuno chiude — si registra il respiro</w:t>
            </w:r>
          </w:p>
        </w:tc>
      </w:tr>
    </w:tbl>
    <w:p>
      <w:pPr>
        <w:pStyle w:val="BodyText"/>
      </w:pPr>
      <w:r>
        <w:rPr>
          <w:i/>
          <w:iCs/>
        </w:rPr>
        <w:t xml:space="preserve">Il sito remoto è il tubercolo controlaterale, non il tibiale: lo studio autorizza a escludere il piede sano come controllo, non a validare la gamba. Il numero di primi passi dolorosi è il sintomo: misura di esito, non marker. Nel piede con sensibilità protettiva ridotta i tre marker che dipendono dal sintomo decadono. Sul livello di attivazione la chiave di volta non si chiude: la frequenza respiratoria appartiene al piano trattato, e si registra come effetto.</w:t>
      </w:r>
    </w:p>
    <w:p>
      <w:r>
        <w:pict>
          <v:rect style="width:0;height:1.5pt" o:hralign="center" o:hrstd="t" o:hr="t"/>
        </w:pict>
      </w:r>
    </w:p>
    <w:bookmarkEnd w:id="14"/>
    <w:bookmarkStart w:id="15" w:name="cosa-fa-il-paziente-da-solo"/>
    <w:p>
      <w:pPr>
        <w:pStyle w:val="Heading2"/>
      </w:pPr>
      <w:r>
        <w:t xml:space="preserve">7 — Cosa fa il paziente da solo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Strumento</w:t>
            </w:r>
          </w:p>
        </w:tc>
        <w:tc>
          <w:tcPr/>
          <w:p>
            <w:pPr>
              <w:pStyle w:val="Compact"/>
            </w:pPr>
            <w:r>
              <w:t xml:space="preserve">Su quale meccanismo</w:t>
            </w:r>
          </w:p>
        </w:tc>
        <w:tc>
          <w:tcPr/>
          <w:p>
            <w:pPr>
              <w:pStyle w:val="Compact"/>
            </w:pPr>
            <w:r>
              <w:t xml:space="preserve">Quanto è solido</w:t>
            </w:r>
          </w:p>
        </w:tc>
      </w:tr>
      <w:tr>
        <w:tc>
          <w:tcPr/>
          <w:p>
            <w:pPr>
              <w:pStyle w:val="Compact"/>
            </w:pPr>
            <w:r>
              <w:t xml:space="preserve">Allungamento specifico fascia e polpaccio</w:t>
            </w:r>
          </w:p>
        </w:tc>
        <w:tc>
          <w:tcPr/>
          <w:p>
            <w:pPr>
              <w:pStyle w:val="Compact"/>
            </w:pPr>
            <w:r>
              <w:t xml:space="preserve">Corda posteriore, tessuto</w:t>
            </w:r>
          </w:p>
        </w:tc>
        <w:tc>
          <w:tcPr/>
          <w:p>
            <w:pPr>
              <w:pStyle w:val="Compact"/>
            </w:pPr>
            <w:r>
              <w:t xml:space="preserve">DIMOSTRATO a breve</w:t>
            </w:r>
            <w:r>
              <w:t xml:space="preserve"> </w:t>
            </w:r>
            <w:r>
              <w:rPr>
                <w:b/>
                <w:bCs/>
              </w:rPr>
              <w:t xml:space="preserve">sulla fascia</w:t>
            </w:r>
            <w:r>
              <w:t xml:space="preserve"> </w:t>
            </w:r>
            <w:r>
              <w:t xml:space="preserve">· PROBABILE il solo polpaccio (Radford 2007: nessuna differenza contro finto trattamento) · PROBABILE a lungo (dato a 2 anni non controllato)</w:t>
            </w:r>
          </w:p>
        </w:tc>
      </w:tr>
      <w:tr>
        <w:tc>
          <w:tcPr/>
          <w:p>
            <w:pPr>
              <w:pStyle w:val="Compact"/>
            </w:pPr>
            <w:r>
              <w:t xml:space="preserve">Carico progressivo (heel raise con asciugamano)</w:t>
            </w:r>
          </w:p>
        </w:tc>
        <w:tc>
          <w:tcPr/>
          <w:p>
            <w:pPr>
              <w:pStyle w:val="Compact"/>
            </w:pPr>
            <w:r>
              <w:t xml:space="preserve">Carico oltre la capacità</w:t>
            </w:r>
          </w:p>
        </w:tc>
        <w:tc>
          <w:tcPr/>
          <w:p>
            <w:pPr>
              <w:pStyle w:val="Compact"/>
            </w:pPr>
            <w:r>
              <w:t xml:space="preserve">PROBABILE a 3 mesi, nessuna differenza a 12 (grado C, non B)</w:t>
            </w:r>
          </w:p>
        </w:tc>
      </w:tr>
      <w:tr>
        <w:tc>
          <w:tcPr/>
          <w:p>
            <w:pPr>
              <w:pStyle w:val="Compact"/>
            </w:pPr>
            <w:r>
              <w:t xml:space="preserve">Gestione del carico quotidiano e peso</w:t>
            </w:r>
          </w:p>
        </w:tc>
        <w:tc>
          <w:tcPr/>
          <w:p>
            <w:pPr>
              <w:pStyle w:val="Compact"/>
            </w:pPr>
            <w:r>
              <w:t xml:space="preserve">Carico oltre la capacità, recupero</w:t>
            </w:r>
          </w:p>
        </w:tc>
        <w:tc>
          <w:tcPr/>
          <w:p>
            <w:pPr>
              <w:pStyle w:val="Compact"/>
            </w:pPr>
            <w:r>
              <w:t xml:space="preserve">DIMOSTRATO l’associazione · IPOTESI la leva (grado E = evidenza teorica)</w:t>
            </w:r>
          </w:p>
        </w:tc>
      </w:tr>
      <w:tr>
        <w:tc>
          <w:tcPr/>
          <w:p>
            <w:pPr>
              <w:pStyle w:val="Compact"/>
            </w:pPr>
            <w:r>
              <w:t xml:space="preserve">Tutore notturno, 1-3 mesi</w:t>
            </w:r>
          </w:p>
        </w:tc>
        <w:tc>
          <w:tcPr/>
          <w:p>
            <w:pPr>
              <w:pStyle w:val="Compact"/>
            </w:pPr>
            <w:r>
              <w:t xml:space="preserve">Corda posteriore → tessuto</w:t>
            </w:r>
          </w:p>
        </w:tc>
        <w:tc>
          <w:tcPr/>
          <w:p>
            <w:pPr>
              <w:pStyle w:val="Compact"/>
            </w:pPr>
            <w:r>
              <w:t xml:space="preserve">PROBABILE (grado A su studi piccoli; vantaggio ridotto a 33,8 mesi)</w:t>
            </w:r>
          </w:p>
        </w:tc>
      </w:tr>
    </w:tbl>
    <w:p>
      <w:pPr>
        <w:pStyle w:val="BodyText"/>
      </w:pPr>
      <w:r>
        <w:rPr>
          <w:i/>
          <w:iCs/>
        </w:rPr>
        <w:t xml:space="preserve">Il carico compra velocità, non un traguardo diverso: a 12 mesi nessuna differenza. In 70 persone, 4 hanno raggiunto uno stato accettabile mentre 44 su 65 risultavano migliorati. Allenare gli intrinseci è stato provato e non ha aggiunto nulla (Kamonseki 2016). La respirazione non è uno strumento: su questa condizione non esiste nessuno studio.</w:t>
      </w:r>
    </w:p>
    <w:p>
      <w:pPr>
        <w:pStyle w:val="BodyText"/>
      </w:pPr>
      <w:r>
        <w:rPr>
          <w:b/>
          <w:bCs/>
        </w:rPr>
        <w:t xml:space="preserve">Quando questi strumenti non reggono:</w:t>
      </w:r>
      <w:r>
        <w:t xml:space="preserve"> </w:t>
      </w:r>
      <w:r>
        <w:t xml:space="preserve">nel ROSSO nessuno. Nel ROSSO da Blocco B, carico e allungamento non reggono sul tallone finché il canale medico non risponde. Nel piede con pianta insensibile il carico «fino al sintomo» non regge.</w:t>
      </w:r>
    </w:p>
    <w:p>
      <w:pPr>
        <w:pStyle w:val="BodyText"/>
      </w:pPr>
      <w:r>
        <w:rPr>
          <w:b/>
          <w:bCs/>
        </w:rPr>
        <w:t xml:space="preserve">E quando reggono ma non bastano.</w:t>
      </w:r>
      <w:r>
        <w:t xml:space="preserve"> </w:t>
      </w:r>
      <w:r>
        <w:t xml:space="preserve">Gli interventi con il beneficio più duraturo misurato su questa condizione</w:t>
      </w:r>
      <w:r>
        <w:t xml:space="preserve"> </w:t>
      </w:r>
      <w:r>
        <w:rPr>
          <w:b/>
          <w:bCs/>
        </w:rPr>
        <w:t xml:space="preserve">non sono nostri</w:t>
      </w:r>
      <w:r>
        <w:t xml:space="preserve">: onde d’urto focali, con prova a breve, medio e lungo termine (Morrissey 2021), e dry needling, unico nodo che mantiene il medio termine con qualità alta (Li 2026). Si nominano e si rinviano. Prima di rinviare si rilegge il cancello neurale.</w:t>
      </w:r>
    </w:p>
    <w:p>
      <w:r>
        <w:pict>
          <v:rect style="width:0;height:1.5pt" o:hralign="center" o:hrstd="t" o:hr="t"/>
        </w:pict>
      </w:r>
    </w:p>
    <w:bookmarkEnd w:id="15"/>
    <w:bookmarkStart w:id="16" w:name="la-sicurezza-del-gesto-in-cinque-righe"/>
    <w:p>
      <w:pPr>
        <w:pStyle w:val="Heading2"/>
      </w:pPr>
      <w:r>
        <w:t xml:space="preserve">8 — La sicurezza del gesto, in cinque righe</w:t>
      </w:r>
    </w:p>
    <w:p>
      <w:pPr>
        <w:pStyle w:val="FirstParagraph"/>
      </w:pPr>
      <w:r>
        <w:t xml:space="preserve">Il rischio di zona documentato è</w:t>
      </w:r>
      <w:r>
        <w:t xml:space="preserve"> </w:t>
      </w:r>
      <w:r>
        <w:rPr>
          <w:b/>
          <w:bCs/>
        </w:rPr>
        <w:t xml:space="preserve">la fascia già infiltrata</w:t>
      </w:r>
      <w:r>
        <w:t xml:space="preserve">: quante infiltrazioni e quando l’ultima si chiedono e si scrivono</w:t>
      </w:r>
      <w:r>
        <w:t xml:space="preserve"> </w:t>
      </w:r>
      <w:r>
        <w:rPr>
          <w:b/>
          <w:bCs/>
        </w:rPr>
        <w:t xml:space="preserve">prima</w:t>
      </w:r>
      <w:r>
        <w:t xml:space="preserve"> </w:t>
      </w:r>
      <w:r>
        <w:t xml:space="preserve">di toccare e prima di parlare di carico (44 rotture su 51 associate all’infiltrazione; 2,4% su 120 infiltrati).</w:t>
      </w:r>
      <w:r>
        <w:t xml:space="preserve"> </w:t>
      </w:r>
      <w:r>
        <w:t xml:space="preserve">Cade il</w:t>
      </w:r>
      <w:r>
        <w:t xml:space="preserve"> </w:t>
      </w:r>
      <w:r>
        <w:rPr>
          <w:b/>
          <w:bCs/>
        </w:rPr>
        <w:t xml:space="preserve">divieto di bersaglio</w:t>
      </w:r>
      <w:r>
        <w:t xml:space="preserve">, non il criterio di intensità: sul tubercolo mediale non si lavora per «rompere aderenze» né per vincere una resistenza.</w:t>
      </w:r>
      <w:r>
        <w:t xml:space="preserve"> </w:t>
      </w:r>
      <w:r>
        <w:t xml:space="preserve">Davanti al tubercolo passa il primo ramo del plantare laterale: se sotto la mano compare bruciore che si irradia o formicolio, si toglie la mano e si riapre il cancello.</w:t>
      </w:r>
      <w:r>
        <w:t xml:space="preserve"> </w:t>
      </w:r>
      <w:r>
        <w:t xml:space="preserve">Il dry needling ha grado B e</w:t>
      </w:r>
      <w:r>
        <w:t xml:space="preserve"> </w:t>
      </w:r>
      <w:r>
        <w:rPr>
          <w:b/>
          <w:bCs/>
        </w:rPr>
        <w:t xml:space="preserve">non è nostro</w:t>
      </w:r>
      <w:r>
        <w:t xml:space="preserve">: tecniche esclusivamente manuali, non invasive ed esterne (DPR 131/2021). Si nomina e si rinvia — e con lo stesso metro si nominano tutore notturno e bendaggio.</w:t>
      </w:r>
      <w:r>
        <w:t xml:space="preserve"> </w:t>
      </w:r>
      <w:r>
        <w:t xml:space="preserve">La frase più pericolosa non è una manovra: è un’esclusione detta a voce —</w:t>
      </w:r>
      <w:r>
        <w:t xml:space="preserve"> </w:t>
      </w:r>
      <w:r>
        <w:rPr>
          <w:i/>
          <w:iCs/>
        </w:rPr>
        <w:t xml:space="preserve">«il tuo sperone non c’entra»</w:t>
      </w:r>
      <w:r>
        <w:t xml:space="preserve">,</w:t>
      </w:r>
      <w:r>
        <w:t xml:space="preserve"> </w:t>
      </w:r>
      <w:r>
        <w:rPr>
          <w:i/>
          <w:iCs/>
        </w:rPr>
        <w:t xml:space="preserve">«non è una frattura da stress»</w:t>
      </w:r>
      <w:r>
        <w:t xml:space="preserve">,</w:t>
      </w:r>
      <w:r>
        <w:t xml:space="preserve"> </w:t>
      </w:r>
      <w:r>
        <w:rPr>
          <w:i/>
          <w:iCs/>
        </w:rPr>
        <w:t xml:space="preserve">«non è infiammata»</w:t>
      </w:r>
      <w:r>
        <w:t xml:space="preserve">.</w:t>
      </w:r>
    </w:p>
    <w:p>
      <w:r>
        <w:pict>
          <v:rect style="width:0;height:1.5pt" o:hralign="center" o:hrstd="t" o:hr="t"/>
        </w:pict>
      </w:r>
    </w:p>
    <w:bookmarkEnd w:id="16"/>
    <w:bookmarkStart w:id="17" w:name="X5d1945374e195445132bc6faf04ba40e06b7d7e"/>
    <w:p>
      <w:pPr>
        <w:pStyle w:val="Heading2"/>
      </w:pPr>
      <w:r>
        <w:t xml:space="preserve">9 — La frase per il paziente, e il limite che la accompagna</w:t>
      </w:r>
    </w:p>
    <w:p>
      <w:pPr>
        <w:pStyle w:val="FirstParagraph"/>
      </w:pPr>
      <w:r>
        <w:rPr>
          <w:i/>
          <w:iCs/>
        </w:rPr>
        <w:t xml:space="preserve">«Sotto il piede ha una lamina che tiene insieme l’arco. Non è un’infiammazione acuta: è un tessuto che ha un conto corrente. Ogni passo è un prelievo, ogni recupero un versamento, e il dolore è la lettera della banca. Per questo il riposo da solo non basta. Dietro la gamba c’è la parte che tira: è la prima cosa che guardo. Il mio lavoro è renderle il carico sopportabile e insegnarle a rifare i versamenti. Non tolgo lo sperone e non cambio la forma del piede: quelle due cose non decidono come andrà. Sul farmaco decide il suo medico.»</w:t>
      </w:r>
    </w:p>
    <w:p>
      <w:pPr>
        <w:pStyle w:val="BodyText"/>
      </w:pPr>
      <w:r>
        <w:rPr>
          <w:i/>
          <w:iCs/>
        </w:rPr>
        <w:t xml:space="preserve">E, attaccata:</w:t>
      </w:r>
      <w:r>
        <w:t xml:space="preserve"> </w:t>
      </w:r>
      <w:r>
        <w:rPr>
          <w:b/>
          <w:bCs/>
        </w:rPr>
        <w:t xml:space="preserve">«Io lavoro sulla componente meccanica che ho trovato. Il dolore al tallone va comunque inquadrato dal suo medico, e nel frattempo io non aspetto.»</w:t>
      </w:r>
    </w:p>
    <w:p>
      <w:pPr>
        <w:pStyle w:val="BodyText"/>
      </w:pPr>
      <w:r>
        <w:rPr>
          <w:b/>
          <w:bCs/>
        </w:rPr>
        <w:t xml:space="preserve">I quattro requisiti del GIALLO:</w:t>
      </w:r>
      <w:r>
        <w:t xml:space="preserve"> </w:t>
      </w:r>
      <w:r>
        <w:t xml:space="preserve">reperto scritto in cartella · il paziente sa cosa tratti e cosa no · comunicazione scritta al curante,</w:t>
      </w:r>
      <w:r>
        <w:t xml:space="preserve"> </w:t>
      </w:r>
      <w:r>
        <w:rPr>
          <w:b/>
          <w:bCs/>
        </w:rPr>
        <w:t xml:space="preserve">sempre</w:t>
      </w:r>
      <w:r>
        <w:t xml:space="preserve"> </w:t>
      </w:r>
      <w:r>
        <w:t xml:space="preserve">· rivalutazione già in agenda, entro le sedute previste e comunque entro otto settimane.</w:t>
      </w:r>
      <w:r>
        <w:t xml:space="preserve"> </w:t>
      </w:r>
      <w:r>
        <w:rPr>
          <w:i/>
          <w:iCs/>
        </w:rPr>
        <w:t xml:space="preserve">Il miglioramento del sintomo non chiude il GIALLO.</w:t>
      </w:r>
    </w:p>
    <w:p>
      <w:pPr>
        <w:pStyle w:val="BodyText"/>
      </w:pPr>
      <w:r>
        <w:rPr>
          <w:b/>
          <w:bCs/>
        </w:rPr>
        <w:t xml:space="preserve">Cosa gli fai riconoscere a casa:</w:t>
      </w:r>
      <w:r>
        <w:t xml:space="preserve"> </w:t>
      </w:r>
      <w:r>
        <w:t xml:space="preserve">schiocco o strappo sotto il piede; livido o gonfiore lungo l’arco; bruciore o formicolio nuovi. Anche un peggioramento lento che non torna indietro appartiene a questa lista.</w:t>
      </w:r>
    </w:p>
    <w:p>
      <w:r>
        <w:pict>
          <v:rect style="width:0;height:1.5pt" o:hralign="center" o:hrstd="t" o:hr="t"/>
        </w:pict>
      </w:r>
    </w:p>
    <w:bookmarkEnd w:id="17"/>
    <w:bookmarkStart w:id="18" w:name="perché-ci-sei-tu"/>
    <w:p>
      <w:pPr>
        <w:pStyle w:val="Heading2"/>
      </w:pPr>
      <w:r>
        <w:t xml:space="preserve">Perché ci sei tu</w:t>
      </w:r>
    </w:p>
    <w:p>
      <w:pPr>
        <w:pStyle w:val="BlockText"/>
      </w:pPr>
      <w:r>
        <w:rPr>
          <w:b/>
          <w:bCs/>
        </w:rPr>
        <w:t xml:space="preserve">Perché ci sei tu.</w:t>
      </w:r>
      <w:r>
        <w:t xml:space="preserve"> </w:t>
      </w:r>
      <w:r>
        <w:t xml:space="preserve">La linea guida che prendiamo come riferimento assegna il</w:t>
      </w:r>
      <w:r>
        <w:t xml:space="preserve"> </w:t>
      </w:r>
      <w:r>
        <w:rPr>
          <w:b/>
          <w:bCs/>
        </w:rPr>
        <w:t xml:space="preserve">grado A</w:t>
      </w:r>
      <w:r>
        <w:t xml:space="preserve"> </w:t>
      </w:r>
      <w:r>
        <w:t xml:space="preserve">— il più alto della sua scala — alla terapia manuale diretta ad articolazioni e tessuti molli dell’arto inferiore (Koc, 2023, PMID 38037331). Lo condivide con allungamento specifico, tutore notturno e bendaggio. Questo ti autorizza a dire al paziente e al medico che il lavoro manuale è raccomandato dalla linea guida internazionale, nominando anche gli altri interventi che quel grado lo condividono. Non ti autorizza a dire che il</w:t>
      </w:r>
      <w:r>
        <w:t xml:space="preserve"> </w:t>
      </w:r>
      <w:r>
        <w:rPr>
          <w:b/>
          <w:bCs/>
        </w:rPr>
        <w:t xml:space="preserve">tuo</w:t>
      </w:r>
      <w:r>
        <w:t xml:space="preserve"> </w:t>
      </w:r>
      <w:r>
        <w:t xml:space="preserve">trattamento è quello raccomandato — il grado A copre una famiglia di interventi, non la tua sequenza — né a promettere che il beneficio duri: nella meta-analisi a rete del 2026 la mano non compare fra gli interventi che lo mantengono a medio termine.</w:t>
      </w:r>
      <w:r>
        <w:t xml:space="preserve"> </w:t>
      </w:r>
      <w:r>
        <w:rPr>
          <w:b/>
          <w:bCs/>
        </w:rPr>
        <w:t xml:space="preserve">E non è l’unica sintesi:</w:t>
      </w:r>
      <w:r>
        <w:t xml:space="preserve"> </w:t>
      </w:r>
      <w:r>
        <w:t xml:space="preserve">una seconda guida internazionale non colloca la terapia manuale fra gli interventi con prova di efficacia, e mette al centro taping, allungamento della fascia ed educazione (Morrissey 2021). La linea guida stessa ha poi ricevuto una lettera formale di reinterpretazione, firmata anche da Rathleff (Riel 2025). La discordanza si dichiara, non si risolve scegliendo la sintesi che conviene.</w:t>
      </w:r>
    </w:p>
    <w:p>
      <w:r>
        <w:pict>
          <v:rect style="width:0;height:1.5pt" o:hralign="center" o:hrstd="t" o:hr="t"/>
        </w:pict>
      </w:r>
    </w:p>
    <w:p>
      <w:pPr>
        <w:pStyle w:val="BlockText"/>
      </w:pPr>
      <w:r>
        <w:rPr>
          <w:b/>
          <w:bCs/>
        </w:rPr>
        <w:t xml:space="preserve">DIMOSTRATO</w:t>
      </w:r>
      <w:r>
        <w:t xml:space="preserve"> </w:t>
      </w:r>
      <w:r>
        <w:t xml:space="preserve">studi sull’uomo, solidi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w:t>
      </w:r>
      <w:r>
        <w:t xml:space="preserve"> </w:t>
      </w:r>
      <w:r>
        <w:rPr>
          <w:b/>
          <w:bCs/>
        </w:rPr>
        <w:t xml:space="preserve">RAGIONAMENTO</w:t>
      </w:r>
      <w:r>
        <w:t xml:space="preserve"> </w:t>
      </w:r>
      <w:r>
        <w:t xml:space="preserve">cornice clinica, non una prova</w:t>
      </w:r>
    </w:p>
    <w:p>
      <w:pPr>
        <w:pStyle w:val="FirstParagraph"/>
      </w:pPr>
      <w:r>
        <w:rPr>
          <w:i/>
          <w:iCs/>
        </w:rPr>
        <w:t xml:space="preserve">Deviazioni dichiarate su questa pagina: blocco 6 sul ragionamento clinico (D-018), blocco 7 sugli strumenti attivi (D-011), blocco 8 sulla sicurezza del gesto (D-042), etichetta spezzata in colonna 3 del blocco 3 (D-030), tabella delle bandiere rosse a due blocchi (D-015/D-052), leva con la migliore evidenza fuori dal profilo professionale nel blocco 7 (D-086), linee guida che non concordano nel blocco finale (D-043).</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2026-08-31T14:45:45Z</dcterms:created>
  <dcterms:modified xsi:type="dcterms:W3CDTF">2026-08-31T14:45:45Z</dcterms:modified>
</cp:coreProperties>
</file>

<file path=docProps/custom.xml><?xml version="1.0" encoding="utf-8"?>
<Properties xmlns="http://schemas.openxmlformats.org/officeDocument/2006/custom-properties" xmlns:vt="http://schemas.openxmlformats.org/officeDocument/2006/docPropsVTypes"/>
</file>