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Mobilitas — Direzione Osteopatica</w:t>
      </w:r>
    </w:p>
    <w:bookmarkStart w:id="18" w:name="Xdb23494ade27e30568320cce66b52d2b01d9fbf"/>
    <w:p>
      <w:pPr>
        <w:pStyle w:val="Heading1"/>
      </w:pPr>
      <w:r>
        <w:t xml:space="preserve">Mappa concettuale — Sindrome del tunnel carpale</w:t>
      </w:r>
    </w:p>
    <w:p>
      <w:pPr>
        <w:pStyle w:val="FirstParagraph"/>
      </w:pPr>
      <w:r>
        <w:rPr>
          <w:b/>
          <w:bCs/>
        </w:rPr>
        <w:t xml:space="preserve">Mobilitas / OsteoTouch · v7.0 (revisione di lingua, sesto livello) · 31 agosto 2026 · Ancora clinica: César Fernández-de-las-Peñas · Ancora fisiologica: Peter C. Amadio</w:t>
      </w:r>
    </w:p>
    <w:bookmarkStart w:id="9" w:name="la-condizione-in-tre-righe"/>
    <w:p>
      <w:pPr>
        <w:pStyle w:val="Heading2"/>
      </w:pPr>
      <w:r>
        <w:t xml:space="preserve">1. La condizione in tre righe</w:t>
      </w:r>
    </w:p>
    <w:p>
      <w:pPr>
        <w:pStyle w:val="FirstParagraph"/>
      </w:pPr>
      <w:r>
        <w:t xml:space="preserve">Neuropatia da compressione del nervo mediano dentro un canale rigido al polso: la più comune al mondo.</w:t>
      </w:r>
      <w:r>
        <w:t xml:space="preserve"> </w:t>
      </w:r>
      <w:r>
        <w:t xml:space="preserve">Prevalenza confermata da clinica ed elettrofisiologia 2,7% negli adulti. Più frequente nelle donne, con età, obesità e carico manuale come fattori.</w:t>
      </w:r>
      <w:r>
        <w:t xml:space="preserve"> </w:t>
      </w:r>
      <w:r>
        <w:t xml:space="preserve">Decorso variabile: nei pazienti trattati in modo conservativo l’esito negativo a tre anni va dal 23% all’89%, e fra il 57% e il 66% finisce operato. Nella forma gravidica il decorso è un altro e ha una data: i sintomi passano dal 34% in gravidanza al 6% a quattro mesi dal parto. Dopo l’intervento presa e pinza non risalgono in modo marcato prima di cinque-sette mesi.</w:t>
      </w:r>
    </w:p>
    <w:bookmarkEnd w:id="9"/>
    <w:bookmarkStart w:id="10" w:name="la-sequenza-causale"/>
    <w:p>
      <w:pPr>
        <w:pStyle w:val="Heading2"/>
      </w:pPr>
      <w:r>
        <w:t xml:space="preserve">2. La sequenza causale</w:t>
      </w:r>
    </w:p>
    <w:p>
      <w:pPr>
        <w:pStyle w:val="FirstParagraph"/>
      </w:pPr>
      <w:r>
        <w:rPr>
          <w:rStyle w:val="VerbatimChar"/>
        </w:rPr>
        <w:t xml:space="preserve">polso fuori posizione neutra, contenuto aumentato o fluidi notturni</w:t>
      </w:r>
      <w:r>
        <w:t xml:space="preserve"> </w:t>
      </w:r>
      <w:r>
        <w:t xml:space="preserve">→</w:t>
      </w:r>
      <w:r>
        <w:t xml:space="preserve"> </w:t>
      </w:r>
      <w:r>
        <w:rPr>
          <w:rStyle w:val="VerbatimChar"/>
        </w:rPr>
        <w:t xml:space="preserve">pressione dentro il canale oltre la soglia venulare</w:t>
      </w:r>
      <w:r>
        <w:t xml:space="preserve"> </w:t>
      </w:r>
      <w:r>
        <w:t xml:space="preserve">→</w:t>
      </w:r>
      <w:r>
        <w:t xml:space="preserve"> </w:t>
      </w:r>
      <w:r>
        <w:rPr>
          <w:rStyle w:val="VerbatimChar"/>
        </w:rPr>
        <w:t xml:space="preserve">il sangue fa fatica a uscire, il nervo si gonfia da dentro</w:t>
      </w:r>
      <w:r>
        <w:t xml:space="preserve"> </w:t>
      </w:r>
      <w:r>
        <w:t xml:space="preserve">→</w:t>
      </w:r>
      <w:r>
        <w:t xml:space="preserve"> </w:t>
      </w:r>
      <w:r>
        <w:rPr>
          <w:rStyle w:val="VerbatimChar"/>
        </w:rPr>
        <w:t xml:space="preserve">blocco di conduzione e scarica ectopica insieme</w:t>
      </w:r>
      <w:r>
        <w:t xml:space="preserve"> </w:t>
      </w:r>
      <w:r>
        <w:t xml:space="preserve">→</w:t>
      </w:r>
      <w:r>
        <w:t xml:space="preserve"> </w:t>
      </w:r>
      <w:r>
        <w:rPr>
          <w:rStyle w:val="VerbatimChar"/>
        </w:rPr>
        <w:t xml:space="preserve">mano morta e formicolio che passano scuotendo</w:t>
      </w:r>
      <w:r>
        <w:t xml:space="preserve"> </w:t>
      </w:r>
      <w:r>
        <w:t xml:space="preserve">→</w:t>
      </w:r>
      <w:r>
        <w:t xml:space="preserve"> </w:t>
      </w:r>
      <w:r>
        <w:rPr>
          <w:rStyle w:val="VerbatimChar"/>
        </w:rPr>
        <w:t xml:space="preserve">mesi di notti spezzate</w:t>
      </w:r>
      <w:r>
        <w:t xml:space="preserve"> </w:t>
      </w:r>
      <w:r>
        <w:t xml:space="preserve">→</w:t>
      </w:r>
      <w:r>
        <w:t xml:space="preserve"> </w:t>
      </w:r>
      <w:r>
        <w:rPr>
          <w:rStyle w:val="VerbatimChar"/>
        </w:rPr>
        <w:t xml:space="preserve">il freno discendente frena di meno</w:t>
      </w:r>
    </w:p>
    <w:bookmarkEnd w:id="10"/>
    <w:bookmarkStart w:id="11" w:name="i-meccanismi-e-quanto-sono-solidi"/>
    <w:p>
      <w:pPr>
        <w:pStyle w:val="Heading2"/>
      </w:pPr>
      <w:r>
        <w:t xml:space="preserve">3. I meccanismi e quanto sono solidi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Meccanismo</w:t>
            </w:r>
          </w:p>
        </w:tc>
        <w:tc>
          <w:tcPr/>
          <w:p>
            <w:pPr>
              <w:pStyle w:val="Compact"/>
            </w:pPr>
            <w:r>
              <w:t xml:space="preserve">Come lo riconosci</w:t>
            </w:r>
          </w:p>
        </w:tc>
        <w:tc>
          <w:tcPr/>
          <w:p>
            <w:pPr>
              <w:pStyle w:val="Compact"/>
            </w:pPr>
            <w:r>
              <w:t xml:space="preserve">Quanto è solido</w:t>
            </w:r>
          </w:p>
        </w:tc>
      </w:tr>
      <w:tr>
        <w:tc>
          <w:tcPr/>
          <w:p>
            <w:pPr>
              <w:pStyle w:val="Compact"/>
            </w:pPr>
            <w:r>
              <w:t xml:space="preserve">Pressione, stasi venosa e ischemia</w:t>
            </w:r>
          </w:p>
        </w:tc>
        <w:tc>
          <w:tcPr/>
          <w:p>
            <w:pPr>
              <w:pStyle w:val="Compact"/>
            </w:pPr>
            <w:r>
              <w:t xml:space="preserve">Posizionale, passa scuotendo</w:t>
            </w:r>
          </w:p>
        </w:tc>
        <w:tc>
          <w:tcPr/>
          <w:p>
            <w:pPr>
              <w:pStyle w:val="Compact"/>
            </w:pPr>
            <w:r>
              <w:t xml:space="preserve">DIMOSTRATO / PROBABILE · IPOTESI sul contributo notturno dei fluidi</w:t>
            </w:r>
          </w:p>
        </w:tc>
      </w:tr>
      <w:tr>
        <w:tc>
          <w:tcPr/>
          <w:p>
            <w:pPr>
              <w:pStyle w:val="Compact"/>
            </w:pPr>
            <w:r>
              <w:t xml:space="preserve">Contenuto aumentato</w:t>
            </w:r>
          </w:p>
        </w:tc>
        <w:tc>
          <w:tcPr/>
          <w:p>
            <w:pPr>
              <w:pStyle w:val="Compact"/>
            </w:pPr>
            <w:r>
              <w:t xml:space="preserve">Peggiora stringendo, dito che scatta</w:t>
            </w:r>
          </w:p>
        </w:tc>
        <w:tc>
          <w:tcPr/>
          <w:p>
            <w:pPr>
              <w:pStyle w:val="Compact"/>
            </w:pPr>
            <w:r>
              <w:t xml:space="preserve">PROBABILE (lombricali) / DIMOSTRATO (deposito amiloide)</w:t>
            </w:r>
          </w:p>
        </w:tc>
      </w:tr>
      <w:tr>
        <w:tc>
          <w:tcPr/>
          <w:p>
            <w:pPr>
              <w:pStyle w:val="Compact"/>
            </w:pPr>
            <w:r>
              <w:t xml:space="preserve">Tessuto di scorrimento irrigidito</w:t>
            </w:r>
          </w:p>
        </w:tc>
        <w:tc>
          <w:tcPr/>
          <w:p>
            <w:pPr>
              <w:pStyle w:val="Compact"/>
            </w:pPr>
            <w:r>
              <w:t xml:space="preserve">Anni di gesto, progressione lenta</w:t>
            </w:r>
          </w:p>
        </w:tc>
        <w:tc>
          <w:tcPr/>
          <w:p>
            <w:pPr>
              <w:pStyle w:val="Compact"/>
            </w:pPr>
            <w:r>
              <w:t xml:space="preserve">DIMOSTRATO / PROBABILE</w:t>
            </w:r>
          </w:p>
        </w:tc>
      </w:tr>
      <w:tr>
        <w:tc>
          <w:tcPr/>
          <w:p>
            <w:pPr>
              <w:pStyle w:val="Compact"/>
            </w:pPr>
            <w:r>
              <w:t xml:space="preserve">Guadagno del sistema nervoso</w:t>
            </w:r>
          </w:p>
        </w:tc>
        <w:tc>
          <w:tcPr/>
          <w:p>
            <w:pPr>
              <w:pStyle w:val="Compact"/>
            </w:pPr>
            <w:r>
              <w:t xml:space="preserve">Sintomi fuori dal territorio mediano</w:t>
            </w:r>
          </w:p>
        </w:tc>
        <w:tc>
          <w:tcPr/>
          <w:p>
            <w:pPr>
              <w:pStyle w:val="Compact"/>
            </w:pPr>
            <w:r>
              <w:t xml:space="preserve">DIMOSTRATO in un sottogruppo e sulla corteccia · IPOTESI con prove contrarie sulla condizione intera</w:t>
            </w:r>
          </w:p>
        </w:tc>
      </w:tr>
      <w:tr>
        <w:tc>
          <w:tcPr/>
          <w:p>
            <w:pPr>
              <w:pStyle w:val="Compact"/>
            </w:pPr>
            <w:r>
              <w:t xml:space="preserve">Percorso prossimale</w:t>
            </w:r>
          </w:p>
        </w:tc>
        <w:tc>
          <w:tcPr/>
          <w:p>
            <w:pPr>
              <w:pStyle w:val="Compact"/>
            </w:pPr>
            <w:r>
              <w:t xml:space="preserve">Cambia con spalla e collo</w:t>
            </w:r>
          </w:p>
        </w:tc>
        <w:tc>
          <w:tcPr/>
          <w:p>
            <w:pPr>
              <w:pStyle w:val="Compact"/>
            </w:pPr>
            <w:r>
              <w:t xml:space="preserve">IPOTESI, prove contrarie sulla causa</w:t>
            </w:r>
          </w:p>
        </w:tc>
      </w:tr>
    </w:tbl>
    <w:p>
      <w:pPr>
        <w:pStyle w:val="BodyText"/>
      </w:pPr>
      <w:r>
        <w:t xml:space="preserve">L’ordine è per solidità decrescente. Il meccanismo più frequente coincide col primo. La Road Map segue un ordine diverso: quello della priorità di condotta.</w:t>
      </w:r>
      <w:r>
        <w:t xml:space="preserve"> </w:t>
      </w:r>
      <w:r>
        <w:rPr>
          <w:b/>
          <w:bCs/>
        </w:rPr>
        <w:t xml:space="preserve">Il tipo di dolore:</w:t>
      </w:r>
      <w:r>
        <w:t xml:space="preserve"> </w:t>
      </w:r>
      <w:r>
        <w:t xml:space="preserve">neuropatico in tutti, con la perdita delle soglie di detezione come fenotipo dominante. Nocicettivo in una parte. Nociplastico in circa un terzo.</w:t>
      </w:r>
      <w:r>
        <w:t xml:space="preserve"> </w:t>
      </w:r>
      <w:r>
        <w:rPr>
          <w:b/>
          <w:bCs/>
        </w:rPr>
        <w:t xml:space="preserve">Il quarto meccanismo ha tre anelli:</w:t>
      </w:r>
      <w:r>
        <w:t xml:space="preserve"> </w:t>
      </w:r>
      <w:r>
        <w:t xml:space="preserve">segmentale, sopraspinale e corticale. Nella corteccia sensitiva la rappresentazione delle dita si sfuma, ed è l’anello che spiega la goffaggine.</w:t>
      </w:r>
    </w:p>
    <w:bookmarkEnd w:id="11"/>
    <w:bookmarkStart w:id="12" w:name="i-sottotipi-e-chi-comanda"/>
    <w:p>
      <w:pPr>
        <w:pStyle w:val="Heading2"/>
      </w:pPr>
      <w:r>
        <w:t xml:space="preserve">4. I sottotipi e chi comanda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Quanto puoi fare sul nervo</w:t>
            </w:r>
          </w:p>
        </w:tc>
      </w:tr>
      <w:tr>
        <w:tc>
          <w:tcPr/>
          <w:p>
            <w:pPr>
              <w:pStyle w:val="Compact"/>
            </w:pPr>
            <w:r>
              <w:t xml:space="preserve">Notturno posizionale</w:t>
            </w:r>
          </w:p>
        </w:tc>
        <w:tc>
          <w:tcPr/>
          <w:p>
            <w:pPr>
              <w:pStyle w:val="Compact"/>
            </w:pPr>
            <w:r>
              <w:t xml:space="preserve">Solo di notte, passa scuotendo</w:t>
            </w:r>
          </w:p>
        </w:tc>
        <w:tc>
          <w:tcPr/>
          <w:p>
            <w:pPr>
              <w:pStyle w:val="Compact"/>
            </w:pPr>
            <w:r>
              <w:t xml:space="preserve">Molto</w:t>
            </w:r>
          </w:p>
        </w:tc>
      </w:tr>
      <w:tr>
        <w:tc>
          <w:tcPr/>
          <w:p>
            <w:pPr>
              <w:pStyle w:val="Compact"/>
            </w:pPr>
            <w:r>
              <w:t xml:space="preserve">Da carico del gesto</w:t>
            </w:r>
          </w:p>
        </w:tc>
        <w:tc>
          <w:tcPr/>
          <w:p>
            <w:pPr>
              <w:pStyle w:val="Compact"/>
            </w:pPr>
            <w:r>
              <w:t xml:space="preserve">Compare al lavoro, cede la domenica</w:t>
            </w:r>
          </w:p>
        </w:tc>
        <w:tc>
          <w:tcPr/>
          <w:p>
            <w:pPr>
              <w:pStyle w:val="Compact"/>
            </w:pPr>
            <w:r>
              <w:t xml:space="preserve">Abbastanza</w:t>
            </w:r>
          </w:p>
        </w:tc>
      </w:tr>
      <w:tr>
        <w:tc>
          <w:tcPr/>
          <w:p>
            <w:pPr>
              <w:pStyle w:val="Compact"/>
            </w:pPr>
            <w:r>
              <w:t xml:space="preserve">Sensibilizzato</w:t>
            </w:r>
          </w:p>
        </w:tc>
        <w:tc>
          <w:tcPr/>
          <w:p>
            <w:pPr>
              <w:pStyle w:val="Compact"/>
            </w:pPr>
            <w:r>
              <w:t xml:space="preserve">Sintomi fuori mappa, sonno spezzato</w:t>
            </w:r>
          </w:p>
        </w:tc>
        <w:tc>
          <w:tcPr/>
          <w:p>
            <w:pPr>
              <w:pStyle w:val="Compact"/>
            </w:pPr>
            <w:r>
              <w:t xml:space="preserve">Abbastanza (fuori dalla popolazione dello studio cardine)</w:t>
            </w:r>
          </w:p>
        </w:tc>
      </w:tr>
      <w:tr>
        <w:tc>
          <w:tcPr/>
          <w:p>
            <w:pPr>
              <w:pStyle w:val="Compact"/>
            </w:pPr>
            <w:r>
              <w:t xml:space="preserve">Volumetrico gestazionale</w:t>
            </w:r>
          </w:p>
        </w:tc>
        <w:tc>
          <w:tcPr/>
          <w:p>
            <w:pPr>
              <w:pStyle w:val="Compact"/>
            </w:pPr>
            <w:r>
              <w:t xml:space="preserve">Comparso in gravidanza</w:t>
            </w:r>
          </w:p>
        </w:tc>
        <w:tc>
          <w:tcPr/>
          <w:p>
            <w:pPr>
              <w:pStyle w:val="Compact"/>
            </w:pPr>
            <w:r>
              <w:t xml:space="preserve">Molto — e il marker basale non è opzionale</w:t>
            </w:r>
          </w:p>
        </w:tc>
      </w:tr>
      <w:tr>
        <w:tc>
          <w:tcPr/>
          <w:p>
            <w:pPr>
              <w:pStyle w:val="Compact"/>
            </w:pPr>
            <w:r>
              <w:t xml:space="preserve">Volumetrico da malattia sistemica</w:t>
            </w:r>
          </w:p>
        </w:tc>
        <w:tc>
          <w:tcPr/>
          <w:p>
            <w:pPr>
              <w:pStyle w:val="Compact"/>
            </w:pPr>
            <w:r>
              <w:t xml:space="preserve">Bilaterale in mesi, tiroide, rene, amiloide</w:t>
            </w:r>
          </w:p>
        </w:tc>
        <w:tc>
          <w:tcPr/>
          <w:p>
            <w:pPr>
              <w:pStyle w:val="Compact"/>
            </w:pPr>
            <w:r>
              <w:t xml:space="preserve">Poco</w:t>
            </w:r>
          </w:p>
        </w:tc>
      </w:tr>
      <w:tr>
        <w:tc>
          <w:tcPr/>
          <w:p>
            <w:pPr>
              <w:pStyle w:val="Compact"/>
            </w:pPr>
            <w:r>
              <w:t xml:space="preserve">Post-chirurgico</w:t>
            </w:r>
          </w:p>
        </w:tc>
        <w:tc>
          <w:tcPr/>
          <w:p>
            <w:pPr>
              <w:pStyle w:val="Compact"/>
            </w:pPr>
            <w:r>
              <w:t xml:space="preserve">Sintomi dopo un intervento già fatto</w:t>
            </w:r>
          </w:p>
        </w:tc>
        <w:tc>
          <w:tcPr/>
          <w:p>
            <w:pPr>
              <w:pStyle w:val="Compact"/>
            </w:pPr>
            <w:r>
              <w:t xml:space="preserve">Abbastanza, sul residuo — con il decorso post-operatorio in mano</w:t>
            </w:r>
          </w:p>
        </w:tc>
      </w:tr>
      <w:tr>
        <w:tc>
          <w:tcPr/>
          <w:p>
            <w:pPr>
              <w:pStyle w:val="Compact"/>
            </w:pPr>
            <w:r>
              <w:t xml:space="preserve">Assonale avanzato</w:t>
            </w:r>
          </w:p>
        </w:tc>
        <w:tc>
          <w:tcPr/>
          <w:p>
            <w:pPr>
              <w:pStyle w:val="Compact"/>
            </w:pPr>
            <w:r>
              <w:t xml:space="preserve">Eminenza tenar piatta, deficit fisso</w:t>
            </w:r>
          </w:p>
        </w:tc>
        <w:tc>
          <w:tcPr/>
          <w:p>
            <w:pPr>
              <w:pStyle w:val="Compact"/>
            </w:pPr>
            <w:r>
              <w:t xml:space="preserve">Niente sul nervo, invio</w:t>
            </w:r>
          </w:p>
        </w:tc>
      </w:tr>
    </w:tbl>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w:t>
      </w:r>
      <w:r>
        <w:t xml:space="preserve">per le colonne «meccanismo che comanda» e «quanto puoi fare»: sono assegnazioni di ipotesi, non misure.</w:t>
      </w:r>
      <w:r>
        <w:t xml:space="preserve"> </w:t>
      </w:r>
      <w:r>
        <w:rPr>
          <w:b/>
          <w:bCs/>
        </w:rPr>
        <w:t xml:space="preserve">L’invio non sospende tutto:</w:t>
      </w:r>
      <w:r>
        <w:t xml:space="preserve"> </w:t>
      </w:r>
      <w:r>
        <w:t xml:space="preserve">il quarto meccanismo resta disponibile anche in chi stai mandando altrove.</w:t>
      </w:r>
    </w:p>
    <w:bookmarkEnd w:id="12"/>
    <w:bookmarkStart w:id="13" w:name="le-bandiere-rosse"/>
    <w:p>
      <w:pPr>
        <w:pStyle w:val="Heading2"/>
      </w:pPr>
      <w:r>
        <w:t xml:space="preserve">5. Le bandiere rosse</w:t>
      </w:r>
    </w:p>
    <w:p>
      <w:pPr>
        <w:pStyle w:val="Compact"/>
        <w:numPr>
          <w:ilvl w:val="0"/>
          <w:numId w:val="1001"/>
        </w:numPr>
      </w:pPr>
      <w:r>
        <w:t xml:space="preserve">Trauma recente del polso, dolore che cresce a ore → Pronto soccorso → 112 → ROSSO (e non si prova nulla, nemmeno il test di elevazione)</w:t>
      </w:r>
    </w:p>
    <w:p>
      <w:pPr>
        <w:pStyle w:val="Compact"/>
        <w:numPr>
          <w:ilvl w:val="0"/>
          <w:numId w:val="1001"/>
        </w:numPr>
      </w:pPr>
      <w:r>
        <w:t xml:space="preserve">Polso caldo, rosso, con febbre → Pronto soccorso → In giornata → ROSSO</w:t>
      </w:r>
    </w:p>
    <w:p>
      <w:pPr>
        <w:pStyle w:val="Compact"/>
        <w:numPr>
          <w:ilvl w:val="0"/>
          <w:numId w:val="1001"/>
        </w:numPr>
      </w:pPr>
      <w:r>
        <w:t xml:space="preserve">Ipotrofia tenar o forza in caduta</w:t>
      </w:r>
      <w:r>
        <w:t xml:space="preserve"> </w:t>
      </w:r>
      <w:r>
        <w:rPr>
          <w:b/>
          <w:bCs/>
        </w:rPr>
        <w:t xml:space="preserve">con</w:t>
      </w:r>
      <w:r>
        <w:t xml:space="preserve"> </w:t>
      </w:r>
      <w:r>
        <w:t xml:space="preserve">deficit sensitivo del mediano → Chirurgo della mano → Entro 7 giorni → ROSSO</w:t>
      </w:r>
    </w:p>
    <w:p>
      <w:pPr>
        <w:pStyle w:val="Compact"/>
        <w:numPr>
          <w:ilvl w:val="0"/>
          <w:numId w:val="1001"/>
        </w:numPr>
      </w:pPr>
      <w:r>
        <w:t xml:space="preserve">Debolezza o atrofia</w:t>
      </w:r>
      <w:r>
        <w:t xml:space="preserve"> </w:t>
      </w:r>
      <w:r>
        <w:rPr>
          <w:b/>
          <w:bCs/>
        </w:rPr>
        <w:t xml:space="preserve">senza</w:t>
      </w:r>
      <w:r>
        <w:t xml:space="preserve"> </w:t>
      </w:r>
      <w:r>
        <w:t xml:space="preserve">deficit sensitivo, o fuori dal territorio mediano → Curante e neurologo → Entro 7 giorni → ROSSO</w:t>
      </w:r>
    </w:p>
    <w:p>
      <w:pPr>
        <w:pStyle w:val="Compact"/>
        <w:numPr>
          <w:ilvl w:val="0"/>
          <w:numId w:val="1001"/>
        </w:numPr>
      </w:pPr>
      <w:r>
        <w:t xml:space="preserve">Fascicolazioni, voce cambiata, difficoltà a deglutire → Curante e neurologo → Entro 7 giorni → ROSSO</w:t>
      </w:r>
    </w:p>
    <w:p>
      <w:pPr>
        <w:pStyle w:val="Compact"/>
        <w:numPr>
          <w:ilvl w:val="0"/>
          <w:numId w:val="1001"/>
        </w:numPr>
      </w:pPr>
      <w:r>
        <w:t xml:space="preserve">Goffaggine di</w:t>
      </w:r>
      <w:r>
        <w:t xml:space="preserve"> </w:t>
      </w:r>
      <w:r>
        <w:rPr>
          <w:b/>
          <w:bCs/>
        </w:rPr>
        <w:t xml:space="preserve">entrambe</w:t>
      </w:r>
      <w:r>
        <w:t xml:space="preserve"> </w:t>
      </w:r>
      <w:r>
        <w:t xml:space="preserve">le mani, andatura insicura, disturbi sfinterici → Curante e neurologo → Entro 7 giorni → ROSSO</w:t>
      </w:r>
    </w:p>
    <w:p>
      <w:pPr>
        <w:pStyle w:val="Compact"/>
        <w:numPr>
          <w:ilvl w:val="0"/>
          <w:numId w:val="1001"/>
        </w:numPr>
      </w:pPr>
      <w:r>
        <w:t xml:space="preserve">Sensibilità persa in modo fisso → Neurologo → Entro 7 giorni → ROSSO</w:t>
      </w:r>
    </w:p>
    <w:p>
      <w:pPr>
        <w:pStyle w:val="Compact"/>
        <w:numPr>
          <w:ilvl w:val="0"/>
          <w:numId w:val="1001"/>
        </w:numPr>
      </w:pPr>
      <w:r>
        <w:t xml:space="preserve">Deficit di forza o riflessi in un miotomo → Curante e neurologo → Entro 7 giorni → ROSSO</w:t>
      </w:r>
    </w:p>
    <w:p>
      <w:pPr>
        <w:pStyle w:val="Compact"/>
        <w:numPr>
          <w:ilvl w:val="0"/>
          <w:numId w:val="1001"/>
        </w:numPr>
      </w:pPr>
      <w:r>
        <w:t xml:space="preserve">Gravidanza con gonfiore diffuso e pressione alta → Ostetrico → Urgente → ROSSO</w:t>
      </w:r>
    </w:p>
    <w:p>
      <w:pPr>
        <w:pStyle w:val="Compact"/>
        <w:numPr>
          <w:ilvl w:val="0"/>
          <w:numId w:val="1001"/>
        </w:numPr>
      </w:pPr>
      <w:r>
        <w:t xml:space="preserve">…con cefalea, disturbi visivi o dolore epigastrico → Pronto soccorso ostetrico → 112 → ROSSO</w:t>
      </w:r>
    </w:p>
    <w:p>
      <w:pPr>
        <w:pStyle w:val="Compact"/>
        <w:numPr>
          <w:ilvl w:val="0"/>
          <w:numId w:val="1001"/>
        </w:numPr>
      </w:pPr>
      <w:r>
        <w:t xml:space="preserve">Quadro bilaterale nuovo, uomo oltre i 60 → Curante → Entro 30 giorni → GIALLO prioritario</w:t>
      </w:r>
    </w:p>
    <w:p>
      <w:pPr>
        <w:pStyle w:val="Compact"/>
        <w:numPr>
          <w:ilvl w:val="0"/>
          <w:numId w:val="1001"/>
        </w:numPr>
      </w:pPr>
      <w:r>
        <w:t xml:space="preserve">Palmo intorpidito in modo netto e isolato → Curante → Entro 30 giorni → GIALLO prioritario</w:t>
      </w:r>
    </w:p>
    <w:p>
      <w:pPr>
        <w:pStyle w:val="Compact"/>
        <w:numPr>
          <w:ilvl w:val="0"/>
          <w:numId w:val="1001"/>
        </w:numPr>
      </w:pPr>
      <w:r>
        <w:t xml:space="preserve">Tiroide, glicemia o rene non seguiti → Curante → Invio programmato → GIALLO prioritario</w:t>
      </w:r>
    </w:p>
    <w:p>
      <w:pPr>
        <w:pStyle w:val="FirstParagraph"/>
      </w:pPr>
      <w:r>
        <w:t xml:space="preserve">La lista è composta da serie di casi e studi su singole insidie: si usa come rete, non come filtro. In cartella si scrive che l’hai passata in rassegna, non che il paziente è negativo.</w:t>
      </w:r>
      <w:r>
        <w:t xml:space="preserve"> </w:t>
      </w:r>
      <w:r>
        <w:rPr>
          <w:b/>
          <w:bCs/>
        </w:rPr>
        <w:t xml:space="preserve">Le tre uscite hanno tutte una data e una traccia scritta</w:t>
      </w:r>
      <w:r>
        <w:t xml:space="preserve">, ROSSO e VERDE compresi. La segnalazione del ROSSO parte al curante entro 24 ore, anche se il paziente non ci va. Il VERDE con proposta di intervento pendente vuole la comunicazione scritta al chirurgo prima della prima seduta.</w:t>
      </w:r>
      <w:r>
        <w:t xml:space="preserve"> </w:t>
      </w:r>
      <w:r>
        <w:rPr>
          <w:b/>
          <w:bCs/>
        </w:rPr>
        <w:t xml:space="preserve">Perché quattro uscite e non due:</w:t>
      </w:r>
      <w:r>
        <w:t xml:space="preserve"> </w:t>
      </w:r>
      <w:r>
        <w:t xml:space="preserve">una regola scritta e disattesa vale meno di nessuna regola, perché fa credere che un controllo esista.</w:t>
      </w:r>
    </w:p>
    <w:bookmarkEnd w:id="13"/>
    <w:bookmarkStart w:id="14" w:name="la-sicurezza-del-gesto-in-quattro-righe"/>
    <w:p>
      <w:pPr>
        <w:pStyle w:val="Heading2"/>
      </w:pPr>
      <w:r>
        <w:t xml:space="preserve">6. La sicurezza del gesto, in quattro righe</w:t>
      </w:r>
    </w:p>
    <w:p>
      <w:pPr>
        <w:pStyle w:val="FirstParagraph"/>
      </w:pPr>
      <w:r>
        <w:t xml:space="preserve">Il canale non si apre e il retinacolo non si allunga. Qualunque manovra che punti a</w:t>
      </w:r>
      <w:r>
        <w:t xml:space="preserve"> </w:t>
      </w:r>
      <w:r>
        <w:t xml:space="preserve">“decomprimere”</w:t>
      </w:r>
      <w:r>
        <w:t xml:space="preserve"> </w:t>
      </w:r>
      <w:r>
        <w:t xml:space="preserve">sbaglia l’obiettivo prima che la tecnica.</w:t>
      </w:r>
      <w:r>
        <w:t xml:space="preserve"> </w:t>
      </w:r>
      <w:r>
        <w:t xml:space="preserve">Un nervo irritabile risponde male alla tensione. Si preferisce lo scorrimento, che dà il doppio di escursione con un ottavo della tensione, e sopra il 15,7% di allungamento il flusso si ferma.</w:t>
      </w:r>
      <w:r>
        <w:t xml:space="preserve"> </w:t>
      </w:r>
      <w:r>
        <w:rPr>
          <w:b/>
          <w:bCs/>
        </w:rPr>
        <w:t xml:space="preserve">Rachide cervicale:</w:t>
      </w:r>
      <w:r>
        <w:t xml:space="preserve"> </w:t>
      </w:r>
      <w:r>
        <w:t xml:space="preserve">l’entità è la disfunzione arteriosa cervicale, cioè la dissecazione vertebrale o carotidea, rara e con esito potenzialmente permanente. Ciò che separa un intervento sicuro da uno pericoloso è</w:t>
      </w:r>
      <w:r>
        <w:t xml:space="preserve"> </w:t>
      </w:r>
      <w:r>
        <w:rPr>
          <w:b/>
          <w:bCs/>
        </w:rPr>
        <w:t xml:space="preserve">l’anamnesi vascolare che lo precede</w:t>
      </w:r>
      <w:r>
        <w:t xml:space="preserve">, non la forza applicata: la dissecazione è documentata anche dopo semplice mobilizzazione.</w:t>
      </w:r>
      <w:r>
        <w:t xml:space="preserve"> </w:t>
      </w:r>
      <w:r>
        <w:rPr>
          <w:b/>
          <w:bCs/>
        </w:rPr>
        <w:t xml:space="preserve">Regione sopraclaveare e giunzione cervico-toracica:</w:t>
      </w:r>
      <w:r>
        <w:t xml:space="preserve"> </w:t>
      </w:r>
      <w:r>
        <w:t xml:space="preserve">cupola pleurica sopra, plesso brachiale e vasi succlavi sotto, con pneumotorace, emotorace e frattura costale documentati dopo terapia manuale.</w:t>
      </w:r>
      <w:r>
        <w:t xml:space="preserve"> </w:t>
      </w:r>
      <w:r>
        <w:rPr>
          <w:b/>
          <w:bCs/>
        </w:rPr>
        <w:t xml:space="preserve">E sul polso stesso:</w:t>
      </w:r>
      <w:r>
        <w:t xml:space="preserve"> </w:t>
      </w:r>
      <w:r>
        <w:t xml:space="preserve">la posizione a fine corsa e l’appoggio sostenuto sul decorso del nervo riproducono la compressione che stai togliendo.</w:t>
      </w:r>
    </w:p>
    <w:bookmarkEnd w:id="14"/>
    <w:bookmarkStart w:id="15" w:name="come-decidi-e-su-cosa-verifichi"/>
    <w:p>
      <w:pPr>
        <w:pStyle w:val="Heading2"/>
      </w:pPr>
      <w:r>
        <w:t xml:space="preserve">7. Come decidi, e su cosa verifichi</w:t>
      </w:r>
    </w:p>
    <w:p>
      <w:pPr>
        <w:pStyle w:val="FirstParagraph"/>
      </w:pPr>
      <w:r>
        <w:t xml:space="preserve">Road map: bandiere rosse (con deficit sensitivo sì/no) → quadro sistemico → sistema in allarme → variabile posizionale e fluidi notturni → dove entra il carico, esiti di trauma compresi → reperto prossimale.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Marker</w:t>
            </w:r>
          </w:p>
        </w:tc>
        <w:tc>
          <w:tcPr/>
          <w:p>
            <w:pPr>
              <w:pStyle w:val="Compact"/>
            </w:pPr>
            <w:r>
              <w:t xml:space="preserve">Soglia</w:t>
            </w:r>
          </w:p>
        </w:tc>
        <w:tc>
          <w:tcPr/>
          <w:p>
            <w:pPr>
              <w:pStyle w:val="Compact"/>
            </w:pPr>
            <w:r>
              <w:t xml:space="preserve">Ruolo</w:t>
            </w:r>
          </w:p>
        </w:tc>
      </w:tr>
      <w:tr>
        <w:tc>
          <w:tcPr/>
          <w:p>
            <w:pPr>
              <w:pStyle w:val="Compact"/>
            </w:pPr>
            <w:r>
              <w:t xml:space="preserve">Test di elevazione, secondi (tetto 120)</w:t>
            </w:r>
          </w:p>
        </w:tc>
        <w:tc>
          <w:tcPr/>
          <w:p>
            <w:pPr>
              <w:pStyle w:val="Compact"/>
            </w:pPr>
            <w:r>
              <w:t xml:space="preserve">Ricavata in stanza: doppio della differenza fra due basali, minimo 10 secondi</w:t>
            </w:r>
          </w:p>
        </w:tc>
        <w:tc>
          <w:tcPr/>
          <w:p>
            <w:pPr>
              <w:pStyle w:val="Compact"/>
            </w:pPr>
            <w:r>
              <w:t xml:space="preserve">Effetto immediato</w:t>
            </w:r>
          </w:p>
        </w:tc>
      </w:tr>
      <w:tr>
        <w:tc>
          <w:tcPr/>
          <w:p>
            <w:pPr>
              <w:pStyle w:val="Compact"/>
            </w:pPr>
            <w:r>
              <w:t xml:space="preserve">Risvegli notturni per settimana</w:t>
            </w:r>
          </w:p>
        </w:tc>
        <w:tc>
          <w:tcPr/>
          <w:p>
            <w:pPr>
              <w:pStyle w:val="Compact"/>
            </w:pPr>
            <w:r>
              <w:t xml:space="preserve">Ricavata in stanza</w:t>
            </w:r>
          </w:p>
        </w:tc>
        <w:tc>
          <w:tcPr/>
          <w:p>
            <w:pPr>
              <w:pStyle w:val="Compact"/>
            </w:pPr>
            <w:r>
              <w:t xml:space="preserve">Effetto in giorni</w:t>
            </w:r>
          </w:p>
        </w:tc>
      </w:tr>
      <w:tr>
        <w:tc>
          <w:tcPr/>
          <w:p>
            <w:pPr>
              <w:pStyle w:val="Compact"/>
            </w:pPr>
            <w:r>
              <w:t xml:space="preserve">Soglia dolorosa sul tunnel</w:t>
            </w:r>
          </w:p>
        </w:tc>
        <w:tc>
          <w:tcPr/>
          <w:p>
            <w:pPr>
              <w:pStyle w:val="Compact"/>
            </w:pPr>
            <w:r>
              <w:t xml:space="preserve">0,6 kg/cm² (salto di popolazione: artrosi della mano)</w:t>
            </w:r>
          </w:p>
        </w:tc>
        <w:tc>
          <w:tcPr/>
          <w:p>
            <w:pPr>
              <w:pStyle w:val="Compact"/>
            </w:pPr>
            <w:r>
              <w:t xml:space="preserve">Effetto immediato</w:t>
            </w:r>
          </w:p>
        </w:tc>
      </w:tr>
      <w:tr>
        <w:tc>
          <w:tcPr/>
          <w:p>
            <w:pPr>
              <w:pStyle w:val="Compact"/>
            </w:pPr>
            <w:r>
              <w:t xml:space="preserve">Soglia dolorosa sul tibiale anteriore</w:t>
            </w:r>
          </w:p>
        </w:tc>
        <w:tc>
          <w:tcPr/>
          <w:p>
            <w:pPr>
              <w:pStyle w:val="Compact"/>
            </w:pPr>
            <w:r>
              <w:t xml:space="preserve">Ricavata in stanza — nessun dato pubblicato per quella sede</w:t>
            </w:r>
          </w:p>
        </w:tc>
        <w:tc>
          <w:tcPr/>
          <w:p>
            <w:pPr>
              <w:pStyle w:val="Compact"/>
            </w:pPr>
            <w:r>
              <w:t xml:space="preserve">Chiave di volta</w:t>
            </w:r>
          </w:p>
        </w:tc>
      </w:tr>
      <w:tr>
        <w:tc>
          <w:tcPr/>
          <w:p>
            <w:pPr>
              <w:pStyle w:val="Compact"/>
            </w:pPr>
            <w:r>
              <w:t xml:space="preserve">Minuti di tolleranza sul gesto</w:t>
            </w:r>
          </w:p>
        </w:tc>
        <w:tc>
          <w:tcPr/>
          <w:p>
            <w:pPr>
              <w:pStyle w:val="Compact"/>
            </w:pPr>
            <w:r>
              <w:t xml:space="preserve">Più 50% sul basale</w:t>
            </w:r>
          </w:p>
        </w:tc>
        <w:tc>
          <w:tcPr/>
          <w:p>
            <w:pPr>
              <w:pStyle w:val="Compact"/>
            </w:pPr>
            <w:r>
              <w:t xml:space="preserve">Effetto in settimane</w:t>
            </w:r>
          </w:p>
        </w:tc>
      </w:tr>
    </w:tbl>
    <w:p>
      <w:pPr>
        <w:pStyle w:val="BodyText"/>
      </w:pPr>
      <w:r>
        <w:t xml:space="preserve">Il marker della prova appartiene a un piano che non hai trattato: qui è la gamba. Il basale va misurato prima di sceglierlo, e se è nella norma la prova non è informativa. Forza di pinza ed eminenza tenar non sono marker: sono misure di confine, e decidono se invii.</w:t>
      </w:r>
      <w:r>
        <w:t xml:space="preserve"> </w:t>
      </w:r>
      <w:r>
        <w:t xml:space="preserve">Il tetto di 120 secondi non è una convenzione: il test riproduce l’ischemia che stai togliendo.</w:t>
      </w:r>
      <w:r>
        <w:t xml:space="preserve"> </w:t>
      </w:r>
      <w:r>
        <w:rPr>
          <w:b/>
          <w:bCs/>
        </w:rPr>
        <w:t xml:space="preserve">Una regola del metodo, qui, si toglie invece di attenuarsi.</w:t>
      </w:r>
      <w:r>
        <w:t xml:space="preserve"> </w:t>
      </w:r>
      <w:r>
        <w:t xml:space="preserve">Il divieto di trattare il punto in cui il paziente sente non vale su questa condizione, perché l’unico corpo di prove randomizzate si applica proprio sul polso. Resta intatta la regola di verifica.</w:t>
      </w:r>
    </w:p>
    <w:bookmarkEnd w:id="15"/>
    <w:bookmarkStart w:id="16" w:name="perché-ci-sei-tu"/>
    <w:p>
      <w:pPr>
        <w:pStyle w:val="Heading2"/>
      </w:pPr>
      <w:r>
        <w:t xml:space="preserve">8. Perché ci sei tu</w:t>
      </w:r>
    </w:p>
    <w:p>
      <w:pPr>
        <w:pStyle w:val="BlockText"/>
      </w:pPr>
      <w:r>
        <w:rPr>
          <w:b/>
          <w:bCs/>
        </w:rPr>
        <w:t xml:space="preserve">Perché ci sei tu.</w:t>
      </w:r>
      <w:r>
        <w:t xml:space="preserve"> </w:t>
      </w:r>
      <w:r>
        <w:t xml:space="preserve">In uno studio randomizzato su 120 donne selezionate, tre sedute di terapia manuale non hanno mostrato differenze rispetto alla chirurgia su dolore e funzione, a un anno e a quattro anni. A quelle tre sedute si aggiungeva</w:t>
      </w:r>
      <w:r>
        <w:t xml:space="preserve"> </w:t>
      </w:r>
      <w:r>
        <w:rPr>
          <w:b/>
          <w:bCs/>
        </w:rPr>
        <w:t xml:space="preserve">un programma domiciliare di scorrimenti, presente anche nel braccio chirurgico</w:t>
      </w:r>
      <w:r>
        <w:t xml:space="preserve">. Nei primi tre mesi ci sono arrivate prima, e a costo minore. Questo ti autorizza a proporre una strada da provare prima dell’intervento, dove l’indicazione lo consente. Non ti autorizza a dire che così l’intervento si evita: nello stesso studio si è operato il 15% del gruppo manuale contro il 13% del chirurgico, dove quel 13% sono reinterventi.</w:t>
      </w:r>
    </w:p>
    <w:p>
      <w:pPr>
        <w:pStyle w:val="FirstParagraph"/>
      </w:pPr>
      <w:r>
        <w:rPr>
          <w:b/>
          <w:bCs/>
        </w:rPr>
        <w:t xml:space="preserve">E questo numero viene da un trial solo.</w:t>
      </w:r>
      <w:r>
        <w:t xml:space="preserve"> </w:t>
      </w:r>
      <w:r>
        <w:t xml:space="preserve">Messi insieme cinque randomizzati e 533 pazienti, a sei-dodici mesi la chirurgia fa meglio su funzione e gravità dei sintomi: la finestra che prometti sono i primi tre mesi, non il primo anno.</w:t>
      </w:r>
      <w:r>
        <w:t xml:space="preserve"> </w:t>
      </w:r>
      <w:r>
        <w:rPr>
          <w:b/>
          <w:bCs/>
        </w:rPr>
        <w:t xml:space="preserve">Contro il nulla, adesso, il dato c’è ed è piccolo:</w:t>
      </w:r>
      <w:r>
        <w:t xml:space="preserve"> </w:t>
      </w:r>
      <w:r>
        <w:t xml:space="preserve">4,7 mm su cento contro una lista d’attesa, meno dell’ibuprofene-arginina (19,3) e del gabapentin (10,0) nello stesso trial.</w:t>
      </w:r>
      <w:r>
        <w:t xml:space="preserve"> </w:t>
      </w:r>
      <w:r>
        <w:t xml:space="preserve">Le due leve con le prove migliori portano</w:t>
      </w:r>
      <w:r>
        <w:t xml:space="preserve"> </w:t>
      </w:r>
      <w:r>
        <w:rPr>
          <w:b/>
          <w:bCs/>
        </w:rPr>
        <w:t xml:space="preserve">PROBABILE</w:t>
      </w:r>
      <w:r>
        <w:t xml:space="preserve">, non DIMOSTRATO. Sono il liquido dentro il nervo (drenaggio, undici randomizzati e un braccio finto) e il guadagno del sistema nervoso (un solo trial, esito secondario, popolazione selezionata, cicatrice come spiegazione alternativa).</w:t>
      </w:r>
      <w:r>
        <w:t xml:space="preserve"> </w:t>
      </w:r>
      <w:r>
        <w:rPr>
          <w:b/>
          <w:bCs/>
        </w:rPr>
        <w:t xml:space="preserve">Fra le tecniche manuali, tre gruppi indipendenti puntano nella stessa direzione:</w:t>
      </w:r>
      <w:r>
        <w:t xml:space="preserve"> </w:t>
      </w:r>
      <w:r>
        <w:t xml:space="preserve">interfaccia e desensibilizzazione rendono più della neurodinamica pura.</w:t>
      </w:r>
    </w:p>
    <w:bookmarkEnd w:id="16"/>
    <w:bookmarkStart w:id="17" w:name="la-frase-per-il-paziente"/>
    <w:p>
      <w:pPr>
        <w:pStyle w:val="Heading2"/>
      </w:pPr>
      <w:r>
        <w:t xml:space="preserve">9. La frase per il paziente</w:t>
      </w:r>
    </w:p>
    <w:p>
      <w:pPr>
        <w:pStyle w:val="FirstParagraph"/>
      </w:pPr>
      <w:r>
        <w:rPr>
          <w:i/>
          <w:iCs/>
        </w:rPr>
        <w:t xml:space="preserve">“Il tunnel non lo apro: è fatto di ossa e di un legamento robusto. Lì dentro la pressione sale, e il sangue fa fatica a uscire dal nervo — per questo si sveglia di notte, e per questo scuotendo passa. Lavoro su quanto quel polso paga certe posizioni, su quanto liquido resta lì dentro, e su quanto il suo sistema è diventato sensibile dopo mesi di notti spezzate. Misuriamo un segno oggi, e lo rimisuriamo.”</w:t>
      </w:r>
    </w:p>
    <w:p>
      <w:r>
        <w:pict>
          <v:rect style="width:0;height:1.5pt" o:hralign="center" o:hrstd="t" o:hr="t"/>
        </w:pict>
      </w:r>
    </w:p>
    <w:p>
      <w:pPr>
        <w:pStyle w:val="BlockText"/>
      </w:pPr>
      <w:r>
        <w:rPr>
          <w:b/>
          <w:bCs/>
        </w:rPr>
        <w:t xml:space="preserve">DIMOSTRATO</w:t>
      </w:r>
      <w:r>
        <w:t xml:space="preserve"> </w:t>
      </w:r>
      <w:r>
        <w:t xml:space="preserve">studi sull’uomo, solidi ·</w:t>
      </w:r>
      <w:r>
        <w:t xml:space="preserve"> </w:t>
      </w:r>
      <w:r>
        <w:rPr>
          <w:b/>
          <w:bCs/>
        </w:rPr>
        <w:t xml:space="preserve">PROBABILE</w:t>
      </w:r>
      <w:r>
        <w:t xml:space="preserve"> </w:t>
      </w:r>
      <w:r>
        <w:t xml:space="preserve">razionale forte, prove parziali ·</w:t>
      </w:r>
      <w:r>
        <w:t xml:space="preserve"> </w:t>
      </w:r>
      <w:r>
        <w:rPr>
          <w:b/>
          <w:bCs/>
        </w:rPr>
        <w:t xml:space="preserve">IPOTESI</w:t>
      </w:r>
      <w:r>
        <w:t xml:space="preserve"> </w:t>
      </w:r>
      <w:r>
        <w:t xml:space="preserve">meccanismo coerente, nessuno studio ·</w:t>
      </w:r>
      <w:r>
        <w:t xml:space="preserve"> </w:t>
      </w:r>
      <w:r>
        <w:rPr>
          <w:b/>
          <w:bCs/>
        </w:rPr>
        <w:t xml:space="preserve">RAGIONAMENTO</w:t>
      </w:r>
      <w:r>
        <w:t xml:space="preserve"> </w:t>
      </w:r>
      <w:r>
        <w:t xml:space="preserve">cornice clinica, non una prova</w:t>
      </w:r>
    </w:p>
    <w:p>
      <w:pPr>
        <w:pStyle w:val="BlockText"/>
      </w:pPr>
      <w:r>
        <w:t xml:space="preserve">L’etichetta non si declina e la glossa non cambia mai. Quando qualcuno ha misurato e il risultato è andato contro, o quando due sintesi non sono d’accordo, la prova contraria si scrive nella frase, nominata e citata.</w:t>
      </w:r>
    </w:p>
    <w:p>
      <w:pPr>
        <w:pStyle w:val="FirstParagraph"/>
      </w:pPr>
      <w:r>
        <w:rPr>
          <w:b/>
          <w:bCs/>
        </w:rPr>
        <w:t xml:space="preserve">Il Capitolo 12 esiste e dichiara di non attivarsi.</w:t>
      </w:r>
      <w:r>
        <w:t xml:space="preserve"> </w:t>
      </w:r>
      <w:r>
        <w:t xml:space="preserve">Il criterio è enunciato: un capitolo sugli strumenti attivi si apre solo se uno strumento autogestito regge DIMOSTRATO, oppure PROBABILE con più studi concordi. Qui non si attiva perché la letteratura è</w:t>
      </w:r>
      <w:r>
        <w:t xml:space="preserve"> </w:t>
      </w:r>
      <w:r>
        <w:rPr>
          <w:b/>
          <w:bCs/>
        </w:rPr>
        <w:t xml:space="preserve">discordante</w:t>
      </w:r>
      <w:r>
        <w:t xml:space="preserve">. Una sintesi di 25 studi non trova beneficio clinicamente rilevante; una di 12 studi su 1.003 pazienti trova un effetto oltre la differenza minima importante. Non è un silenzio: è un disaccordo, e va detto al paziente per quello che è.</w:t>
      </w:r>
    </w:p>
    <w:p>
      <w:pPr>
        <w:pStyle w:val="BodyText"/>
      </w:pPr>
      <w:r>
        <w:rPr>
          <w:b/>
          <w:bCs/>
        </w:rPr>
        <w:t xml:space="preserve">Deviazioni dallo standard della Mappa, dichiarate:</w:t>
      </w:r>
      <w:r>
        <w:t xml:space="preserve"> </w:t>
      </w:r>
      <w:r>
        <w:t xml:space="preserve">blocco 6 (sicurezza del gesto, D-042), blocco 7 (ragionamento clinico e marker, D-018), blocco 8 (perché ci sei tu), Capitolo 12 come non-attivazione dichiarata per disaccordo (D-096).</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Mobilitas — Direzione Osteopatica</dc:creator>
  <dc:language>it-IT</dc:language>
  <cp:keywords/>
  <dcterms:created xsi:type="dcterms:W3CDTF">2026-08-31T07:26:04Z</dcterms:created>
  <dcterms:modified xsi:type="dcterms:W3CDTF">2026-08-31T07:26:04Z</dcterms:modified>
</cp:coreProperties>
</file>

<file path=docProps/custom.xml><?xml version="1.0" encoding="utf-8"?>
<Properties xmlns="http://schemas.openxmlformats.org/officeDocument/2006/custom-properties" xmlns:vt="http://schemas.openxmlformats.org/officeDocument/2006/docPropsVTypes"/>
</file>